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894A4" w14:textId="77777777" w:rsidR="007765E7" w:rsidRPr="0069792C" w:rsidRDefault="007765E7" w:rsidP="0069792C">
      <w:pPr>
        <w:spacing w:before="100" w:beforeAutospacing="1" w:after="100" w:afterAutospacing="1" w:line="288" w:lineRule="auto"/>
        <w:jc w:val="center"/>
        <w:rPr>
          <w:rFonts w:ascii="Arial" w:hAnsi="Arial" w:cs="Arial"/>
          <w:b/>
          <w:sz w:val="32"/>
        </w:rPr>
      </w:pPr>
      <w:bookmarkStart w:id="0" w:name="_GoBack"/>
      <w:bookmarkEnd w:id="0"/>
    </w:p>
    <w:p w14:paraId="416B0FC6" w14:textId="77777777" w:rsidR="007765E7" w:rsidRPr="0069792C" w:rsidRDefault="007765E7" w:rsidP="0069792C">
      <w:pPr>
        <w:spacing w:before="100" w:beforeAutospacing="1" w:after="100" w:afterAutospacing="1" w:line="288" w:lineRule="auto"/>
        <w:jc w:val="center"/>
        <w:rPr>
          <w:rFonts w:ascii="Arial" w:hAnsi="Arial" w:cs="Arial"/>
          <w:b/>
          <w:sz w:val="32"/>
        </w:rPr>
      </w:pPr>
    </w:p>
    <w:p w14:paraId="4349019C" w14:textId="77777777" w:rsidR="007765E7" w:rsidRPr="0069792C" w:rsidRDefault="007765E7" w:rsidP="0069792C">
      <w:pPr>
        <w:spacing w:before="100" w:beforeAutospacing="1" w:after="100" w:afterAutospacing="1" w:line="288" w:lineRule="auto"/>
        <w:jc w:val="center"/>
        <w:rPr>
          <w:rFonts w:ascii="Arial" w:hAnsi="Arial" w:cs="Arial"/>
          <w:b/>
          <w:sz w:val="32"/>
        </w:rPr>
      </w:pPr>
    </w:p>
    <w:p w14:paraId="62CF9FFA" w14:textId="77777777" w:rsidR="007765E7" w:rsidRPr="0069792C" w:rsidRDefault="007765E7" w:rsidP="0069792C">
      <w:pPr>
        <w:spacing w:before="100" w:beforeAutospacing="1" w:after="100" w:afterAutospacing="1" w:line="288" w:lineRule="auto"/>
        <w:jc w:val="center"/>
        <w:rPr>
          <w:rFonts w:ascii="Arial" w:hAnsi="Arial" w:cs="Arial"/>
          <w:b/>
          <w:sz w:val="32"/>
        </w:rPr>
      </w:pPr>
    </w:p>
    <w:p w14:paraId="52391FA6" w14:textId="472647D3" w:rsidR="007765E7" w:rsidRPr="0069792C" w:rsidRDefault="00B76475" w:rsidP="0069792C">
      <w:pPr>
        <w:spacing w:before="100" w:beforeAutospacing="1" w:after="100" w:afterAutospacing="1" w:line="288" w:lineRule="auto"/>
        <w:jc w:val="center"/>
        <w:rPr>
          <w:rFonts w:ascii="Arial" w:hAnsi="Arial" w:cs="Arial"/>
          <w:b/>
          <w:sz w:val="32"/>
        </w:rPr>
      </w:pPr>
      <w:r>
        <w:rPr>
          <w:rFonts w:ascii="Arial" w:hAnsi="Arial" w:cs="Arial"/>
          <w:b/>
          <w:sz w:val="32"/>
        </w:rPr>
        <w:t xml:space="preserve">Amendments to </w:t>
      </w:r>
      <w:r w:rsidR="00302579">
        <w:rPr>
          <w:rFonts w:ascii="Arial" w:hAnsi="Arial" w:cs="Arial"/>
          <w:b/>
          <w:sz w:val="32"/>
        </w:rPr>
        <w:t xml:space="preserve">the Short-Term Letting provisions in </w:t>
      </w:r>
      <w:r w:rsidRPr="00B76475">
        <w:rPr>
          <w:rFonts w:ascii="Arial" w:hAnsi="Arial" w:cs="Arial"/>
          <w:b/>
          <w:sz w:val="32"/>
        </w:rPr>
        <w:t xml:space="preserve">section 3A </w:t>
      </w:r>
      <w:r>
        <w:rPr>
          <w:rFonts w:ascii="Arial" w:hAnsi="Arial" w:cs="Arial"/>
          <w:b/>
          <w:sz w:val="32"/>
        </w:rPr>
        <w:t>of the Planning and Development Act 2000</w:t>
      </w:r>
      <w:r w:rsidR="00302579">
        <w:rPr>
          <w:rFonts w:ascii="Arial" w:hAnsi="Arial" w:cs="Arial"/>
          <w:b/>
          <w:sz w:val="32"/>
        </w:rPr>
        <w:t>,</w:t>
      </w:r>
      <w:r>
        <w:rPr>
          <w:rFonts w:ascii="Arial" w:hAnsi="Arial" w:cs="Arial"/>
          <w:b/>
          <w:sz w:val="32"/>
        </w:rPr>
        <w:t xml:space="preserve"> </w:t>
      </w:r>
      <w:r w:rsidR="00302579">
        <w:rPr>
          <w:rFonts w:ascii="Arial" w:hAnsi="Arial" w:cs="Arial"/>
          <w:b/>
          <w:sz w:val="32"/>
        </w:rPr>
        <w:t xml:space="preserve">as </w:t>
      </w:r>
      <w:r>
        <w:rPr>
          <w:rFonts w:ascii="Arial" w:hAnsi="Arial" w:cs="Arial"/>
          <w:b/>
          <w:sz w:val="32"/>
        </w:rPr>
        <w:t>pro</w:t>
      </w:r>
      <w:r w:rsidR="00302579">
        <w:rPr>
          <w:rFonts w:ascii="Arial" w:hAnsi="Arial" w:cs="Arial"/>
          <w:b/>
          <w:sz w:val="32"/>
        </w:rPr>
        <w:t>pos</w:t>
      </w:r>
      <w:r>
        <w:rPr>
          <w:rFonts w:ascii="Arial" w:hAnsi="Arial" w:cs="Arial"/>
          <w:b/>
          <w:sz w:val="32"/>
        </w:rPr>
        <w:t xml:space="preserve">ed </w:t>
      </w:r>
      <w:r w:rsidR="00302579">
        <w:rPr>
          <w:rFonts w:ascii="Arial" w:hAnsi="Arial" w:cs="Arial"/>
          <w:b/>
          <w:sz w:val="32"/>
        </w:rPr>
        <w:t>in</w:t>
      </w:r>
      <w:r>
        <w:rPr>
          <w:rFonts w:ascii="Arial" w:hAnsi="Arial" w:cs="Arial"/>
          <w:b/>
          <w:sz w:val="32"/>
        </w:rPr>
        <w:t xml:space="preserve"> </w:t>
      </w:r>
      <w:r w:rsidRPr="00B76475">
        <w:rPr>
          <w:rFonts w:ascii="Arial" w:hAnsi="Arial" w:cs="Arial"/>
          <w:b/>
          <w:sz w:val="32"/>
        </w:rPr>
        <w:t>section 3 of the P</w:t>
      </w:r>
      <w:r>
        <w:rPr>
          <w:rFonts w:ascii="Arial" w:hAnsi="Arial" w:cs="Arial"/>
          <w:b/>
          <w:sz w:val="32"/>
        </w:rPr>
        <w:t xml:space="preserve">lanning and Development, </w:t>
      </w:r>
      <w:r w:rsidRPr="00B76475">
        <w:rPr>
          <w:rFonts w:ascii="Arial" w:hAnsi="Arial" w:cs="Arial"/>
          <w:b/>
          <w:sz w:val="32"/>
        </w:rPr>
        <w:t xml:space="preserve">Maritime and Valuation (Amendment) </w:t>
      </w:r>
      <w:r>
        <w:rPr>
          <w:rFonts w:ascii="Arial" w:hAnsi="Arial" w:cs="Arial"/>
          <w:b/>
          <w:sz w:val="32"/>
        </w:rPr>
        <w:t>Bill</w:t>
      </w:r>
      <w:r w:rsidRPr="00B76475">
        <w:rPr>
          <w:rFonts w:ascii="Arial" w:hAnsi="Arial" w:cs="Arial"/>
          <w:b/>
          <w:sz w:val="32"/>
        </w:rPr>
        <w:t xml:space="preserve"> 2022.</w:t>
      </w:r>
    </w:p>
    <w:p w14:paraId="6C41F012" w14:textId="77777777" w:rsidR="007765E7" w:rsidRPr="0069792C" w:rsidRDefault="007765E7" w:rsidP="0069792C">
      <w:pPr>
        <w:spacing w:before="100" w:beforeAutospacing="1" w:after="100" w:afterAutospacing="1" w:line="288" w:lineRule="auto"/>
        <w:jc w:val="center"/>
        <w:rPr>
          <w:rFonts w:ascii="Arial" w:hAnsi="Arial" w:cs="Arial"/>
          <w:b/>
          <w:sz w:val="32"/>
        </w:rPr>
      </w:pPr>
    </w:p>
    <w:p w14:paraId="38A3C66B" w14:textId="77777777" w:rsidR="007765E7" w:rsidRPr="0069792C" w:rsidRDefault="007765E7" w:rsidP="0069792C">
      <w:pPr>
        <w:spacing w:before="100" w:beforeAutospacing="1" w:after="100" w:afterAutospacing="1" w:line="288" w:lineRule="auto"/>
        <w:jc w:val="center"/>
        <w:rPr>
          <w:rFonts w:ascii="Arial" w:hAnsi="Arial" w:cs="Arial"/>
          <w:b/>
          <w:sz w:val="32"/>
          <w:u w:val="single"/>
        </w:rPr>
      </w:pPr>
      <w:r w:rsidRPr="0069792C">
        <w:rPr>
          <w:rFonts w:ascii="Arial" w:hAnsi="Arial" w:cs="Arial"/>
          <w:b/>
          <w:sz w:val="32"/>
          <w:u w:val="single"/>
        </w:rPr>
        <w:t xml:space="preserve">Regulatory Impact Analysis (RIA) </w:t>
      </w:r>
    </w:p>
    <w:p w14:paraId="7DFFD5A7" w14:textId="77777777" w:rsidR="007765E7" w:rsidRPr="0069792C" w:rsidRDefault="007765E7" w:rsidP="0069792C">
      <w:pPr>
        <w:spacing w:before="100" w:beforeAutospacing="1" w:after="100" w:afterAutospacing="1" w:line="288" w:lineRule="auto"/>
        <w:jc w:val="center"/>
        <w:rPr>
          <w:rFonts w:ascii="Arial" w:hAnsi="Arial" w:cs="Arial"/>
          <w:b/>
          <w:sz w:val="32"/>
        </w:rPr>
      </w:pPr>
    </w:p>
    <w:p w14:paraId="5AB45F41" w14:textId="77777777" w:rsidR="007765E7" w:rsidRPr="0069792C" w:rsidRDefault="007765E7" w:rsidP="0069792C">
      <w:pPr>
        <w:spacing w:before="100" w:beforeAutospacing="1" w:after="100" w:afterAutospacing="1" w:line="288" w:lineRule="auto"/>
        <w:jc w:val="center"/>
        <w:rPr>
          <w:rFonts w:ascii="Arial" w:hAnsi="Arial" w:cs="Arial"/>
          <w:b/>
          <w:sz w:val="32"/>
        </w:rPr>
      </w:pPr>
    </w:p>
    <w:p w14:paraId="54B7168E" w14:textId="77777777" w:rsidR="007765E7" w:rsidRPr="0069792C" w:rsidRDefault="007765E7" w:rsidP="0069792C">
      <w:pPr>
        <w:spacing w:before="100" w:beforeAutospacing="1" w:after="100" w:afterAutospacing="1" w:line="288" w:lineRule="auto"/>
        <w:jc w:val="center"/>
        <w:rPr>
          <w:rFonts w:ascii="Arial" w:hAnsi="Arial" w:cs="Arial"/>
          <w:b/>
          <w:sz w:val="32"/>
        </w:rPr>
      </w:pPr>
    </w:p>
    <w:p w14:paraId="653FD58A" w14:textId="77777777" w:rsidR="007765E7" w:rsidRPr="0069792C" w:rsidRDefault="007765E7" w:rsidP="0069792C">
      <w:pPr>
        <w:spacing w:before="100" w:beforeAutospacing="1" w:after="100" w:afterAutospacing="1" w:line="288" w:lineRule="auto"/>
        <w:jc w:val="center"/>
        <w:rPr>
          <w:rFonts w:ascii="Arial" w:hAnsi="Arial" w:cs="Arial"/>
          <w:b/>
          <w:sz w:val="32"/>
        </w:rPr>
      </w:pPr>
    </w:p>
    <w:p w14:paraId="5CF004FE" w14:textId="77777777" w:rsidR="007765E7" w:rsidRPr="0069792C" w:rsidRDefault="007765E7" w:rsidP="0069792C">
      <w:pPr>
        <w:spacing w:before="100" w:beforeAutospacing="1" w:after="100" w:afterAutospacing="1" w:line="288" w:lineRule="auto"/>
        <w:jc w:val="center"/>
        <w:rPr>
          <w:rFonts w:ascii="Arial" w:hAnsi="Arial" w:cs="Arial"/>
          <w:b/>
          <w:sz w:val="32"/>
        </w:rPr>
      </w:pPr>
    </w:p>
    <w:p w14:paraId="7EFC79C2" w14:textId="77777777" w:rsidR="007765E7" w:rsidRPr="0069792C" w:rsidRDefault="007765E7" w:rsidP="0069792C">
      <w:pPr>
        <w:spacing w:before="100" w:beforeAutospacing="1" w:after="100" w:afterAutospacing="1" w:line="288" w:lineRule="auto"/>
        <w:jc w:val="right"/>
        <w:rPr>
          <w:rFonts w:ascii="Arial" w:hAnsi="Arial" w:cs="Arial"/>
          <w:b/>
          <w:sz w:val="32"/>
        </w:rPr>
      </w:pPr>
    </w:p>
    <w:p w14:paraId="36D8007D" w14:textId="77777777" w:rsidR="007765E7" w:rsidRPr="0069792C" w:rsidRDefault="007765E7" w:rsidP="0069792C">
      <w:pPr>
        <w:spacing w:before="100" w:beforeAutospacing="1" w:after="100" w:afterAutospacing="1" w:line="288" w:lineRule="auto"/>
        <w:jc w:val="right"/>
        <w:rPr>
          <w:rFonts w:ascii="Arial" w:hAnsi="Arial" w:cs="Arial"/>
          <w:b/>
          <w:sz w:val="32"/>
        </w:rPr>
      </w:pPr>
    </w:p>
    <w:p w14:paraId="17977C60" w14:textId="77777777" w:rsidR="007765E7" w:rsidRPr="0069792C" w:rsidRDefault="007765E7" w:rsidP="0069792C">
      <w:pPr>
        <w:spacing w:before="100" w:beforeAutospacing="1" w:after="100" w:afterAutospacing="1" w:line="288" w:lineRule="auto"/>
        <w:jc w:val="right"/>
        <w:rPr>
          <w:rFonts w:ascii="Arial" w:hAnsi="Arial" w:cs="Arial"/>
          <w:b/>
          <w:sz w:val="32"/>
        </w:rPr>
      </w:pPr>
    </w:p>
    <w:p w14:paraId="5C77A86C" w14:textId="77777777" w:rsidR="007765E7" w:rsidRPr="0069792C" w:rsidRDefault="007765E7" w:rsidP="0069792C">
      <w:pPr>
        <w:spacing w:before="100" w:beforeAutospacing="1" w:after="100" w:afterAutospacing="1" w:line="288" w:lineRule="auto"/>
        <w:jc w:val="right"/>
        <w:rPr>
          <w:rFonts w:ascii="Arial" w:hAnsi="Arial" w:cs="Arial"/>
          <w:b/>
          <w:sz w:val="32"/>
        </w:rPr>
      </w:pPr>
      <w:r w:rsidRPr="0069792C">
        <w:rPr>
          <w:rFonts w:ascii="Arial" w:hAnsi="Arial" w:cs="Arial"/>
          <w:b/>
          <w:sz w:val="32"/>
        </w:rPr>
        <w:t>Department of Housing, Local Government and Heritage</w:t>
      </w:r>
    </w:p>
    <w:p w14:paraId="0F8A9972" w14:textId="3E113A5D" w:rsidR="006855D9" w:rsidRPr="0069792C" w:rsidRDefault="006B3BCE" w:rsidP="0069792C">
      <w:pPr>
        <w:spacing w:before="100" w:beforeAutospacing="1" w:after="100" w:afterAutospacing="1" w:line="288" w:lineRule="auto"/>
        <w:jc w:val="right"/>
        <w:rPr>
          <w:rFonts w:ascii="Arial" w:hAnsi="Arial" w:cs="Arial"/>
          <w:b/>
          <w:sz w:val="32"/>
        </w:rPr>
      </w:pPr>
      <w:r>
        <w:rPr>
          <w:rFonts w:ascii="Arial" w:hAnsi="Arial" w:cs="Arial"/>
          <w:b/>
          <w:sz w:val="32"/>
        </w:rPr>
        <w:t xml:space="preserve">10 </w:t>
      </w:r>
      <w:r w:rsidR="00D27CAD">
        <w:rPr>
          <w:rFonts w:ascii="Arial" w:hAnsi="Arial" w:cs="Arial"/>
          <w:b/>
          <w:sz w:val="32"/>
        </w:rPr>
        <w:t>August</w:t>
      </w:r>
      <w:r w:rsidR="007765E7" w:rsidRPr="0069792C">
        <w:rPr>
          <w:rFonts w:ascii="Arial" w:hAnsi="Arial" w:cs="Arial"/>
          <w:b/>
          <w:sz w:val="32"/>
        </w:rPr>
        <w:t xml:space="preserve"> 202</w:t>
      </w:r>
      <w:r w:rsidR="00B76475">
        <w:rPr>
          <w:rFonts w:ascii="Arial" w:hAnsi="Arial" w:cs="Arial"/>
          <w:b/>
          <w:sz w:val="32"/>
        </w:rPr>
        <w:t>2</w:t>
      </w:r>
      <w:r w:rsidR="006855D9" w:rsidRPr="0069792C">
        <w:rPr>
          <w:rFonts w:ascii="Arial" w:hAnsi="Arial" w:cs="Arial"/>
          <w:b/>
          <w:sz w:val="32"/>
        </w:rPr>
        <w:br w:type="page"/>
      </w:r>
    </w:p>
    <w:sdt>
      <w:sdtPr>
        <w:rPr>
          <w:rFonts w:asciiTheme="minorHAnsi" w:eastAsiaTheme="minorHAnsi" w:hAnsiTheme="minorHAnsi" w:cs="Arial"/>
          <w:b w:val="0"/>
          <w:color w:val="auto"/>
          <w:sz w:val="22"/>
          <w:szCs w:val="22"/>
          <w:u w:val="none"/>
          <w:lang w:val="en-IE"/>
        </w:rPr>
        <w:id w:val="1687014821"/>
        <w:docPartObj>
          <w:docPartGallery w:val="Table of Contents"/>
          <w:docPartUnique/>
        </w:docPartObj>
      </w:sdtPr>
      <w:sdtEndPr>
        <w:rPr>
          <w:bCs/>
          <w:noProof/>
        </w:rPr>
      </w:sdtEndPr>
      <w:sdtContent>
        <w:p w14:paraId="0E3E4817" w14:textId="77777777" w:rsidR="007765E7" w:rsidRPr="0069792C" w:rsidRDefault="007765E7" w:rsidP="0069792C">
          <w:pPr>
            <w:pStyle w:val="TOCHeading"/>
            <w:spacing w:before="100" w:beforeAutospacing="1" w:after="100" w:afterAutospacing="1" w:line="288" w:lineRule="auto"/>
            <w:rPr>
              <w:rFonts w:cs="Arial"/>
            </w:rPr>
          </w:pPr>
          <w:r w:rsidRPr="0069792C">
            <w:rPr>
              <w:rFonts w:cs="Arial"/>
            </w:rPr>
            <w:t>Contents</w:t>
          </w:r>
        </w:p>
        <w:p w14:paraId="4D5C2971" w14:textId="68A767FE" w:rsidR="0069792C" w:rsidRDefault="007765E7" w:rsidP="0069792C">
          <w:pPr>
            <w:pStyle w:val="TOC1"/>
            <w:tabs>
              <w:tab w:val="left" w:pos="440"/>
              <w:tab w:val="right" w:leader="dot" w:pos="9016"/>
            </w:tabs>
            <w:spacing w:before="100" w:beforeAutospacing="1" w:afterAutospacing="1" w:line="288" w:lineRule="auto"/>
            <w:rPr>
              <w:rFonts w:eastAsiaTheme="minorEastAsia"/>
              <w:noProof/>
              <w:lang w:eastAsia="en-IE"/>
            </w:rPr>
          </w:pPr>
          <w:r w:rsidRPr="0069792C">
            <w:rPr>
              <w:rFonts w:ascii="Arial" w:hAnsi="Arial" w:cs="Arial"/>
            </w:rPr>
            <w:fldChar w:fldCharType="begin"/>
          </w:r>
          <w:r w:rsidRPr="0069792C">
            <w:rPr>
              <w:rFonts w:ascii="Arial" w:hAnsi="Arial" w:cs="Arial"/>
            </w:rPr>
            <w:instrText xml:space="preserve"> TOC \o "1-3" \h \z \u </w:instrText>
          </w:r>
          <w:r w:rsidRPr="0069792C">
            <w:rPr>
              <w:rFonts w:ascii="Arial" w:hAnsi="Arial" w:cs="Arial"/>
            </w:rPr>
            <w:fldChar w:fldCharType="separate"/>
          </w:r>
          <w:hyperlink w:anchor="_Toc73613258" w:history="1">
            <w:r w:rsidR="0069792C" w:rsidRPr="00CC3E3F">
              <w:rPr>
                <w:rStyle w:val="Hyperlink"/>
                <w:rFonts w:cs="Arial"/>
                <w:noProof/>
              </w:rPr>
              <w:t>1.</w:t>
            </w:r>
            <w:r w:rsidR="0069792C">
              <w:rPr>
                <w:rFonts w:eastAsiaTheme="minorEastAsia"/>
                <w:noProof/>
                <w:lang w:eastAsia="en-IE"/>
              </w:rPr>
              <w:tab/>
            </w:r>
            <w:r w:rsidR="0069792C" w:rsidRPr="00CC3E3F">
              <w:rPr>
                <w:rStyle w:val="Hyperlink"/>
                <w:rFonts w:cs="Arial"/>
                <w:noProof/>
              </w:rPr>
              <w:t>Summary</w:t>
            </w:r>
            <w:r w:rsidR="0069792C">
              <w:rPr>
                <w:noProof/>
                <w:webHidden/>
              </w:rPr>
              <w:tab/>
            </w:r>
            <w:r w:rsidR="0069792C">
              <w:rPr>
                <w:noProof/>
                <w:webHidden/>
              </w:rPr>
              <w:fldChar w:fldCharType="begin"/>
            </w:r>
            <w:r w:rsidR="0069792C">
              <w:rPr>
                <w:noProof/>
                <w:webHidden/>
              </w:rPr>
              <w:instrText xml:space="preserve"> PAGEREF _Toc73613258 \h </w:instrText>
            </w:r>
            <w:r w:rsidR="0069792C">
              <w:rPr>
                <w:noProof/>
                <w:webHidden/>
              </w:rPr>
            </w:r>
            <w:r w:rsidR="0069792C">
              <w:rPr>
                <w:noProof/>
                <w:webHidden/>
              </w:rPr>
              <w:fldChar w:fldCharType="separate"/>
            </w:r>
            <w:r w:rsidR="00991588">
              <w:rPr>
                <w:noProof/>
                <w:webHidden/>
              </w:rPr>
              <w:t>2</w:t>
            </w:r>
            <w:r w:rsidR="0069792C">
              <w:rPr>
                <w:noProof/>
                <w:webHidden/>
              </w:rPr>
              <w:fldChar w:fldCharType="end"/>
            </w:r>
          </w:hyperlink>
        </w:p>
        <w:p w14:paraId="63AEA2B9" w14:textId="05617A7C" w:rsidR="0069792C" w:rsidRDefault="00324FED" w:rsidP="0069792C">
          <w:pPr>
            <w:pStyle w:val="TOC1"/>
            <w:tabs>
              <w:tab w:val="left" w:pos="440"/>
              <w:tab w:val="right" w:leader="dot" w:pos="9016"/>
            </w:tabs>
            <w:spacing w:before="100" w:beforeAutospacing="1" w:afterAutospacing="1" w:line="288" w:lineRule="auto"/>
            <w:rPr>
              <w:rFonts w:eastAsiaTheme="minorEastAsia"/>
              <w:noProof/>
              <w:lang w:eastAsia="en-IE"/>
            </w:rPr>
          </w:pPr>
          <w:hyperlink w:anchor="_Toc73613259" w:history="1">
            <w:r w:rsidR="0069792C" w:rsidRPr="00CC3E3F">
              <w:rPr>
                <w:rStyle w:val="Hyperlink"/>
                <w:rFonts w:cs="Arial"/>
                <w:noProof/>
              </w:rPr>
              <w:t>2.</w:t>
            </w:r>
            <w:r w:rsidR="0069792C">
              <w:rPr>
                <w:rFonts w:eastAsiaTheme="minorEastAsia"/>
                <w:noProof/>
                <w:lang w:eastAsia="en-IE"/>
              </w:rPr>
              <w:tab/>
            </w:r>
            <w:r w:rsidR="0069792C" w:rsidRPr="00CC3E3F">
              <w:rPr>
                <w:rStyle w:val="Hyperlink"/>
                <w:rFonts w:cs="Arial"/>
                <w:noProof/>
              </w:rPr>
              <w:t>Policy Context and Objectives</w:t>
            </w:r>
            <w:r w:rsidR="0069792C">
              <w:rPr>
                <w:noProof/>
                <w:webHidden/>
              </w:rPr>
              <w:tab/>
            </w:r>
            <w:r w:rsidR="0069792C">
              <w:rPr>
                <w:noProof/>
                <w:webHidden/>
              </w:rPr>
              <w:fldChar w:fldCharType="begin"/>
            </w:r>
            <w:r w:rsidR="0069792C">
              <w:rPr>
                <w:noProof/>
                <w:webHidden/>
              </w:rPr>
              <w:instrText xml:space="preserve"> PAGEREF _Toc73613259 \h </w:instrText>
            </w:r>
            <w:r w:rsidR="0069792C">
              <w:rPr>
                <w:noProof/>
                <w:webHidden/>
              </w:rPr>
            </w:r>
            <w:r w:rsidR="0069792C">
              <w:rPr>
                <w:noProof/>
                <w:webHidden/>
              </w:rPr>
              <w:fldChar w:fldCharType="separate"/>
            </w:r>
            <w:r w:rsidR="00991588">
              <w:rPr>
                <w:noProof/>
                <w:webHidden/>
              </w:rPr>
              <w:t>2</w:t>
            </w:r>
            <w:r w:rsidR="0069792C">
              <w:rPr>
                <w:noProof/>
                <w:webHidden/>
              </w:rPr>
              <w:fldChar w:fldCharType="end"/>
            </w:r>
          </w:hyperlink>
        </w:p>
        <w:p w14:paraId="3DA588C5" w14:textId="513BD32E" w:rsidR="0069792C" w:rsidRDefault="00324FED" w:rsidP="0069792C">
          <w:pPr>
            <w:pStyle w:val="TOC2"/>
            <w:tabs>
              <w:tab w:val="right" w:leader="dot" w:pos="9016"/>
            </w:tabs>
            <w:spacing w:before="100" w:beforeAutospacing="1" w:afterAutospacing="1" w:line="288" w:lineRule="auto"/>
            <w:rPr>
              <w:rFonts w:eastAsiaTheme="minorEastAsia"/>
              <w:noProof/>
              <w:lang w:eastAsia="en-IE"/>
            </w:rPr>
          </w:pPr>
          <w:hyperlink w:anchor="_Toc73613260" w:history="1">
            <w:r w:rsidR="0069792C" w:rsidRPr="00CC3E3F">
              <w:rPr>
                <w:rStyle w:val="Hyperlink"/>
                <w:rFonts w:cs="Arial"/>
                <w:noProof/>
              </w:rPr>
              <w:t>2.1 Policy Context</w:t>
            </w:r>
            <w:r w:rsidR="0069792C">
              <w:rPr>
                <w:noProof/>
                <w:webHidden/>
              </w:rPr>
              <w:tab/>
            </w:r>
            <w:r w:rsidR="0069792C">
              <w:rPr>
                <w:noProof/>
                <w:webHidden/>
              </w:rPr>
              <w:fldChar w:fldCharType="begin"/>
            </w:r>
            <w:r w:rsidR="0069792C">
              <w:rPr>
                <w:noProof/>
                <w:webHidden/>
              </w:rPr>
              <w:instrText xml:space="preserve"> PAGEREF _Toc73613260 \h </w:instrText>
            </w:r>
            <w:r w:rsidR="0069792C">
              <w:rPr>
                <w:noProof/>
                <w:webHidden/>
              </w:rPr>
            </w:r>
            <w:r w:rsidR="0069792C">
              <w:rPr>
                <w:noProof/>
                <w:webHidden/>
              </w:rPr>
              <w:fldChar w:fldCharType="separate"/>
            </w:r>
            <w:r w:rsidR="00991588">
              <w:rPr>
                <w:noProof/>
                <w:webHidden/>
              </w:rPr>
              <w:t>2</w:t>
            </w:r>
            <w:r w:rsidR="0069792C">
              <w:rPr>
                <w:noProof/>
                <w:webHidden/>
              </w:rPr>
              <w:fldChar w:fldCharType="end"/>
            </w:r>
          </w:hyperlink>
        </w:p>
        <w:p w14:paraId="127CC72F" w14:textId="3D7B7854" w:rsidR="0069792C" w:rsidRDefault="00324FED" w:rsidP="0069792C">
          <w:pPr>
            <w:pStyle w:val="TOC2"/>
            <w:tabs>
              <w:tab w:val="right" w:leader="dot" w:pos="9016"/>
            </w:tabs>
            <w:spacing w:before="100" w:beforeAutospacing="1" w:afterAutospacing="1" w:line="288" w:lineRule="auto"/>
            <w:rPr>
              <w:rFonts w:eastAsiaTheme="minorEastAsia"/>
              <w:noProof/>
              <w:lang w:eastAsia="en-IE"/>
            </w:rPr>
          </w:pPr>
          <w:hyperlink w:anchor="_Toc73613261" w:history="1">
            <w:r w:rsidR="0069792C" w:rsidRPr="00CC3E3F">
              <w:rPr>
                <w:rStyle w:val="Hyperlink"/>
                <w:rFonts w:cs="Arial"/>
                <w:noProof/>
              </w:rPr>
              <w:t>2.2 Objectives</w:t>
            </w:r>
            <w:r w:rsidR="0069792C">
              <w:rPr>
                <w:noProof/>
                <w:webHidden/>
              </w:rPr>
              <w:tab/>
            </w:r>
            <w:r w:rsidR="0069792C">
              <w:rPr>
                <w:noProof/>
                <w:webHidden/>
              </w:rPr>
              <w:fldChar w:fldCharType="begin"/>
            </w:r>
            <w:r w:rsidR="0069792C">
              <w:rPr>
                <w:noProof/>
                <w:webHidden/>
              </w:rPr>
              <w:instrText xml:space="preserve"> PAGEREF _Toc73613261 \h </w:instrText>
            </w:r>
            <w:r w:rsidR="0069792C">
              <w:rPr>
                <w:noProof/>
                <w:webHidden/>
              </w:rPr>
            </w:r>
            <w:r w:rsidR="0069792C">
              <w:rPr>
                <w:noProof/>
                <w:webHidden/>
              </w:rPr>
              <w:fldChar w:fldCharType="separate"/>
            </w:r>
            <w:r w:rsidR="00991588">
              <w:rPr>
                <w:noProof/>
                <w:webHidden/>
              </w:rPr>
              <w:t>2</w:t>
            </w:r>
            <w:r w:rsidR="0069792C">
              <w:rPr>
                <w:noProof/>
                <w:webHidden/>
              </w:rPr>
              <w:fldChar w:fldCharType="end"/>
            </w:r>
          </w:hyperlink>
        </w:p>
        <w:p w14:paraId="57F212D7" w14:textId="2F47DF51" w:rsidR="0069792C" w:rsidRDefault="00324FED" w:rsidP="0069792C">
          <w:pPr>
            <w:pStyle w:val="TOC1"/>
            <w:tabs>
              <w:tab w:val="left" w:pos="440"/>
              <w:tab w:val="right" w:leader="dot" w:pos="9016"/>
            </w:tabs>
            <w:spacing w:before="100" w:beforeAutospacing="1" w:afterAutospacing="1" w:line="288" w:lineRule="auto"/>
            <w:rPr>
              <w:rFonts w:eastAsiaTheme="minorEastAsia"/>
              <w:noProof/>
              <w:lang w:eastAsia="en-IE"/>
            </w:rPr>
          </w:pPr>
          <w:hyperlink w:anchor="_Toc73613262" w:history="1">
            <w:r w:rsidR="0069792C" w:rsidRPr="00CC3E3F">
              <w:rPr>
                <w:rStyle w:val="Hyperlink"/>
                <w:rFonts w:cs="Arial"/>
                <w:noProof/>
              </w:rPr>
              <w:t>3.</w:t>
            </w:r>
            <w:r w:rsidR="0069792C">
              <w:rPr>
                <w:rFonts w:eastAsiaTheme="minorEastAsia"/>
                <w:noProof/>
                <w:lang w:eastAsia="en-IE"/>
              </w:rPr>
              <w:tab/>
            </w:r>
            <w:r w:rsidR="0069792C" w:rsidRPr="00CC3E3F">
              <w:rPr>
                <w:rStyle w:val="Hyperlink"/>
                <w:rFonts w:cs="Arial"/>
                <w:noProof/>
              </w:rPr>
              <w:t>Identification of Options</w:t>
            </w:r>
            <w:r w:rsidR="0069792C">
              <w:rPr>
                <w:noProof/>
                <w:webHidden/>
              </w:rPr>
              <w:tab/>
            </w:r>
            <w:r w:rsidR="0069792C">
              <w:rPr>
                <w:noProof/>
                <w:webHidden/>
              </w:rPr>
              <w:fldChar w:fldCharType="begin"/>
            </w:r>
            <w:r w:rsidR="0069792C">
              <w:rPr>
                <w:noProof/>
                <w:webHidden/>
              </w:rPr>
              <w:instrText xml:space="preserve"> PAGEREF _Toc73613262 \h </w:instrText>
            </w:r>
            <w:r w:rsidR="0069792C">
              <w:rPr>
                <w:noProof/>
                <w:webHidden/>
              </w:rPr>
            </w:r>
            <w:r w:rsidR="0069792C">
              <w:rPr>
                <w:noProof/>
                <w:webHidden/>
              </w:rPr>
              <w:fldChar w:fldCharType="separate"/>
            </w:r>
            <w:r w:rsidR="00991588">
              <w:rPr>
                <w:noProof/>
                <w:webHidden/>
              </w:rPr>
              <w:t>2</w:t>
            </w:r>
            <w:r w:rsidR="0069792C">
              <w:rPr>
                <w:noProof/>
                <w:webHidden/>
              </w:rPr>
              <w:fldChar w:fldCharType="end"/>
            </w:r>
          </w:hyperlink>
        </w:p>
        <w:p w14:paraId="7CC9A7DB" w14:textId="39933953" w:rsidR="0069792C" w:rsidRDefault="00324FED" w:rsidP="0069792C">
          <w:pPr>
            <w:pStyle w:val="TOC1"/>
            <w:tabs>
              <w:tab w:val="left" w:pos="440"/>
              <w:tab w:val="right" w:leader="dot" w:pos="9016"/>
            </w:tabs>
            <w:spacing w:before="100" w:beforeAutospacing="1" w:afterAutospacing="1" w:line="288" w:lineRule="auto"/>
            <w:rPr>
              <w:rFonts w:eastAsiaTheme="minorEastAsia"/>
              <w:noProof/>
              <w:lang w:eastAsia="en-IE"/>
            </w:rPr>
          </w:pPr>
          <w:hyperlink w:anchor="_Toc73613263" w:history="1">
            <w:r w:rsidR="0069792C" w:rsidRPr="00CC3E3F">
              <w:rPr>
                <w:rStyle w:val="Hyperlink"/>
                <w:rFonts w:cs="Arial"/>
                <w:noProof/>
              </w:rPr>
              <w:t>4.</w:t>
            </w:r>
            <w:r w:rsidR="0069792C">
              <w:rPr>
                <w:rFonts w:eastAsiaTheme="minorEastAsia"/>
                <w:noProof/>
                <w:lang w:eastAsia="en-IE"/>
              </w:rPr>
              <w:tab/>
            </w:r>
            <w:r w:rsidR="0069792C" w:rsidRPr="00CC3E3F">
              <w:rPr>
                <w:rStyle w:val="Hyperlink"/>
                <w:rFonts w:cs="Arial"/>
                <w:noProof/>
              </w:rPr>
              <w:t>Identification of Costs, Benefits and Impacts</w:t>
            </w:r>
            <w:r w:rsidR="0069792C">
              <w:rPr>
                <w:noProof/>
                <w:webHidden/>
              </w:rPr>
              <w:tab/>
            </w:r>
            <w:r w:rsidR="0069792C">
              <w:rPr>
                <w:noProof/>
                <w:webHidden/>
              </w:rPr>
              <w:fldChar w:fldCharType="begin"/>
            </w:r>
            <w:r w:rsidR="0069792C">
              <w:rPr>
                <w:noProof/>
                <w:webHidden/>
              </w:rPr>
              <w:instrText xml:space="preserve"> PAGEREF _Toc73613263 \h </w:instrText>
            </w:r>
            <w:r w:rsidR="0069792C">
              <w:rPr>
                <w:noProof/>
                <w:webHidden/>
              </w:rPr>
            </w:r>
            <w:r w:rsidR="0069792C">
              <w:rPr>
                <w:noProof/>
                <w:webHidden/>
              </w:rPr>
              <w:fldChar w:fldCharType="separate"/>
            </w:r>
            <w:r w:rsidR="00991588">
              <w:rPr>
                <w:noProof/>
                <w:webHidden/>
              </w:rPr>
              <w:t>2</w:t>
            </w:r>
            <w:r w:rsidR="0069792C">
              <w:rPr>
                <w:noProof/>
                <w:webHidden/>
              </w:rPr>
              <w:fldChar w:fldCharType="end"/>
            </w:r>
          </w:hyperlink>
        </w:p>
        <w:p w14:paraId="5F397006" w14:textId="1DD74B20" w:rsidR="0069792C" w:rsidRDefault="00324FED" w:rsidP="0069792C">
          <w:pPr>
            <w:pStyle w:val="TOC2"/>
            <w:tabs>
              <w:tab w:val="right" w:leader="dot" w:pos="9016"/>
            </w:tabs>
            <w:spacing w:before="100" w:beforeAutospacing="1" w:afterAutospacing="1" w:line="288" w:lineRule="auto"/>
            <w:rPr>
              <w:rFonts w:eastAsiaTheme="minorEastAsia"/>
              <w:noProof/>
              <w:lang w:eastAsia="en-IE"/>
            </w:rPr>
          </w:pPr>
          <w:hyperlink w:anchor="_Toc73613264" w:history="1">
            <w:r w:rsidR="0069792C" w:rsidRPr="00CC3E3F">
              <w:rPr>
                <w:rStyle w:val="Hyperlink"/>
                <w:rFonts w:cs="Arial"/>
                <w:noProof/>
              </w:rPr>
              <w:t>4.1 Costs</w:t>
            </w:r>
            <w:r w:rsidR="0069792C">
              <w:rPr>
                <w:noProof/>
                <w:webHidden/>
              </w:rPr>
              <w:tab/>
            </w:r>
            <w:r w:rsidR="0069792C">
              <w:rPr>
                <w:noProof/>
                <w:webHidden/>
              </w:rPr>
              <w:fldChar w:fldCharType="begin"/>
            </w:r>
            <w:r w:rsidR="0069792C">
              <w:rPr>
                <w:noProof/>
                <w:webHidden/>
              </w:rPr>
              <w:instrText xml:space="preserve"> PAGEREF _Toc73613264 \h </w:instrText>
            </w:r>
            <w:r w:rsidR="0069792C">
              <w:rPr>
                <w:noProof/>
                <w:webHidden/>
              </w:rPr>
            </w:r>
            <w:r w:rsidR="0069792C">
              <w:rPr>
                <w:noProof/>
                <w:webHidden/>
              </w:rPr>
              <w:fldChar w:fldCharType="separate"/>
            </w:r>
            <w:r w:rsidR="00991588">
              <w:rPr>
                <w:noProof/>
                <w:webHidden/>
              </w:rPr>
              <w:t>2</w:t>
            </w:r>
            <w:r w:rsidR="0069792C">
              <w:rPr>
                <w:noProof/>
                <w:webHidden/>
              </w:rPr>
              <w:fldChar w:fldCharType="end"/>
            </w:r>
          </w:hyperlink>
        </w:p>
        <w:p w14:paraId="398B6C93" w14:textId="5FDF6F68" w:rsidR="0069792C" w:rsidRDefault="00324FED" w:rsidP="0069792C">
          <w:pPr>
            <w:pStyle w:val="TOC2"/>
            <w:tabs>
              <w:tab w:val="right" w:leader="dot" w:pos="9016"/>
            </w:tabs>
            <w:spacing w:before="100" w:beforeAutospacing="1" w:afterAutospacing="1" w:line="288" w:lineRule="auto"/>
            <w:rPr>
              <w:rFonts w:eastAsiaTheme="minorEastAsia"/>
              <w:noProof/>
              <w:lang w:eastAsia="en-IE"/>
            </w:rPr>
          </w:pPr>
          <w:hyperlink w:anchor="_Toc73613265" w:history="1">
            <w:r w:rsidR="0069792C" w:rsidRPr="00CC3E3F">
              <w:rPr>
                <w:rStyle w:val="Hyperlink"/>
                <w:rFonts w:cs="Arial"/>
                <w:noProof/>
              </w:rPr>
              <w:t>4.2 Benefits</w:t>
            </w:r>
            <w:r w:rsidR="0069792C">
              <w:rPr>
                <w:noProof/>
                <w:webHidden/>
              </w:rPr>
              <w:tab/>
            </w:r>
            <w:r w:rsidR="0069792C">
              <w:rPr>
                <w:noProof/>
                <w:webHidden/>
              </w:rPr>
              <w:fldChar w:fldCharType="begin"/>
            </w:r>
            <w:r w:rsidR="0069792C">
              <w:rPr>
                <w:noProof/>
                <w:webHidden/>
              </w:rPr>
              <w:instrText xml:space="preserve"> PAGEREF _Toc73613265 \h </w:instrText>
            </w:r>
            <w:r w:rsidR="0069792C">
              <w:rPr>
                <w:noProof/>
                <w:webHidden/>
              </w:rPr>
            </w:r>
            <w:r w:rsidR="0069792C">
              <w:rPr>
                <w:noProof/>
                <w:webHidden/>
              </w:rPr>
              <w:fldChar w:fldCharType="separate"/>
            </w:r>
            <w:r w:rsidR="00991588">
              <w:rPr>
                <w:noProof/>
                <w:webHidden/>
              </w:rPr>
              <w:t>2</w:t>
            </w:r>
            <w:r w:rsidR="0069792C">
              <w:rPr>
                <w:noProof/>
                <w:webHidden/>
              </w:rPr>
              <w:fldChar w:fldCharType="end"/>
            </w:r>
          </w:hyperlink>
        </w:p>
        <w:p w14:paraId="34D10770" w14:textId="3CC9779A" w:rsidR="0069792C" w:rsidRDefault="00324FED" w:rsidP="0069792C">
          <w:pPr>
            <w:pStyle w:val="TOC2"/>
            <w:tabs>
              <w:tab w:val="right" w:leader="dot" w:pos="9016"/>
            </w:tabs>
            <w:spacing w:before="100" w:beforeAutospacing="1" w:afterAutospacing="1" w:line="288" w:lineRule="auto"/>
            <w:rPr>
              <w:rFonts w:eastAsiaTheme="minorEastAsia"/>
              <w:noProof/>
              <w:lang w:eastAsia="en-IE"/>
            </w:rPr>
          </w:pPr>
          <w:hyperlink w:anchor="_Toc73613266" w:history="1">
            <w:r w:rsidR="0069792C" w:rsidRPr="00CC3E3F">
              <w:rPr>
                <w:rStyle w:val="Hyperlink"/>
                <w:rFonts w:cs="Arial"/>
                <w:noProof/>
              </w:rPr>
              <w:t>4.3 Impacts</w:t>
            </w:r>
            <w:r w:rsidR="0069792C">
              <w:rPr>
                <w:noProof/>
                <w:webHidden/>
              </w:rPr>
              <w:tab/>
            </w:r>
            <w:r w:rsidR="0069792C">
              <w:rPr>
                <w:noProof/>
                <w:webHidden/>
              </w:rPr>
              <w:fldChar w:fldCharType="begin"/>
            </w:r>
            <w:r w:rsidR="0069792C">
              <w:rPr>
                <w:noProof/>
                <w:webHidden/>
              </w:rPr>
              <w:instrText xml:space="preserve"> PAGEREF _Toc73613266 \h </w:instrText>
            </w:r>
            <w:r w:rsidR="0069792C">
              <w:rPr>
                <w:noProof/>
                <w:webHidden/>
              </w:rPr>
            </w:r>
            <w:r w:rsidR="0069792C">
              <w:rPr>
                <w:noProof/>
                <w:webHidden/>
              </w:rPr>
              <w:fldChar w:fldCharType="separate"/>
            </w:r>
            <w:r w:rsidR="00991588">
              <w:rPr>
                <w:noProof/>
                <w:webHidden/>
              </w:rPr>
              <w:t>2</w:t>
            </w:r>
            <w:r w:rsidR="0069792C">
              <w:rPr>
                <w:noProof/>
                <w:webHidden/>
              </w:rPr>
              <w:fldChar w:fldCharType="end"/>
            </w:r>
          </w:hyperlink>
        </w:p>
        <w:p w14:paraId="52172AD4" w14:textId="0BDFBF29" w:rsidR="0069792C" w:rsidRDefault="00324FED" w:rsidP="0069792C">
          <w:pPr>
            <w:pStyle w:val="TOC1"/>
            <w:tabs>
              <w:tab w:val="left" w:pos="440"/>
              <w:tab w:val="right" w:leader="dot" w:pos="9016"/>
            </w:tabs>
            <w:spacing w:before="100" w:beforeAutospacing="1" w:afterAutospacing="1" w:line="288" w:lineRule="auto"/>
            <w:rPr>
              <w:rFonts w:eastAsiaTheme="minorEastAsia"/>
              <w:noProof/>
              <w:lang w:eastAsia="en-IE"/>
            </w:rPr>
          </w:pPr>
          <w:hyperlink w:anchor="_Toc73613267" w:history="1">
            <w:r w:rsidR="0069792C" w:rsidRPr="00CC3E3F">
              <w:rPr>
                <w:rStyle w:val="Hyperlink"/>
                <w:rFonts w:cs="Arial"/>
                <w:noProof/>
              </w:rPr>
              <w:t>5.</w:t>
            </w:r>
            <w:r w:rsidR="0069792C">
              <w:rPr>
                <w:rFonts w:eastAsiaTheme="minorEastAsia"/>
                <w:noProof/>
                <w:lang w:eastAsia="en-IE"/>
              </w:rPr>
              <w:tab/>
            </w:r>
            <w:r w:rsidR="0069792C" w:rsidRPr="00CC3E3F">
              <w:rPr>
                <w:rStyle w:val="Hyperlink"/>
                <w:rFonts w:cs="Arial"/>
                <w:noProof/>
              </w:rPr>
              <w:t>Consultation</w:t>
            </w:r>
            <w:r w:rsidR="0069792C">
              <w:rPr>
                <w:noProof/>
                <w:webHidden/>
              </w:rPr>
              <w:tab/>
            </w:r>
            <w:r w:rsidR="0069792C">
              <w:rPr>
                <w:noProof/>
                <w:webHidden/>
              </w:rPr>
              <w:fldChar w:fldCharType="begin"/>
            </w:r>
            <w:r w:rsidR="0069792C">
              <w:rPr>
                <w:noProof/>
                <w:webHidden/>
              </w:rPr>
              <w:instrText xml:space="preserve"> PAGEREF _Toc73613267 \h </w:instrText>
            </w:r>
            <w:r w:rsidR="0069792C">
              <w:rPr>
                <w:noProof/>
                <w:webHidden/>
              </w:rPr>
            </w:r>
            <w:r w:rsidR="0069792C">
              <w:rPr>
                <w:noProof/>
                <w:webHidden/>
              </w:rPr>
              <w:fldChar w:fldCharType="separate"/>
            </w:r>
            <w:r w:rsidR="00991588">
              <w:rPr>
                <w:noProof/>
                <w:webHidden/>
              </w:rPr>
              <w:t>2</w:t>
            </w:r>
            <w:r w:rsidR="0069792C">
              <w:rPr>
                <w:noProof/>
                <w:webHidden/>
              </w:rPr>
              <w:fldChar w:fldCharType="end"/>
            </w:r>
          </w:hyperlink>
        </w:p>
        <w:p w14:paraId="5DD2EA5E" w14:textId="42C46563" w:rsidR="0069792C" w:rsidRDefault="00324FED" w:rsidP="0069792C">
          <w:pPr>
            <w:pStyle w:val="TOC1"/>
            <w:tabs>
              <w:tab w:val="left" w:pos="440"/>
              <w:tab w:val="right" w:leader="dot" w:pos="9016"/>
            </w:tabs>
            <w:spacing w:before="100" w:beforeAutospacing="1" w:afterAutospacing="1" w:line="288" w:lineRule="auto"/>
            <w:rPr>
              <w:rFonts w:eastAsiaTheme="minorEastAsia"/>
              <w:noProof/>
              <w:lang w:eastAsia="en-IE"/>
            </w:rPr>
          </w:pPr>
          <w:hyperlink w:anchor="_Toc73613268" w:history="1">
            <w:r w:rsidR="0069792C" w:rsidRPr="00CC3E3F">
              <w:rPr>
                <w:rStyle w:val="Hyperlink"/>
                <w:rFonts w:cs="Arial"/>
                <w:noProof/>
              </w:rPr>
              <w:t>6.</w:t>
            </w:r>
            <w:r w:rsidR="0069792C">
              <w:rPr>
                <w:rFonts w:eastAsiaTheme="minorEastAsia"/>
                <w:noProof/>
                <w:lang w:eastAsia="en-IE"/>
              </w:rPr>
              <w:tab/>
            </w:r>
            <w:r w:rsidR="0069792C" w:rsidRPr="00CC3E3F">
              <w:rPr>
                <w:rStyle w:val="Hyperlink"/>
                <w:rFonts w:cs="Arial"/>
                <w:noProof/>
              </w:rPr>
              <w:t>Enforcement and Compliance</w:t>
            </w:r>
            <w:r w:rsidR="0069792C">
              <w:rPr>
                <w:noProof/>
                <w:webHidden/>
              </w:rPr>
              <w:tab/>
            </w:r>
            <w:r w:rsidR="0069792C">
              <w:rPr>
                <w:noProof/>
                <w:webHidden/>
              </w:rPr>
              <w:fldChar w:fldCharType="begin"/>
            </w:r>
            <w:r w:rsidR="0069792C">
              <w:rPr>
                <w:noProof/>
                <w:webHidden/>
              </w:rPr>
              <w:instrText xml:space="preserve"> PAGEREF _Toc73613268 \h </w:instrText>
            </w:r>
            <w:r w:rsidR="0069792C">
              <w:rPr>
                <w:noProof/>
                <w:webHidden/>
              </w:rPr>
            </w:r>
            <w:r w:rsidR="0069792C">
              <w:rPr>
                <w:noProof/>
                <w:webHidden/>
              </w:rPr>
              <w:fldChar w:fldCharType="separate"/>
            </w:r>
            <w:r w:rsidR="00991588">
              <w:rPr>
                <w:noProof/>
                <w:webHidden/>
              </w:rPr>
              <w:t>2</w:t>
            </w:r>
            <w:r w:rsidR="0069792C">
              <w:rPr>
                <w:noProof/>
                <w:webHidden/>
              </w:rPr>
              <w:fldChar w:fldCharType="end"/>
            </w:r>
          </w:hyperlink>
        </w:p>
        <w:p w14:paraId="7F7612CD" w14:textId="574041C3" w:rsidR="0069792C" w:rsidRDefault="00324FED" w:rsidP="0069792C">
          <w:pPr>
            <w:pStyle w:val="TOC1"/>
            <w:tabs>
              <w:tab w:val="left" w:pos="440"/>
              <w:tab w:val="right" w:leader="dot" w:pos="9016"/>
            </w:tabs>
            <w:spacing w:before="100" w:beforeAutospacing="1" w:afterAutospacing="1" w:line="288" w:lineRule="auto"/>
            <w:rPr>
              <w:rFonts w:eastAsiaTheme="minorEastAsia"/>
              <w:noProof/>
              <w:lang w:eastAsia="en-IE"/>
            </w:rPr>
          </w:pPr>
          <w:hyperlink w:anchor="_Toc73613269" w:history="1">
            <w:r w:rsidR="0069792C" w:rsidRPr="00CC3E3F">
              <w:rPr>
                <w:rStyle w:val="Hyperlink"/>
                <w:rFonts w:cs="Arial"/>
                <w:noProof/>
              </w:rPr>
              <w:t>7.</w:t>
            </w:r>
            <w:r w:rsidR="0069792C">
              <w:rPr>
                <w:rFonts w:eastAsiaTheme="minorEastAsia"/>
                <w:noProof/>
                <w:lang w:eastAsia="en-IE"/>
              </w:rPr>
              <w:tab/>
            </w:r>
            <w:r w:rsidR="0069792C" w:rsidRPr="00CC3E3F">
              <w:rPr>
                <w:rStyle w:val="Hyperlink"/>
                <w:rFonts w:cs="Arial"/>
                <w:noProof/>
              </w:rPr>
              <w:t>Review</w:t>
            </w:r>
            <w:r w:rsidR="0069792C">
              <w:rPr>
                <w:noProof/>
                <w:webHidden/>
              </w:rPr>
              <w:tab/>
            </w:r>
            <w:r w:rsidR="0069792C">
              <w:rPr>
                <w:noProof/>
                <w:webHidden/>
              </w:rPr>
              <w:fldChar w:fldCharType="begin"/>
            </w:r>
            <w:r w:rsidR="0069792C">
              <w:rPr>
                <w:noProof/>
                <w:webHidden/>
              </w:rPr>
              <w:instrText xml:space="preserve"> PAGEREF _Toc73613269 \h </w:instrText>
            </w:r>
            <w:r w:rsidR="0069792C">
              <w:rPr>
                <w:noProof/>
                <w:webHidden/>
              </w:rPr>
            </w:r>
            <w:r w:rsidR="0069792C">
              <w:rPr>
                <w:noProof/>
                <w:webHidden/>
              </w:rPr>
              <w:fldChar w:fldCharType="separate"/>
            </w:r>
            <w:r w:rsidR="00991588">
              <w:rPr>
                <w:noProof/>
                <w:webHidden/>
              </w:rPr>
              <w:t>2</w:t>
            </w:r>
            <w:r w:rsidR="0069792C">
              <w:rPr>
                <w:noProof/>
                <w:webHidden/>
              </w:rPr>
              <w:fldChar w:fldCharType="end"/>
            </w:r>
          </w:hyperlink>
        </w:p>
        <w:p w14:paraId="6FBC4FEF" w14:textId="2CCFC6BE" w:rsidR="0069792C" w:rsidRDefault="00324FED" w:rsidP="0069792C">
          <w:pPr>
            <w:pStyle w:val="TOC1"/>
            <w:tabs>
              <w:tab w:val="left" w:pos="440"/>
              <w:tab w:val="right" w:leader="dot" w:pos="9016"/>
            </w:tabs>
            <w:spacing w:before="100" w:beforeAutospacing="1" w:afterAutospacing="1" w:line="288" w:lineRule="auto"/>
            <w:rPr>
              <w:rFonts w:eastAsiaTheme="minorEastAsia"/>
              <w:noProof/>
              <w:lang w:eastAsia="en-IE"/>
            </w:rPr>
          </w:pPr>
          <w:hyperlink w:anchor="_Toc73613270" w:history="1">
            <w:r w:rsidR="0069792C" w:rsidRPr="00CC3E3F">
              <w:rPr>
                <w:rStyle w:val="Hyperlink"/>
                <w:rFonts w:cs="Arial"/>
                <w:noProof/>
              </w:rPr>
              <w:t>8.</w:t>
            </w:r>
            <w:r w:rsidR="0069792C">
              <w:rPr>
                <w:rFonts w:eastAsiaTheme="minorEastAsia"/>
                <w:noProof/>
                <w:lang w:eastAsia="en-IE"/>
              </w:rPr>
              <w:tab/>
            </w:r>
            <w:r w:rsidR="0069792C" w:rsidRPr="00CC3E3F">
              <w:rPr>
                <w:rStyle w:val="Hyperlink"/>
                <w:rFonts w:cs="Arial"/>
                <w:noProof/>
              </w:rPr>
              <w:t>Publication</w:t>
            </w:r>
            <w:r w:rsidR="0069792C">
              <w:rPr>
                <w:noProof/>
                <w:webHidden/>
              </w:rPr>
              <w:tab/>
            </w:r>
            <w:r w:rsidR="0069792C">
              <w:rPr>
                <w:noProof/>
                <w:webHidden/>
              </w:rPr>
              <w:fldChar w:fldCharType="begin"/>
            </w:r>
            <w:r w:rsidR="0069792C">
              <w:rPr>
                <w:noProof/>
                <w:webHidden/>
              </w:rPr>
              <w:instrText xml:space="preserve"> PAGEREF _Toc73613270 \h </w:instrText>
            </w:r>
            <w:r w:rsidR="0069792C">
              <w:rPr>
                <w:noProof/>
                <w:webHidden/>
              </w:rPr>
            </w:r>
            <w:r w:rsidR="0069792C">
              <w:rPr>
                <w:noProof/>
                <w:webHidden/>
              </w:rPr>
              <w:fldChar w:fldCharType="separate"/>
            </w:r>
            <w:r w:rsidR="00991588">
              <w:rPr>
                <w:noProof/>
                <w:webHidden/>
              </w:rPr>
              <w:t>2</w:t>
            </w:r>
            <w:r w:rsidR="0069792C">
              <w:rPr>
                <w:noProof/>
                <w:webHidden/>
              </w:rPr>
              <w:fldChar w:fldCharType="end"/>
            </w:r>
          </w:hyperlink>
        </w:p>
        <w:p w14:paraId="5E8B6509" w14:textId="036B7B0C" w:rsidR="007765E7" w:rsidRPr="0069792C" w:rsidRDefault="007765E7" w:rsidP="0069792C">
          <w:pPr>
            <w:spacing w:before="100" w:beforeAutospacing="1" w:after="100" w:afterAutospacing="1" w:line="288" w:lineRule="auto"/>
            <w:rPr>
              <w:rFonts w:ascii="Arial" w:hAnsi="Arial" w:cs="Arial"/>
            </w:rPr>
          </w:pPr>
          <w:r w:rsidRPr="0069792C">
            <w:rPr>
              <w:rFonts w:ascii="Arial" w:hAnsi="Arial" w:cs="Arial"/>
              <w:b/>
              <w:bCs/>
              <w:noProof/>
            </w:rPr>
            <w:fldChar w:fldCharType="end"/>
          </w:r>
        </w:p>
      </w:sdtContent>
    </w:sdt>
    <w:p w14:paraId="24AFE2C3" w14:textId="77777777" w:rsidR="007765E7" w:rsidRPr="0069792C" w:rsidRDefault="007765E7" w:rsidP="0069792C">
      <w:pPr>
        <w:spacing w:before="100" w:beforeAutospacing="1" w:after="100" w:afterAutospacing="1" w:line="288" w:lineRule="auto"/>
        <w:rPr>
          <w:rFonts w:ascii="Arial" w:hAnsi="Arial" w:cs="Arial"/>
          <w:b/>
          <w:sz w:val="32"/>
        </w:rPr>
      </w:pPr>
      <w:r w:rsidRPr="0069792C">
        <w:rPr>
          <w:rFonts w:ascii="Arial" w:hAnsi="Arial" w:cs="Arial"/>
          <w:b/>
          <w:sz w:val="32"/>
        </w:rPr>
        <w:br w:type="page"/>
      </w:r>
    </w:p>
    <w:p w14:paraId="0A9B1A2D" w14:textId="77777777" w:rsidR="007765E7" w:rsidRPr="0069792C" w:rsidRDefault="007765E7" w:rsidP="0069792C">
      <w:pPr>
        <w:pStyle w:val="Heading1"/>
        <w:numPr>
          <w:ilvl w:val="0"/>
          <w:numId w:val="3"/>
        </w:numPr>
        <w:spacing w:before="100" w:beforeAutospacing="1" w:after="100" w:afterAutospacing="1" w:line="288" w:lineRule="auto"/>
        <w:rPr>
          <w:rFonts w:cs="Arial"/>
        </w:rPr>
      </w:pPr>
      <w:bookmarkStart w:id="1" w:name="_Toc73613258"/>
      <w:r w:rsidRPr="0069792C">
        <w:rPr>
          <w:rFonts w:cs="Arial"/>
        </w:rPr>
        <w:lastRenderedPageBreak/>
        <w:t>Summary</w:t>
      </w:r>
      <w:bookmarkEnd w:id="1"/>
    </w:p>
    <w:tbl>
      <w:tblPr>
        <w:tblW w:w="8927" w:type="dxa"/>
        <w:tblInd w:w="109" w:type="dxa"/>
        <w:tblLayout w:type="fixed"/>
        <w:tblCellMar>
          <w:left w:w="0" w:type="dxa"/>
          <w:right w:w="0" w:type="dxa"/>
        </w:tblCellMar>
        <w:tblLook w:val="01E0" w:firstRow="1" w:lastRow="1" w:firstColumn="1" w:lastColumn="1" w:noHBand="0" w:noVBand="0"/>
      </w:tblPr>
      <w:tblGrid>
        <w:gridCol w:w="4461"/>
        <w:gridCol w:w="4466"/>
      </w:tblGrid>
      <w:tr w:rsidR="00282AFD" w:rsidRPr="0069792C" w14:paraId="0F88EC80" w14:textId="77777777" w:rsidTr="00B72EFB">
        <w:trPr>
          <w:trHeight w:hRule="exact" w:val="592"/>
        </w:trPr>
        <w:tc>
          <w:tcPr>
            <w:tcW w:w="8927" w:type="dxa"/>
            <w:gridSpan w:val="2"/>
            <w:tcBorders>
              <w:top w:val="single" w:sz="5" w:space="0" w:color="000000"/>
              <w:left w:val="single" w:sz="5" w:space="0" w:color="000000"/>
              <w:bottom w:val="single" w:sz="5" w:space="0" w:color="000000"/>
              <w:right w:val="single" w:sz="5" w:space="0" w:color="000000"/>
            </w:tcBorders>
          </w:tcPr>
          <w:p w14:paraId="7B47E0D3" w14:textId="77777777" w:rsidR="00282AFD" w:rsidRPr="0069792C" w:rsidRDefault="00282AFD" w:rsidP="0069792C">
            <w:pPr>
              <w:spacing w:before="100" w:beforeAutospacing="1" w:after="100" w:afterAutospacing="1" w:line="288" w:lineRule="auto"/>
              <w:ind w:left="105"/>
              <w:rPr>
                <w:rFonts w:ascii="Arial" w:eastAsia="Calibri" w:hAnsi="Arial" w:cs="Arial"/>
              </w:rPr>
            </w:pPr>
            <w:r w:rsidRPr="0069792C">
              <w:rPr>
                <w:rFonts w:ascii="Arial" w:eastAsia="Calibri" w:hAnsi="Arial" w:cs="Arial"/>
                <w:b/>
              </w:rPr>
              <w:t>Su</w:t>
            </w:r>
            <w:r w:rsidRPr="0069792C">
              <w:rPr>
                <w:rFonts w:ascii="Arial" w:eastAsia="Calibri" w:hAnsi="Arial" w:cs="Arial"/>
                <w:b/>
                <w:spacing w:val="-1"/>
              </w:rPr>
              <w:t>mma</w:t>
            </w:r>
            <w:r w:rsidRPr="0069792C">
              <w:rPr>
                <w:rFonts w:ascii="Arial" w:eastAsia="Calibri" w:hAnsi="Arial" w:cs="Arial"/>
                <w:b/>
                <w:spacing w:val="1"/>
              </w:rPr>
              <w:t>r</w:t>
            </w:r>
            <w:r w:rsidRPr="0069792C">
              <w:rPr>
                <w:rFonts w:ascii="Arial" w:eastAsia="Calibri" w:hAnsi="Arial" w:cs="Arial"/>
                <w:b/>
              </w:rPr>
              <w:t>y of</w:t>
            </w:r>
            <w:r w:rsidRPr="0069792C">
              <w:rPr>
                <w:rFonts w:ascii="Arial" w:eastAsia="Calibri" w:hAnsi="Arial" w:cs="Arial"/>
                <w:b/>
                <w:spacing w:val="2"/>
              </w:rPr>
              <w:t xml:space="preserve"> </w:t>
            </w:r>
            <w:r w:rsidRPr="0069792C">
              <w:rPr>
                <w:rFonts w:ascii="Arial" w:eastAsia="Calibri" w:hAnsi="Arial" w:cs="Arial"/>
                <w:b/>
                <w:spacing w:val="-1"/>
              </w:rPr>
              <w:t>Reg</w:t>
            </w:r>
            <w:r w:rsidRPr="0069792C">
              <w:rPr>
                <w:rFonts w:ascii="Arial" w:eastAsia="Calibri" w:hAnsi="Arial" w:cs="Arial"/>
                <w:b/>
                <w:spacing w:val="1"/>
              </w:rPr>
              <w:t>ul</w:t>
            </w:r>
            <w:r w:rsidRPr="0069792C">
              <w:rPr>
                <w:rFonts w:ascii="Arial" w:eastAsia="Calibri" w:hAnsi="Arial" w:cs="Arial"/>
                <w:b/>
                <w:spacing w:val="-1"/>
              </w:rPr>
              <w:t>a</w:t>
            </w:r>
            <w:r w:rsidRPr="0069792C">
              <w:rPr>
                <w:rFonts w:ascii="Arial" w:eastAsia="Calibri" w:hAnsi="Arial" w:cs="Arial"/>
                <w:b/>
              </w:rPr>
              <w:t>t</w:t>
            </w:r>
            <w:r w:rsidRPr="0069792C">
              <w:rPr>
                <w:rFonts w:ascii="Arial" w:eastAsia="Calibri" w:hAnsi="Arial" w:cs="Arial"/>
                <w:b/>
                <w:spacing w:val="1"/>
              </w:rPr>
              <w:t>or</w:t>
            </w:r>
            <w:r w:rsidRPr="0069792C">
              <w:rPr>
                <w:rFonts w:ascii="Arial" w:eastAsia="Calibri" w:hAnsi="Arial" w:cs="Arial"/>
                <w:b/>
              </w:rPr>
              <w:t>y</w:t>
            </w:r>
            <w:r w:rsidRPr="0069792C">
              <w:rPr>
                <w:rFonts w:ascii="Arial" w:eastAsia="Calibri" w:hAnsi="Arial" w:cs="Arial"/>
                <w:b/>
                <w:spacing w:val="-2"/>
              </w:rPr>
              <w:t xml:space="preserve"> </w:t>
            </w:r>
            <w:r w:rsidRPr="0069792C">
              <w:rPr>
                <w:rFonts w:ascii="Arial" w:eastAsia="Calibri" w:hAnsi="Arial" w:cs="Arial"/>
                <w:b/>
                <w:spacing w:val="1"/>
              </w:rPr>
              <w:t>I</w:t>
            </w:r>
            <w:r w:rsidRPr="0069792C">
              <w:rPr>
                <w:rFonts w:ascii="Arial" w:eastAsia="Calibri" w:hAnsi="Arial" w:cs="Arial"/>
                <w:b/>
                <w:spacing w:val="-1"/>
              </w:rPr>
              <w:t>m</w:t>
            </w:r>
            <w:r w:rsidRPr="0069792C">
              <w:rPr>
                <w:rFonts w:ascii="Arial" w:eastAsia="Calibri" w:hAnsi="Arial" w:cs="Arial"/>
                <w:b/>
                <w:spacing w:val="1"/>
              </w:rPr>
              <w:t>p</w:t>
            </w:r>
            <w:r w:rsidRPr="0069792C">
              <w:rPr>
                <w:rFonts w:ascii="Arial" w:eastAsia="Calibri" w:hAnsi="Arial" w:cs="Arial"/>
                <w:b/>
                <w:spacing w:val="-1"/>
              </w:rPr>
              <w:t>a</w:t>
            </w:r>
            <w:r w:rsidRPr="0069792C">
              <w:rPr>
                <w:rFonts w:ascii="Arial" w:eastAsia="Calibri" w:hAnsi="Arial" w:cs="Arial"/>
                <w:b/>
              </w:rPr>
              <w:t>ct</w:t>
            </w:r>
            <w:r w:rsidRPr="0069792C">
              <w:rPr>
                <w:rFonts w:ascii="Arial" w:eastAsia="Calibri" w:hAnsi="Arial" w:cs="Arial"/>
                <w:b/>
                <w:spacing w:val="2"/>
              </w:rPr>
              <w:t xml:space="preserve"> </w:t>
            </w:r>
            <w:r w:rsidRPr="0069792C">
              <w:rPr>
                <w:rFonts w:ascii="Arial" w:eastAsia="Calibri" w:hAnsi="Arial" w:cs="Arial"/>
                <w:b/>
                <w:spacing w:val="-1"/>
              </w:rPr>
              <w:t>A</w:t>
            </w:r>
            <w:r w:rsidRPr="0069792C">
              <w:rPr>
                <w:rFonts w:ascii="Arial" w:eastAsia="Calibri" w:hAnsi="Arial" w:cs="Arial"/>
                <w:b/>
                <w:spacing w:val="1"/>
              </w:rPr>
              <w:t>n</w:t>
            </w:r>
            <w:r w:rsidRPr="0069792C">
              <w:rPr>
                <w:rFonts w:ascii="Arial" w:eastAsia="Calibri" w:hAnsi="Arial" w:cs="Arial"/>
                <w:b/>
                <w:spacing w:val="-1"/>
              </w:rPr>
              <w:t>a</w:t>
            </w:r>
            <w:r w:rsidRPr="0069792C">
              <w:rPr>
                <w:rFonts w:ascii="Arial" w:eastAsia="Calibri" w:hAnsi="Arial" w:cs="Arial"/>
                <w:b/>
                <w:spacing w:val="1"/>
              </w:rPr>
              <w:t>l</w:t>
            </w:r>
            <w:r w:rsidRPr="0069792C">
              <w:rPr>
                <w:rFonts w:ascii="Arial" w:eastAsia="Calibri" w:hAnsi="Arial" w:cs="Arial"/>
                <w:b/>
                <w:spacing w:val="-1"/>
              </w:rPr>
              <w:t>y</w:t>
            </w:r>
            <w:r w:rsidRPr="0069792C">
              <w:rPr>
                <w:rFonts w:ascii="Arial" w:eastAsia="Calibri" w:hAnsi="Arial" w:cs="Arial"/>
                <w:b/>
              </w:rPr>
              <w:t>s</w:t>
            </w:r>
            <w:r w:rsidRPr="0069792C">
              <w:rPr>
                <w:rFonts w:ascii="Arial" w:eastAsia="Calibri" w:hAnsi="Arial" w:cs="Arial"/>
                <w:b/>
                <w:spacing w:val="1"/>
              </w:rPr>
              <w:t>i</w:t>
            </w:r>
            <w:r w:rsidRPr="0069792C">
              <w:rPr>
                <w:rFonts w:ascii="Arial" w:eastAsia="Calibri" w:hAnsi="Arial" w:cs="Arial"/>
                <w:b/>
              </w:rPr>
              <w:t>s</w:t>
            </w:r>
            <w:r w:rsidRPr="0069792C">
              <w:rPr>
                <w:rFonts w:ascii="Arial" w:eastAsia="Calibri" w:hAnsi="Arial" w:cs="Arial"/>
                <w:b/>
                <w:spacing w:val="1"/>
              </w:rPr>
              <w:t xml:space="preserve"> </w:t>
            </w:r>
            <w:r w:rsidRPr="0069792C">
              <w:rPr>
                <w:rFonts w:ascii="Arial" w:eastAsia="Calibri" w:hAnsi="Arial" w:cs="Arial"/>
                <w:b/>
              </w:rPr>
              <w:t>(</w:t>
            </w:r>
            <w:r w:rsidRPr="0069792C">
              <w:rPr>
                <w:rFonts w:ascii="Arial" w:eastAsia="Calibri" w:hAnsi="Arial" w:cs="Arial"/>
                <w:b/>
                <w:spacing w:val="-1"/>
              </w:rPr>
              <w:t>R</w:t>
            </w:r>
            <w:r w:rsidRPr="0069792C">
              <w:rPr>
                <w:rFonts w:ascii="Arial" w:eastAsia="Calibri" w:hAnsi="Arial" w:cs="Arial"/>
                <w:b/>
                <w:spacing w:val="-2"/>
              </w:rPr>
              <w:t>I</w:t>
            </w:r>
            <w:r w:rsidRPr="0069792C">
              <w:rPr>
                <w:rFonts w:ascii="Arial" w:eastAsia="Calibri" w:hAnsi="Arial" w:cs="Arial"/>
                <w:b/>
                <w:spacing w:val="1"/>
              </w:rPr>
              <w:t>A</w:t>
            </w:r>
            <w:r w:rsidRPr="0069792C">
              <w:rPr>
                <w:rFonts w:ascii="Arial" w:eastAsia="Calibri" w:hAnsi="Arial" w:cs="Arial"/>
                <w:b/>
              </w:rPr>
              <w:t>)</w:t>
            </w:r>
          </w:p>
        </w:tc>
      </w:tr>
      <w:tr w:rsidR="00282AFD" w:rsidRPr="0069792C" w14:paraId="6D40FF7D" w14:textId="77777777" w:rsidTr="009E140B">
        <w:trPr>
          <w:trHeight w:hRule="exact" w:val="577"/>
        </w:trPr>
        <w:tc>
          <w:tcPr>
            <w:tcW w:w="4461" w:type="dxa"/>
            <w:tcBorders>
              <w:top w:val="single" w:sz="5" w:space="0" w:color="000000"/>
              <w:left w:val="single" w:sz="5" w:space="0" w:color="000000"/>
              <w:bottom w:val="nil"/>
              <w:right w:val="single" w:sz="5" w:space="0" w:color="000000"/>
            </w:tcBorders>
          </w:tcPr>
          <w:p w14:paraId="12E5A911" w14:textId="77777777" w:rsidR="00282AFD" w:rsidRPr="0069792C" w:rsidRDefault="00282AFD" w:rsidP="0069792C">
            <w:pPr>
              <w:spacing w:before="100" w:beforeAutospacing="1" w:after="100" w:afterAutospacing="1" w:line="288" w:lineRule="auto"/>
              <w:ind w:left="105"/>
              <w:rPr>
                <w:rFonts w:ascii="Arial" w:eastAsia="Calibri" w:hAnsi="Arial" w:cs="Arial"/>
              </w:rPr>
            </w:pPr>
            <w:r w:rsidRPr="0069792C">
              <w:rPr>
                <w:rFonts w:ascii="Arial" w:eastAsia="Calibri" w:hAnsi="Arial" w:cs="Arial"/>
                <w:b/>
              </w:rPr>
              <w:t>D</w:t>
            </w:r>
            <w:r w:rsidRPr="0069792C">
              <w:rPr>
                <w:rFonts w:ascii="Arial" w:eastAsia="Calibri" w:hAnsi="Arial" w:cs="Arial"/>
                <w:b/>
                <w:spacing w:val="-1"/>
              </w:rPr>
              <w:t>e</w:t>
            </w:r>
            <w:r w:rsidRPr="0069792C">
              <w:rPr>
                <w:rFonts w:ascii="Arial" w:eastAsia="Calibri" w:hAnsi="Arial" w:cs="Arial"/>
                <w:b/>
                <w:spacing w:val="1"/>
              </w:rPr>
              <w:t>p</w:t>
            </w:r>
            <w:r w:rsidRPr="0069792C">
              <w:rPr>
                <w:rFonts w:ascii="Arial" w:eastAsia="Calibri" w:hAnsi="Arial" w:cs="Arial"/>
                <w:b/>
                <w:spacing w:val="-1"/>
              </w:rPr>
              <w:t>a</w:t>
            </w:r>
            <w:r w:rsidRPr="0069792C">
              <w:rPr>
                <w:rFonts w:ascii="Arial" w:eastAsia="Calibri" w:hAnsi="Arial" w:cs="Arial"/>
                <w:b/>
                <w:spacing w:val="1"/>
              </w:rPr>
              <w:t>r</w:t>
            </w:r>
            <w:r w:rsidRPr="0069792C">
              <w:rPr>
                <w:rFonts w:ascii="Arial" w:eastAsia="Calibri" w:hAnsi="Arial" w:cs="Arial"/>
                <w:b/>
              </w:rPr>
              <w:t>tm</w:t>
            </w:r>
            <w:r w:rsidRPr="0069792C">
              <w:rPr>
                <w:rFonts w:ascii="Arial" w:eastAsia="Calibri" w:hAnsi="Arial" w:cs="Arial"/>
                <w:b/>
                <w:spacing w:val="-1"/>
              </w:rPr>
              <w:t>e</w:t>
            </w:r>
            <w:r w:rsidRPr="0069792C">
              <w:rPr>
                <w:rFonts w:ascii="Arial" w:eastAsia="Calibri" w:hAnsi="Arial" w:cs="Arial"/>
                <w:b/>
                <w:spacing w:val="1"/>
              </w:rPr>
              <w:t>n</w:t>
            </w:r>
            <w:r w:rsidRPr="0069792C">
              <w:rPr>
                <w:rFonts w:ascii="Arial" w:eastAsia="Calibri" w:hAnsi="Arial" w:cs="Arial"/>
                <w:b/>
              </w:rPr>
              <w:t>t/</w:t>
            </w:r>
            <w:r w:rsidRPr="0069792C">
              <w:rPr>
                <w:rFonts w:ascii="Arial" w:eastAsia="Calibri" w:hAnsi="Arial" w:cs="Arial"/>
                <w:b/>
                <w:spacing w:val="2"/>
              </w:rPr>
              <w:t xml:space="preserve"> </w:t>
            </w:r>
            <w:r w:rsidRPr="0069792C">
              <w:rPr>
                <w:rFonts w:ascii="Arial" w:eastAsia="Calibri" w:hAnsi="Arial" w:cs="Arial"/>
                <w:b/>
                <w:spacing w:val="1"/>
              </w:rPr>
              <w:t>O</w:t>
            </w:r>
            <w:r w:rsidRPr="0069792C">
              <w:rPr>
                <w:rFonts w:ascii="Arial" w:eastAsia="Calibri" w:hAnsi="Arial" w:cs="Arial"/>
                <w:b/>
                <w:spacing w:val="-2"/>
              </w:rPr>
              <w:t>f</w:t>
            </w:r>
            <w:r w:rsidRPr="0069792C">
              <w:rPr>
                <w:rFonts w:ascii="Arial" w:eastAsia="Calibri" w:hAnsi="Arial" w:cs="Arial"/>
                <w:b/>
                <w:spacing w:val="1"/>
              </w:rPr>
              <w:t>fi</w:t>
            </w:r>
            <w:r w:rsidRPr="0069792C">
              <w:rPr>
                <w:rFonts w:ascii="Arial" w:eastAsia="Calibri" w:hAnsi="Arial" w:cs="Arial"/>
                <w:b/>
              </w:rPr>
              <w:t>ce:</w:t>
            </w:r>
          </w:p>
        </w:tc>
        <w:tc>
          <w:tcPr>
            <w:tcW w:w="4466" w:type="dxa"/>
            <w:vMerge w:val="restart"/>
            <w:tcBorders>
              <w:top w:val="single" w:sz="5" w:space="0" w:color="000000"/>
              <w:left w:val="single" w:sz="5" w:space="0" w:color="000000"/>
              <w:right w:val="single" w:sz="5" w:space="0" w:color="000000"/>
            </w:tcBorders>
          </w:tcPr>
          <w:p w14:paraId="0F93BE5B" w14:textId="77777777" w:rsidR="00282AFD" w:rsidRPr="0069792C" w:rsidRDefault="00282AFD" w:rsidP="0069792C">
            <w:pPr>
              <w:spacing w:before="100" w:beforeAutospacing="1" w:after="100" w:afterAutospacing="1" w:line="288" w:lineRule="auto"/>
              <w:ind w:left="102"/>
              <w:rPr>
                <w:rFonts w:ascii="Arial" w:eastAsia="Calibri" w:hAnsi="Arial" w:cs="Arial"/>
              </w:rPr>
            </w:pPr>
            <w:r w:rsidRPr="0069792C">
              <w:rPr>
                <w:rFonts w:ascii="Arial" w:eastAsia="Calibri" w:hAnsi="Arial" w:cs="Arial"/>
                <w:b/>
                <w:spacing w:val="1"/>
              </w:rPr>
              <w:t>Ti</w:t>
            </w:r>
            <w:r w:rsidRPr="0069792C">
              <w:rPr>
                <w:rFonts w:ascii="Arial" w:eastAsia="Calibri" w:hAnsi="Arial" w:cs="Arial"/>
                <w:b/>
                <w:spacing w:val="-2"/>
              </w:rPr>
              <w:t>t</w:t>
            </w:r>
            <w:r w:rsidRPr="0069792C">
              <w:rPr>
                <w:rFonts w:ascii="Arial" w:eastAsia="Calibri" w:hAnsi="Arial" w:cs="Arial"/>
                <w:b/>
                <w:spacing w:val="1"/>
              </w:rPr>
              <w:t>l</w:t>
            </w:r>
            <w:r w:rsidRPr="0069792C">
              <w:rPr>
                <w:rFonts w:ascii="Arial" w:eastAsia="Calibri" w:hAnsi="Arial" w:cs="Arial"/>
                <w:b/>
              </w:rPr>
              <w:t xml:space="preserve">e of </w:t>
            </w:r>
            <w:r w:rsidRPr="0069792C">
              <w:rPr>
                <w:rFonts w:ascii="Arial" w:eastAsia="Calibri" w:hAnsi="Arial" w:cs="Arial"/>
                <w:b/>
                <w:spacing w:val="-1"/>
              </w:rPr>
              <w:t>Leg</w:t>
            </w:r>
            <w:r w:rsidRPr="0069792C">
              <w:rPr>
                <w:rFonts w:ascii="Arial" w:eastAsia="Calibri" w:hAnsi="Arial" w:cs="Arial"/>
                <w:b/>
                <w:spacing w:val="1"/>
              </w:rPr>
              <w:t>i</w:t>
            </w:r>
            <w:r w:rsidRPr="0069792C">
              <w:rPr>
                <w:rFonts w:ascii="Arial" w:eastAsia="Calibri" w:hAnsi="Arial" w:cs="Arial"/>
                <w:b/>
              </w:rPr>
              <w:t>s</w:t>
            </w:r>
            <w:r w:rsidRPr="0069792C">
              <w:rPr>
                <w:rFonts w:ascii="Arial" w:eastAsia="Calibri" w:hAnsi="Arial" w:cs="Arial"/>
                <w:b/>
                <w:spacing w:val="1"/>
              </w:rPr>
              <w:t>l</w:t>
            </w:r>
            <w:r w:rsidRPr="0069792C">
              <w:rPr>
                <w:rFonts w:ascii="Arial" w:eastAsia="Calibri" w:hAnsi="Arial" w:cs="Arial"/>
                <w:b/>
                <w:spacing w:val="-1"/>
              </w:rPr>
              <w:t>a</w:t>
            </w:r>
            <w:r w:rsidRPr="0069792C">
              <w:rPr>
                <w:rFonts w:ascii="Arial" w:eastAsia="Calibri" w:hAnsi="Arial" w:cs="Arial"/>
                <w:b/>
              </w:rPr>
              <w:t>t</w:t>
            </w:r>
            <w:r w:rsidRPr="0069792C">
              <w:rPr>
                <w:rFonts w:ascii="Arial" w:eastAsia="Calibri" w:hAnsi="Arial" w:cs="Arial"/>
                <w:b/>
                <w:spacing w:val="2"/>
              </w:rPr>
              <w:t>i</w:t>
            </w:r>
            <w:r w:rsidRPr="0069792C">
              <w:rPr>
                <w:rFonts w:ascii="Arial" w:eastAsia="Calibri" w:hAnsi="Arial" w:cs="Arial"/>
                <w:b/>
                <w:spacing w:val="-2"/>
              </w:rPr>
              <w:t>o</w:t>
            </w:r>
            <w:r w:rsidRPr="0069792C">
              <w:rPr>
                <w:rFonts w:ascii="Arial" w:eastAsia="Calibri" w:hAnsi="Arial" w:cs="Arial"/>
                <w:b/>
                <w:spacing w:val="1"/>
              </w:rPr>
              <w:t>n</w:t>
            </w:r>
            <w:r w:rsidRPr="0069792C">
              <w:rPr>
                <w:rFonts w:ascii="Arial" w:eastAsia="Calibri" w:hAnsi="Arial" w:cs="Arial"/>
                <w:b/>
              </w:rPr>
              <w:t>:</w:t>
            </w:r>
          </w:p>
          <w:p w14:paraId="31FA5FFB" w14:textId="714DE648" w:rsidR="00282AFD" w:rsidRPr="0069792C" w:rsidRDefault="00B76475" w:rsidP="0069792C">
            <w:pPr>
              <w:spacing w:before="100" w:beforeAutospacing="1" w:after="100" w:afterAutospacing="1" w:line="288" w:lineRule="auto"/>
              <w:ind w:left="102"/>
              <w:rPr>
                <w:rFonts w:ascii="Arial" w:eastAsia="Calibri" w:hAnsi="Arial" w:cs="Arial"/>
              </w:rPr>
            </w:pPr>
            <w:r w:rsidRPr="00B76475">
              <w:rPr>
                <w:rFonts w:ascii="Arial" w:eastAsia="Calibri" w:hAnsi="Arial" w:cs="Arial"/>
              </w:rPr>
              <w:t>Planning and Development, Maritime and Valuation (Amendment) Bill 2022.</w:t>
            </w:r>
          </w:p>
        </w:tc>
      </w:tr>
      <w:tr w:rsidR="00282AFD" w:rsidRPr="0069792C" w14:paraId="077E8C78" w14:textId="77777777" w:rsidTr="009E140B">
        <w:trPr>
          <w:trHeight w:hRule="exact" w:val="1174"/>
        </w:trPr>
        <w:tc>
          <w:tcPr>
            <w:tcW w:w="4461" w:type="dxa"/>
            <w:tcBorders>
              <w:top w:val="nil"/>
              <w:left w:val="single" w:sz="5" w:space="0" w:color="000000"/>
              <w:bottom w:val="single" w:sz="5" w:space="0" w:color="000000"/>
              <w:right w:val="single" w:sz="5" w:space="0" w:color="000000"/>
            </w:tcBorders>
          </w:tcPr>
          <w:p w14:paraId="71966068" w14:textId="77777777" w:rsidR="00282AFD" w:rsidRPr="0069792C" w:rsidRDefault="00282AFD" w:rsidP="0069792C">
            <w:pPr>
              <w:spacing w:before="100" w:beforeAutospacing="1" w:after="100" w:afterAutospacing="1" w:line="288" w:lineRule="auto"/>
              <w:ind w:left="105"/>
              <w:rPr>
                <w:rFonts w:ascii="Arial" w:eastAsia="Calibri" w:hAnsi="Arial" w:cs="Arial"/>
              </w:rPr>
            </w:pPr>
            <w:r w:rsidRPr="0069792C">
              <w:rPr>
                <w:rFonts w:ascii="Arial" w:eastAsia="Calibri" w:hAnsi="Arial" w:cs="Arial"/>
                <w:spacing w:val="1"/>
              </w:rPr>
              <w:t>D</w:t>
            </w:r>
            <w:r w:rsidRPr="0069792C">
              <w:rPr>
                <w:rFonts w:ascii="Arial" w:eastAsia="Calibri" w:hAnsi="Arial" w:cs="Arial"/>
              </w:rPr>
              <w:t>e</w:t>
            </w:r>
            <w:r w:rsidRPr="0069792C">
              <w:rPr>
                <w:rFonts w:ascii="Arial" w:eastAsia="Calibri" w:hAnsi="Arial" w:cs="Arial"/>
                <w:spacing w:val="1"/>
              </w:rPr>
              <w:t>p</w:t>
            </w:r>
            <w:r w:rsidRPr="0069792C">
              <w:rPr>
                <w:rFonts w:ascii="Arial" w:eastAsia="Calibri" w:hAnsi="Arial" w:cs="Arial"/>
              </w:rPr>
              <w:t>a</w:t>
            </w:r>
            <w:r w:rsidRPr="0069792C">
              <w:rPr>
                <w:rFonts w:ascii="Arial" w:eastAsia="Calibri" w:hAnsi="Arial" w:cs="Arial"/>
                <w:spacing w:val="-2"/>
              </w:rPr>
              <w:t>r</w:t>
            </w:r>
            <w:r w:rsidRPr="0069792C">
              <w:rPr>
                <w:rFonts w:ascii="Arial" w:eastAsia="Calibri" w:hAnsi="Arial" w:cs="Arial"/>
                <w:spacing w:val="1"/>
              </w:rPr>
              <w:t>t</w:t>
            </w:r>
            <w:r w:rsidRPr="0069792C">
              <w:rPr>
                <w:rFonts w:ascii="Arial" w:eastAsia="Calibri" w:hAnsi="Arial" w:cs="Arial"/>
              </w:rPr>
              <w:t>m</w:t>
            </w:r>
            <w:r w:rsidRPr="0069792C">
              <w:rPr>
                <w:rFonts w:ascii="Arial" w:eastAsia="Calibri" w:hAnsi="Arial" w:cs="Arial"/>
                <w:spacing w:val="-2"/>
              </w:rPr>
              <w:t>e</w:t>
            </w:r>
            <w:r w:rsidRPr="0069792C">
              <w:rPr>
                <w:rFonts w:ascii="Arial" w:eastAsia="Calibri" w:hAnsi="Arial" w:cs="Arial"/>
                <w:spacing w:val="1"/>
              </w:rPr>
              <w:t>n</w:t>
            </w:r>
            <w:r w:rsidRPr="0069792C">
              <w:rPr>
                <w:rFonts w:ascii="Arial" w:eastAsia="Calibri" w:hAnsi="Arial" w:cs="Arial"/>
              </w:rPr>
              <w:t>t of Ho</w:t>
            </w:r>
            <w:r w:rsidRPr="0069792C">
              <w:rPr>
                <w:rFonts w:ascii="Arial" w:eastAsia="Calibri" w:hAnsi="Arial" w:cs="Arial"/>
                <w:spacing w:val="1"/>
              </w:rPr>
              <w:t>u</w:t>
            </w:r>
            <w:r w:rsidRPr="0069792C">
              <w:rPr>
                <w:rFonts w:ascii="Arial" w:eastAsia="Calibri" w:hAnsi="Arial" w:cs="Arial"/>
              </w:rPr>
              <w:t>s</w:t>
            </w:r>
            <w:r w:rsidRPr="0069792C">
              <w:rPr>
                <w:rFonts w:ascii="Arial" w:eastAsia="Calibri" w:hAnsi="Arial" w:cs="Arial"/>
                <w:spacing w:val="-3"/>
              </w:rPr>
              <w:t>i</w:t>
            </w:r>
            <w:r w:rsidRPr="0069792C">
              <w:rPr>
                <w:rFonts w:ascii="Arial" w:eastAsia="Calibri" w:hAnsi="Arial" w:cs="Arial"/>
                <w:spacing w:val="1"/>
              </w:rPr>
              <w:t>n</w:t>
            </w:r>
            <w:r w:rsidRPr="0069792C">
              <w:rPr>
                <w:rFonts w:ascii="Arial" w:eastAsia="Calibri" w:hAnsi="Arial" w:cs="Arial"/>
              </w:rPr>
              <w:t>g,</w:t>
            </w:r>
            <w:r w:rsidRPr="0069792C">
              <w:rPr>
                <w:rFonts w:ascii="Arial" w:eastAsia="Calibri" w:hAnsi="Arial" w:cs="Arial"/>
                <w:spacing w:val="-1"/>
              </w:rPr>
              <w:t xml:space="preserve"> </w:t>
            </w:r>
            <w:r w:rsidRPr="0069792C">
              <w:rPr>
                <w:rFonts w:ascii="Arial" w:eastAsia="Calibri" w:hAnsi="Arial" w:cs="Arial"/>
              </w:rPr>
              <w:t>Local</w:t>
            </w:r>
            <w:r w:rsidRPr="0069792C">
              <w:rPr>
                <w:rFonts w:ascii="Arial" w:eastAsia="Calibri" w:hAnsi="Arial" w:cs="Arial"/>
                <w:spacing w:val="1"/>
              </w:rPr>
              <w:t xml:space="preserve"> </w:t>
            </w:r>
            <w:r w:rsidRPr="0069792C">
              <w:rPr>
                <w:rFonts w:ascii="Arial" w:eastAsia="Calibri" w:hAnsi="Arial" w:cs="Arial"/>
              </w:rPr>
              <w:t>Gove</w:t>
            </w:r>
            <w:r w:rsidRPr="0069792C">
              <w:rPr>
                <w:rFonts w:ascii="Arial" w:eastAsia="Calibri" w:hAnsi="Arial" w:cs="Arial"/>
                <w:spacing w:val="1"/>
              </w:rPr>
              <w:t>rn</w:t>
            </w:r>
            <w:r w:rsidRPr="0069792C">
              <w:rPr>
                <w:rFonts w:ascii="Arial" w:eastAsia="Calibri" w:hAnsi="Arial" w:cs="Arial"/>
                <w:spacing w:val="-2"/>
              </w:rPr>
              <w:t>m</w:t>
            </w:r>
            <w:r w:rsidRPr="0069792C">
              <w:rPr>
                <w:rFonts w:ascii="Arial" w:eastAsia="Calibri" w:hAnsi="Arial" w:cs="Arial"/>
              </w:rPr>
              <w:t>e</w:t>
            </w:r>
            <w:r w:rsidRPr="0069792C">
              <w:rPr>
                <w:rFonts w:ascii="Arial" w:eastAsia="Calibri" w:hAnsi="Arial" w:cs="Arial"/>
                <w:spacing w:val="-1"/>
              </w:rPr>
              <w:t>n</w:t>
            </w:r>
            <w:r w:rsidRPr="0069792C">
              <w:rPr>
                <w:rFonts w:ascii="Arial" w:eastAsia="Calibri" w:hAnsi="Arial" w:cs="Arial"/>
              </w:rPr>
              <w:t>t a</w:t>
            </w:r>
            <w:r w:rsidRPr="0069792C">
              <w:rPr>
                <w:rFonts w:ascii="Arial" w:eastAsia="Calibri" w:hAnsi="Arial" w:cs="Arial"/>
                <w:spacing w:val="1"/>
              </w:rPr>
              <w:t>n</w:t>
            </w:r>
            <w:r w:rsidRPr="0069792C">
              <w:rPr>
                <w:rFonts w:ascii="Arial" w:eastAsia="Calibri" w:hAnsi="Arial" w:cs="Arial"/>
              </w:rPr>
              <w:t>d</w:t>
            </w:r>
            <w:r w:rsidRPr="0069792C">
              <w:rPr>
                <w:rFonts w:ascii="Arial" w:eastAsia="Calibri" w:hAnsi="Arial" w:cs="Arial"/>
                <w:spacing w:val="2"/>
              </w:rPr>
              <w:t xml:space="preserve"> </w:t>
            </w:r>
            <w:r w:rsidRPr="0069792C">
              <w:rPr>
                <w:rFonts w:ascii="Arial" w:eastAsia="Calibri" w:hAnsi="Arial" w:cs="Arial"/>
                <w:spacing w:val="-1"/>
              </w:rPr>
              <w:t>H</w:t>
            </w:r>
            <w:r w:rsidRPr="0069792C">
              <w:rPr>
                <w:rFonts w:ascii="Arial" w:eastAsia="Calibri" w:hAnsi="Arial" w:cs="Arial"/>
              </w:rPr>
              <w:t>e</w:t>
            </w:r>
            <w:r w:rsidRPr="0069792C">
              <w:rPr>
                <w:rFonts w:ascii="Arial" w:eastAsia="Calibri" w:hAnsi="Arial" w:cs="Arial"/>
                <w:spacing w:val="-1"/>
              </w:rPr>
              <w:t>r</w:t>
            </w:r>
            <w:r w:rsidRPr="0069792C">
              <w:rPr>
                <w:rFonts w:ascii="Arial" w:eastAsia="Calibri" w:hAnsi="Arial" w:cs="Arial"/>
              </w:rPr>
              <w:t>i</w:t>
            </w:r>
            <w:r w:rsidRPr="0069792C">
              <w:rPr>
                <w:rFonts w:ascii="Arial" w:eastAsia="Calibri" w:hAnsi="Arial" w:cs="Arial"/>
                <w:spacing w:val="1"/>
              </w:rPr>
              <w:t>t</w:t>
            </w:r>
            <w:r w:rsidRPr="0069792C">
              <w:rPr>
                <w:rFonts w:ascii="Arial" w:eastAsia="Calibri" w:hAnsi="Arial" w:cs="Arial"/>
              </w:rPr>
              <w:t>age</w:t>
            </w:r>
          </w:p>
        </w:tc>
        <w:tc>
          <w:tcPr>
            <w:tcW w:w="4466" w:type="dxa"/>
            <w:vMerge/>
            <w:tcBorders>
              <w:left w:val="single" w:sz="5" w:space="0" w:color="000000"/>
              <w:bottom w:val="single" w:sz="5" w:space="0" w:color="000000"/>
              <w:right w:val="single" w:sz="5" w:space="0" w:color="000000"/>
            </w:tcBorders>
          </w:tcPr>
          <w:p w14:paraId="30FD7BAE" w14:textId="77777777" w:rsidR="00282AFD" w:rsidRPr="0069792C" w:rsidRDefault="00282AFD" w:rsidP="0069792C">
            <w:pPr>
              <w:spacing w:before="100" w:beforeAutospacing="1" w:after="100" w:afterAutospacing="1" w:line="288" w:lineRule="auto"/>
              <w:rPr>
                <w:rFonts w:ascii="Arial" w:hAnsi="Arial" w:cs="Arial"/>
              </w:rPr>
            </w:pPr>
          </w:p>
        </w:tc>
      </w:tr>
      <w:tr w:rsidR="00282AFD" w:rsidRPr="0069792C" w14:paraId="724645AD" w14:textId="77777777" w:rsidTr="009E140B">
        <w:trPr>
          <w:trHeight w:hRule="exact" w:val="592"/>
        </w:trPr>
        <w:tc>
          <w:tcPr>
            <w:tcW w:w="4461" w:type="dxa"/>
            <w:tcBorders>
              <w:top w:val="single" w:sz="5" w:space="0" w:color="000000"/>
              <w:left w:val="single" w:sz="5" w:space="0" w:color="000000"/>
              <w:bottom w:val="single" w:sz="5" w:space="0" w:color="000000"/>
              <w:right w:val="single" w:sz="5" w:space="0" w:color="000000"/>
            </w:tcBorders>
          </w:tcPr>
          <w:p w14:paraId="1CDF8B4C" w14:textId="33F7B6AA" w:rsidR="00282AFD" w:rsidRPr="00F64AFA" w:rsidRDefault="00282AFD" w:rsidP="009E140B">
            <w:pPr>
              <w:spacing w:before="100" w:beforeAutospacing="1" w:after="100" w:afterAutospacing="1" w:line="288" w:lineRule="auto"/>
              <w:ind w:left="105"/>
              <w:rPr>
                <w:rFonts w:ascii="Arial" w:eastAsia="Calibri" w:hAnsi="Arial" w:cs="Arial"/>
              </w:rPr>
            </w:pPr>
            <w:r w:rsidRPr="00F64AFA">
              <w:rPr>
                <w:rFonts w:ascii="Arial" w:eastAsia="Calibri" w:hAnsi="Arial" w:cs="Arial"/>
                <w:b/>
              </w:rPr>
              <w:t>St</w:t>
            </w:r>
            <w:r w:rsidRPr="00F64AFA">
              <w:rPr>
                <w:rFonts w:ascii="Arial" w:eastAsia="Calibri" w:hAnsi="Arial" w:cs="Arial"/>
                <w:b/>
                <w:spacing w:val="-1"/>
              </w:rPr>
              <w:t>age</w:t>
            </w:r>
            <w:r w:rsidRPr="00F64AFA">
              <w:rPr>
                <w:rFonts w:ascii="Arial" w:eastAsia="Calibri" w:hAnsi="Arial" w:cs="Arial"/>
                <w:b/>
              </w:rPr>
              <w:t>:</w:t>
            </w:r>
            <w:r w:rsidRPr="00F64AFA">
              <w:rPr>
                <w:rFonts w:ascii="Arial" w:eastAsia="Calibri" w:hAnsi="Arial" w:cs="Arial"/>
                <w:b/>
                <w:spacing w:val="2"/>
              </w:rPr>
              <w:t xml:space="preserve"> </w:t>
            </w:r>
            <w:r w:rsidR="009E140B">
              <w:rPr>
                <w:rFonts w:ascii="Arial" w:eastAsia="Calibri" w:hAnsi="Arial" w:cs="Arial"/>
              </w:rPr>
              <w:t>Bill</w:t>
            </w:r>
          </w:p>
        </w:tc>
        <w:tc>
          <w:tcPr>
            <w:tcW w:w="4466" w:type="dxa"/>
            <w:tcBorders>
              <w:top w:val="single" w:sz="5" w:space="0" w:color="000000"/>
              <w:left w:val="single" w:sz="5" w:space="0" w:color="000000"/>
              <w:bottom w:val="single" w:sz="5" w:space="0" w:color="000000"/>
              <w:right w:val="single" w:sz="5" w:space="0" w:color="000000"/>
            </w:tcBorders>
          </w:tcPr>
          <w:p w14:paraId="46EFA2D3" w14:textId="6C3D2746" w:rsidR="00282AFD" w:rsidRPr="00F64AFA" w:rsidRDefault="00282AFD" w:rsidP="00D27CAD">
            <w:pPr>
              <w:spacing w:before="100" w:beforeAutospacing="1" w:after="100" w:afterAutospacing="1" w:line="288" w:lineRule="auto"/>
              <w:ind w:left="102"/>
              <w:rPr>
                <w:rFonts w:ascii="Arial" w:eastAsia="Calibri" w:hAnsi="Arial" w:cs="Arial"/>
              </w:rPr>
            </w:pPr>
            <w:r w:rsidRPr="00F64AFA">
              <w:rPr>
                <w:rFonts w:ascii="Arial" w:eastAsia="Calibri" w:hAnsi="Arial" w:cs="Arial"/>
                <w:b/>
              </w:rPr>
              <w:t>D</w:t>
            </w:r>
            <w:r w:rsidRPr="00F64AFA">
              <w:rPr>
                <w:rFonts w:ascii="Arial" w:eastAsia="Calibri" w:hAnsi="Arial" w:cs="Arial"/>
                <w:b/>
                <w:spacing w:val="-1"/>
              </w:rPr>
              <w:t>a</w:t>
            </w:r>
            <w:r w:rsidRPr="00F64AFA">
              <w:rPr>
                <w:rFonts w:ascii="Arial" w:eastAsia="Calibri" w:hAnsi="Arial" w:cs="Arial"/>
                <w:b/>
              </w:rPr>
              <w:t>te:</w:t>
            </w:r>
            <w:r w:rsidRPr="00F64AFA">
              <w:rPr>
                <w:rFonts w:ascii="Arial" w:eastAsia="Calibri" w:hAnsi="Arial" w:cs="Arial"/>
                <w:b/>
                <w:spacing w:val="2"/>
              </w:rPr>
              <w:t xml:space="preserve"> </w:t>
            </w:r>
            <w:r w:rsidR="00F73201">
              <w:rPr>
                <w:rFonts w:ascii="Arial" w:eastAsia="Calibri" w:hAnsi="Arial" w:cs="Arial"/>
                <w:spacing w:val="1"/>
              </w:rPr>
              <w:t xml:space="preserve"> </w:t>
            </w:r>
            <w:r w:rsidR="002975C1">
              <w:rPr>
                <w:rFonts w:ascii="Arial" w:eastAsia="Calibri" w:hAnsi="Arial" w:cs="Arial"/>
                <w:spacing w:val="1"/>
              </w:rPr>
              <w:t>Finalised 10</w:t>
            </w:r>
            <w:r w:rsidR="00B76475">
              <w:rPr>
                <w:rFonts w:ascii="Arial" w:eastAsia="Calibri" w:hAnsi="Arial" w:cs="Arial"/>
                <w:spacing w:val="1"/>
              </w:rPr>
              <w:t xml:space="preserve"> </w:t>
            </w:r>
            <w:r w:rsidR="00D27CAD">
              <w:rPr>
                <w:rFonts w:ascii="Arial" w:eastAsia="Calibri" w:hAnsi="Arial" w:cs="Arial"/>
                <w:spacing w:val="1"/>
              </w:rPr>
              <w:t xml:space="preserve">August </w:t>
            </w:r>
            <w:r w:rsidR="00F64AFA" w:rsidRPr="00F64AFA">
              <w:rPr>
                <w:rFonts w:ascii="Arial" w:eastAsia="Calibri" w:hAnsi="Arial" w:cs="Arial"/>
                <w:spacing w:val="1"/>
              </w:rPr>
              <w:t>202</w:t>
            </w:r>
            <w:r w:rsidR="00B76475">
              <w:rPr>
                <w:rFonts w:ascii="Arial" w:eastAsia="Calibri" w:hAnsi="Arial" w:cs="Arial"/>
                <w:spacing w:val="1"/>
              </w:rPr>
              <w:t>2</w:t>
            </w:r>
          </w:p>
        </w:tc>
      </w:tr>
      <w:tr w:rsidR="00282AFD" w:rsidRPr="0069792C" w14:paraId="0AF1F383" w14:textId="77777777" w:rsidTr="00B72EFB">
        <w:trPr>
          <w:trHeight w:hRule="exact" w:val="2278"/>
        </w:trPr>
        <w:tc>
          <w:tcPr>
            <w:tcW w:w="8927" w:type="dxa"/>
            <w:gridSpan w:val="2"/>
            <w:tcBorders>
              <w:left w:val="single" w:sz="5" w:space="0" w:color="000000"/>
              <w:bottom w:val="single" w:sz="5" w:space="0" w:color="000000"/>
              <w:right w:val="single" w:sz="5" w:space="0" w:color="000000"/>
            </w:tcBorders>
          </w:tcPr>
          <w:p w14:paraId="2760BF19" w14:textId="77777777" w:rsidR="005522AE" w:rsidRDefault="00D27CAD" w:rsidP="00D27CAD">
            <w:pPr>
              <w:spacing w:before="100" w:beforeAutospacing="1" w:after="100" w:afterAutospacing="1" w:line="288" w:lineRule="auto"/>
            </w:pPr>
            <w:r w:rsidRPr="00D27CAD">
              <w:rPr>
                <w:rFonts w:ascii="Arial" w:hAnsi="Arial" w:cs="Arial"/>
                <w:b/>
              </w:rPr>
              <w:t>Related Publications:</w:t>
            </w:r>
            <w:r w:rsidR="005522AE">
              <w:t xml:space="preserve"> </w:t>
            </w:r>
          </w:p>
          <w:p w14:paraId="6256177E" w14:textId="458FFC98" w:rsidR="00D27CAD" w:rsidRPr="00D27CAD" w:rsidRDefault="005522AE" w:rsidP="00D27CAD">
            <w:pPr>
              <w:spacing w:before="100" w:beforeAutospacing="1" w:after="100" w:afterAutospacing="1" w:line="288" w:lineRule="auto"/>
              <w:rPr>
                <w:rFonts w:ascii="Arial" w:hAnsi="Arial" w:cs="Arial"/>
                <w:b/>
              </w:rPr>
            </w:pPr>
            <w:r w:rsidRPr="005522AE">
              <w:rPr>
                <w:rFonts w:ascii="Arial" w:hAnsi="Arial" w:cs="Arial"/>
                <w:b/>
              </w:rPr>
              <w:t>Housing for All - a New Housing Plan for Ireland</w:t>
            </w:r>
          </w:p>
          <w:p w14:paraId="1BD03A81" w14:textId="289198A8" w:rsidR="00D27CAD" w:rsidRPr="00D27CAD" w:rsidRDefault="00D27CAD" w:rsidP="00D27CAD">
            <w:pPr>
              <w:spacing w:before="100" w:beforeAutospacing="1" w:after="100" w:afterAutospacing="1" w:line="288" w:lineRule="auto"/>
              <w:rPr>
                <w:rFonts w:ascii="Arial" w:hAnsi="Arial" w:cs="Arial"/>
              </w:rPr>
            </w:pPr>
          </w:p>
          <w:p w14:paraId="03AC7ADC" w14:textId="7DE14829" w:rsidR="00282AFD" w:rsidRPr="0069792C" w:rsidRDefault="00282AFD" w:rsidP="00D27CAD">
            <w:pPr>
              <w:spacing w:before="100" w:beforeAutospacing="1" w:after="100" w:afterAutospacing="1" w:line="288" w:lineRule="auto"/>
              <w:rPr>
                <w:rFonts w:ascii="Arial" w:hAnsi="Arial" w:cs="Arial"/>
              </w:rPr>
            </w:pPr>
          </w:p>
        </w:tc>
      </w:tr>
      <w:tr w:rsidR="00282AFD" w:rsidRPr="0069792C" w14:paraId="705A5EAC" w14:textId="77777777" w:rsidTr="00B72EFB">
        <w:trPr>
          <w:trHeight w:hRule="exact" w:val="572"/>
        </w:trPr>
        <w:tc>
          <w:tcPr>
            <w:tcW w:w="8927" w:type="dxa"/>
            <w:gridSpan w:val="2"/>
            <w:vMerge w:val="restart"/>
            <w:tcBorders>
              <w:top w:val="single" w:sz="5" w:space="0" w:color="000000"/>
              <w:left w:val="single" w:sz="5" w:space="0" w:color="000000"/>
              <w:right w:val="single" w:sz="5" w:space="0" w:color="000000"/>
            </w:tcBorders>
          </w:tcPr>
          <w:p w14:paraId="7F1794CB" w14:textId="77777777" w:rsidR="00282AFD" w:rsidRPr="0069792C" w:rsidRDefault="00282AFD" w:rsidP="0069792C">
            <w:pPr>
              <w:spacing w:before="100" w:beforeAutospacing="1" w:after="100" w:afterAutospacing="1" w:line="288" w:lineRule="auto"/>
              <w:ind w:left="105"/>
              <w:rPr>
                <w:rFonts w:ascii="Arial" w:eastAsia="Calibri" w:hAnsi="Arial" w:cs="Arial"/>
              </w:rPr>
            </w:pPr>
            <w:r w:rsidRPr="0069792C">
              <w:rPr>
                <w:rFonts w:ascii="Arial" w:eastAsia="Calibri" w:hAnsi="Arial" w:cs="Arial"/>
                <w:b/>
                <w:spacing w:val="1"/>
              </w:rPr>
              <w:t>A</w:t>
            </w:r>
            <w:r w:rsidRPr="0069792C">
              <w:rPr>
                <w:rFonts w:ascii="Arial" w:eastAsia="Calibri" w:hAnsi="Arial" w:cs="Arial"/>
                <w:b/>
              </w:rPr>
              <w:t>v</w:t>
            </w:r>
            <w:r w:rsidRPr="0069792C">
              <w:rPr>
                <w:rFonts w:ascii="Arial" w:eastAsia="Calibri" w:hAnsi="Arial" w:cs="Arial"/>
                <w:b/>
                <w:spacing w:val="-2"/>
              </w:rPr>
              <w:t>a</w:t>
            </w:r>
            <w:r w:rsidRPr="0069792C">
              <w:rPr>
                <w:rFonts w:ascii="Arial" w:eastAsia="Calibri" w:hAnsi="Arial" w:cs="Arial"/>
                <w:b/>
                <w:spacing w:val="1"/>
              </w:rPr>
              <w:t>il</w:t>
            </w:r>
            <w:r w:rsidRPr="0069792C">
              <w:rPr>
                <w:rFonts w:ascii="Arial" w:eastAsia="Calibri" w:hAnsi="Arial" w:cs="Arial"/>
                <w:b/>
                <w:spacing w:val="-1"/>
              </w:rPr>
              <w:t>a</w:t>
            </w:r>
            <w:r w:rsidRPr="0069792C">
              <w:rPr>
                <w:rFonts w:ascii="Arial" w:eastAsia="Calibri" w:hAnsi="Arial" w:cs="Arial"/>
                <w:b/>
                <w:spacing w:val="1"/>
              </w:rPr>
              <w:t>bl</w:t>
            </w:r>
            <w:r w:rsidRPr="0069792C">
              <w:rPr>
                <w:rFonts w:ascii="Arial" w:eastAsia="Calibri" w:hAnsi="Arial" w:cs="Arial"/>
                <w:b/>
              </w:rPr>
              <w:t xml:space="preserve">e </w:t>
            </w:r>
            <w:r w:rsidRPr="0069792C">
              <w:rPr>
                <w:rFonts w:ascii="Arial" w:eastAsia="Calibri" w:hAnsi="Arial" w:cs="Arial"/>
                <w:b/>
                <w:spacing w:val="-2"/>
              </w:rPr>
              <w:t>t</w:t>
            </w:r>
            <w:r w:rsidRPr="0069792C">
              <w:rPr>
                <w:rFonts w:ascii="Arial" w:eastAsia="Calibri" w:hAnsi="Arial" w:cs="Arial"/>
                <w:b/>
              </w:rPr>
              <w:t>o</w:t>
            </w:r>
            <w:r w:rsidRPr="0069792C">
              <w:rPr>
                <w:rFonts w:ascii="Arial" w:eastAsia="Calibri" w:hAnsi="Arial" w:cs="Arial"/>
                <w:b/>
                <w:spacing w:val="1"/>
              </w:rPr>
              <w:t xml:space="preserve"> </w:t>
            </w:r>
            <w:r w:rsidRPr="0069792C">
              <w:rPr>
                <w:rFonts w:ascii="Arial" w:eastAsia="Calibri" w:hAnsi="Arial" w:cs="Arial"/>
                <w:b/>
              </w:rPr>
              <w:t>view</w:t>
            </w:r>
            <w:r w:rsidRPr="0069792C">
              <w:rPr>
                <w:rFonts w:ascii="Arial" w:eastAsia="Calibri" w:hAnsi="Arial" w:cs="Arial"/>
                <w:b/>
                <w:spacing w:val="-1"/>
              </w:rPr>
              <w:t xml:space="preserve"> </w:t>
            </w:r>
            <w:r w:rsidRPr="0069792C">
              <w:rPr>
                <w:rFonts w:ascii="Arial" w:eastAsia="Calibri" w:hAnsi="Arial" w:cs="Arial"/>
                <w:b/>
              </w:rPr>
              <w:t xml:space="preserve">or </w:t>
            </w:r>
            <w:r w:rsidRPr="0069792C">
              <w:rPr>
                <w:rFonts w:ascii="Arial" w:eastAsia="Calibri" w:hAnsi="Arial" w:cs="Arial"/>
                <w:b/>
                <w:spacing w:val="1"/>
              </w:rPr>
              <w:t>d</w:t>
            </w:r>
            <w:r w:rsidRPr="0069792C">
              <w:rPr>
                <w:rFonts w:ascii="Arial" w:eastAsia="Calibri" w:hAnsi="Arial" w:cs="Arial"/>
                <w:b/>
                <w:spacing w:val="-2"/>
              </w:rPr>
              <w:t>o</w:t>
            </w:r>
            <w:r w:rsidRPr="0069792C">
              <w:rPr>
                <w:rFonts w:ascii="Arial" w:eastAsia="Calibri" w:hAnsi="Arial" w:cs="Arial"/>
                <w:b/>
                <w:spacing w:val="1"/>
              </w:rPr>
              <w:t>wnl</w:t>
            </w:r>
            <w:r w:rsidRPr="0069792C">
              <w:rPr>
                <w:rFonts w:ascii="Arial" w:eastAsia="Calibri" w:hAnsi="Arial" w:cs="Arial"/>
                <w:b/>
              </w:rPr>
              <w:t>oad</w:t>
            </w:r>
            <w:r w:rsidRPr="0069792C">
              <w:rPr>
                <w:rFonts w:ascii="Arial" w:eastAsia="Calibri" w:hAnsi="Arial" w:cs="Arial"/>
                <w:b/>
                <w:spacing w:val="-1"/>
              </w:rPr>
              <w:t xml:space="preserve"> a</w:t>
            </w:r>
            <w:r w:rsidRPr="0069792C">
              <w:rPr>
                <w:rFonts w:ascii="Arial" w:eastAsia="Calibri" w:hAnsi="Arial" w:cs="Arial"/>
                <w:b/>
              </w:rPr>
              <w:t>t:</w:t>
            </w:r>
          </w:p>
          <w:p w14:paraId="46B43664" w14:textId="31275DAB" w:rsidR="00282AFD" w:rsidRPr="0069792C" w:rsidRDefault="00324FED" w:rsidP="0069792C">
            <w:pPr>
              <w:spacing w:before="100" w:beforeAutospacing="1" w:after="100" w:afterAutospacing="1" w:line="288" w:lineRule="auto"/>
              <w:ind w:left="105"/>
              <w:rPr>
                <w:rFonts w:ascii="Arial" w:eastAsia="Calibri" w:hAnsi="Arial" w:cs="Arial"/>
                <w:color w:val="0000FF"/>
                <w:u w:val="single" w:color="0000FF"/>
              </w:rPr>
            </w:pPr>
            <w:hyperlink r:id="rId11" w:history="1">
              <w:r w:rsidR="00CA15CE" w:rsidRPr="003E4B39">
                <w:rPr>
                  <w:rStyle w:val="Hyperlink"/>
                  <w:rFonts w:ascii="Arial" w:eastAsia="Calibri" w:hAnsi="Arial" w:cs="Arial"/>
                  <w:u w:color="0000FF"/>
                </w:rPr>
                <w:t>https://www.gov.ie/en/publication/ef5ec-housing-for-all-a-new-housing-plan-for-ireland/</w:t>
              </w:r>
            </w:hyperlink>
            <w:r w:rsidR="00CA15CE">
              <w:rPr>
                <w:rFonts w:ascii="Arial" w:eastAsia="Calibri" w:hAnsi="Arial" w:cs="Arial"/>
                <w:color w:val="0000FF"/>
                <w:u w:val="single" w:color="0000FF"/>
              </w:rPr>
              <w:t xml:space="preserve"> </w:t>
            </w:r>
          </w:p>
          <w:p w14:paraId="0A9783E8" w14:textId="77777777" w:rsidR="00282AFD" w:rsidRPr="0069792C" w:rsidRDefault="00282AFD" w:rsidP="0069792C">
            <w:pPr>
              <w:spacing w:before="100" w:beforeAutospacing="1" w:after="100" w:afterAutospacing="1" w:line="288" w:lineRule="auto"/>
              <w:ind w:left="105"/>
              <w:rPr>
                <w:rFonts w:ascii="Arial" w:eastAsia="Calibri" w:hAnsi="Arial" w:cs="Arial"/>
                <w:color w:val="0000FF"/>
                <w:u w:val="single" w:color="0000FF"/>
              </w:rPr>
            </w:pPr>
          </w:p>
          <w:p w14:paraId="71AC0C22" w14:textId="77777777" w:rsidR="00282AFD" w:rsidRPr="0069792C" w:rsidRDefault="00282AFD" w:rsidP="0069792C">
            <w:pPr>
              <w:spacing w:before="100" w:beforeAutospacing="1" w:after="100" w:afterAutospacing="1" w:line="288" w:lineRule="auto"/>
              <w:ind w:left="105"/>
              <w:rPr>
                <w:rFonts w:ascii="Arial" w:eastAsia="Calibri" w:hAnsi="Arial" w:cs="Arial"/>
              </w:rPr>
            </w:pPr>
          </w:p>
        </w:tc>
      </w:tr>
      <w:tr w:rsidR="00282AFD" w:rsidRPr="0069792C" w14:paraId="488AFE3D" w14:textId="77777777" w:rsidTr="00B72EFB">
        <w:trPr>
          <w:trHeight w:hRule="exact" w:val="670"/>
        </w:trPr>
        <w:tc>
          <w:tcPr>
            <w:tcW w:w="8927" w:type="dxa"/>
            <w:gridSpan w:val="2"/>
            <w:vMerge/>
            <w:tcBorders>
              <w:left w:val="single" w:sz="5" w:space="0" w:color="000000"/>
              <w:bottom w:val="single" w:sz="5" w:space="0" w:color="000000"/>
              <w:right w:val="single" w:sz="5" w:space="0" w:color="000000"/>
            </w:tcBorders>
          </w:tcPr>
          <w:p w14:paraId="55EEE318" w14:textId="77777777" w:rsidR="00282AFD" w:rsidRPr="0069792C" w:rsidRDefault="00282AFD" w:rsidP="0069792C">
            <w:pPr>
              <w:spacing w:before="100" w:beforeAutospacing="1" w:after="100" w:afterAutospacing="1" w:line="288" w:lineRule="auto"/>
              <w:rPr>
                <w:rFonts w:ascii="Arial" w:hAnsi="Arial" w:cs="Arial"/>
              </w:rPr>
            </w:pPr>
          </w:p>
        </w:tc>
      </w:tr>
      <w:tr w:rsidR="00282AFD" w:rsidRPr="0069792C" w14:paraId="46CEE5EA" w14:textId="77777777" w:rsidTr="00535690">
        <w:trPr>
          <w:trHeight w:hRule="exact" w:val="6675"/>
        </w:trPr>
        <w:tc>
          <w:tcPr>
            <w:tcW w:w="8927" w:type="dxa"/>
            <w:gridSpan w:val="2"/>
            <w:vMerge w:val="restart"/>
            <w:tcBorders>
              <w:top w:val="single" w:sz="5" w:space="0" w:color="000000"/>
              <w:left w:val="single" w:sz="5" w:space="0" w:color="000000"/>
              <w:right w:val="single" w:sz="5" w:space="0" w:color="000000"/>
            </w:tcBorders>
          </w:tcPr>
          <w:p w14:paraId="174840EE" w14:textId="5684D684" w:rsidR="00282AFD" w:rsidRPr="0069792C" w:rsidRDefault="00282AFD" w:rsidP="0069792C">
            <w:pPr>
              <w:spacing w:before="100" w:beforeAutospacing="1" w:after="100" w:afterAutospacing="1" w:line="288" w:lineRule="auto"/>
              <w:ind w:left="105"/>
              <w:rPr>
                <w:rFonts w:ascii="Arial" w:eastAsia="Calibri" w:hAnsi="Arial" w:cs="Arial"/>
              </w:rPr>
            </w:pPr>
            <w:r w:rsidRPr="00B72EFB">
              <w:rPr>
                <w:rFonts w:ascii="Arial" w:eastAsia="Calibri" w:hAnsi="Arial" w:cs="Arial"/>
                <w:b/>
              </w:rPr>
              <w:t>C</w:t>
            </w:r>
            <w:r w:rsidRPr="00B72EFB">
              <w:rPr>
                <w:rFonts w:ascii="Arial" w:eastAsia="Calibri" w:hAnsi="Arial" w:cs="Arial"/>
                <w:b/>
                <w:spacing w:val="1"/>
              </w:rPr>
              <w:t>on</w:t>
            </w:r>
            <w:r w:rsidRPr="00B72EFB">
              <w:rPr>
                <w:rFonts w:ascii="Arial" w:eastAsia="Calibri" w:hAnsi="Arial" w:cs="Arial"/>
                <w:b/>
              </w:rPr>
              <w:t>tact</w:t>
            </w:r>
            <w:r w:rsidRPr="00B72EFB">
              <w:rPr>
                <w:rFonts w:ascii="Arial" w:eastAsia="Calibri" w:hAnsi="Arial" w:cs="Arial"/>
                <w:b/>
                <w:spacing w:val="-1"/>
              </w:rPr>
              <w:t xml:space="preserve"> </w:t>
            </w:r>
            <w:r w:rsidRPr="00B72EFB">
              <w:rPr>
                <w:rFonts w:ascii="Arial" w:eastAsia="Calibri" w:hAnsi="Arial" w:cs="Arial"/>
                <w:b/>
                <w:spacing w:val="1"/>
              </w:rPr>
              <w:t>f</w:t>
            </w:r>
            <w:r w:rsidRPr="00B72EFB">
              <w:rPr>
                <w:rFonts w:ascii="Arial" w:eastAsia="Calibri" w:hAnsi="Arial" w:cs="Arial"/>
                <w:b/>
                <w:spacing w:val="-2"/>
              </w:rPr>
              <w:t>o</w:t>
            </w:r>
            <w:r w:rsidRPr="00B72EFB">
              <w:rPr>
                <w:rFonts w:ascii="Arial" w:eastAsia="Calibri" w:hAnsi="Arial" w:cs="Arial"/>
                <w:b/>
              </w:rPr>
              <w:t>r</w:t>
            </w:r>
            <w:r w:rsidRPr="00B72EFB">
              <w:rPr>
                <w:rFonts w:ascii="Arial" w:eastAsia="Calibri" w:hAnsi="Arial" w:cs="Arial"/>
                <w:b/>
                <w:spacing w:val="2"/>
              </w:rPr>
              <w:t xml:space="preserve"> </w:t>
            </w:r>
            <w:r w:rsidRPr="00B72EFB">
              <w:rPr>
                <w:rFonts w:ascii="Arial" w:eastAsia="Calibri" w:hAnsi="Arial" w:cs="Arial"/>
                <w:b/>
                <w:spacing w:val="-1"/>
              </w:rPr>
              <w:t>e</w:t>
            </w:r>
            <w:r w:rsidRPr="00B72EFB">
              <w:rPr>
                <w:rFonts w:ascii="Arial" w:eastAsia="Calibri" w:hAnsi="Arial" w:cs="Arial"/>
                <w:b/>
                <w:spacing w:val="1"/>
              </w:rPr>
              <w:t>n</w:t>
            </w:r>
            <w:r w:rsidRPr="00B72EFB">
              <w:rPr>
                <w:rFonts w:ascii="Arial" w:eastAsia="Calibri" w:hAnsi="Arial" w:cs="Arial"/>
                <w:b/>
                <w:spacing w:val="-2"/>
              </w:rPr>
              <w:t>q</w:t>
            </w:r>
            <w:r w:rsidRPr="00B72EFB">
              <w:rPr>
                <w:rFonts w:ascii="Arial" w:eastAsia="Calibri" w:hAnsi="Arial" w:cs="Arial"/>
                <w:b/>
                <w:spacing w:val="1"/>
              </w:rPr>
              <w:t>ui</w:t>
            </w:r>
            <w:r w:rsidRPr="00B72EFB">
              <w:rPr>
                <w:rFonts w:ascii="Arial" w:eastAsia="Calibri" w:hAnsi="Arial" w:cs="Arial"/>
                <w:b/>
                <w:spacing w:val="-1"/>
              </w:rPr>
              <w:t>r</w:t>
            </w:r>
            <w:r w:rsidRPr="00B72EFB">
              <w:rPr>
                <w:rFonts w:ascii="Arial" w:eastAsia="Calibri" w:hAnsi="Arial" w:cs="Arial"/>
                <w:b/>
                <w:spacing w:val="1"/>
              </w:rPr>
              <w:t>i</w:t>
            </w:r>
            <w:r w:rsidRPr="00B72EFB">
              <w:rPr>
                <w:rFonts w:ascii="Arial" w:eastAsia="Calibri" w:hAnsi="Arial" w:cs="Arial"/>
                <w:b/>
                <w:spacing w:val="-1"/>
              </w:rPr>
              <w:t>e</w:t>
            </w:r>
            <w:r w:rsidRPr="00B72EFB">
              <w:rPr>
                <w:rFonts w:ascii="Arial" w:eastAsia="Calibri" w:hAnsi="Arial" w:cs="Arial"/>
                <w:b/>
              </w:rPr>
              <w:t>s:</w:t>
            </w:r>
            <w:r w:rsidRPr="00B72EFB">
              <w:rPr>
                <w:rFonts w:ascii="Arial" w:eastAsia="Calibri" w:hAnsi="Arial" w:cs="Arial"/>
                <w:b/>
                <w:spacing w:val="5"/>
              </w:rPr>
              <w:t xml:space="preserve"> </w:t>
            </w:r>
            <w:r w:rsidR="005516A7">
              <w:rPr>
                <w:rFonts w:ascii="Arial" w:eastAsia="Calibri" w:hAnsi="Arial" w:cs="Arial"/>
                <w:spacing w:val="-2"/>
              </w:rPr>
              <w:t xml:space="preserve">Eoghan O’Brien </w:t>
            </w:r>
            <w:r w:rsidRPr="00B72EFB">
              <w:rPr>
                <w:rFonts w:ascii="Arial" w:eastAsia="Calibri" w:hAnsi="Arial" w:cs="Arial"/>
                <w:spacing w:val="-2"/>
              </w:rPr>
              <w:t xml:space="preserve"> </w:t>
            </w:r>
            <w:r w:rsidRPr="00B72EFB">
              <w:rPr>
                <w:rFonts w:ascii="Arial" w:eastAsia="Calibri" w:hAnsi="Arial" w:cs="Arial"/>
                <w:b/>
              </w:rPr>
              <w:t>Em</w:t>
            </w:r>
            <w:r w:rsidRPr="00B72EFB">
              <w:rPr>
                <w:rFonts w:ascii="Arial" w:eastAsia="Calibri" w:hAnsi="Arial" w:cs="Arial"/>
                <w:b/>
                <w:spacing w:val="-1"/>
              </w:rPr>
              <w:t>a</w:t>
            </w:r>
            <w:r w:rsidRPr="00B72EFB">
              <w:rPr>
                <w:rFonts w:ascii="Arial" w:eastAsia="Calibri" w:hAnsi="Arial" w:cs="Arial"/>
                <w:b/>
                <w:spacing w:val="1"/>
              </w:rPr>
              <w:t>i</w:t>
            </w:r>
            <w:r w:rsidRPr="00B72EFB">
              <w:rPr>
                <w:rFonts w:ascii="Arial" w:eastAsia="Calibri" w:hAnsi="Arial" w:cs="Arial"/>
                <w:b/>
                <w:spacing w:val="-1"/>
              </w:rPr>
              <w:t>l</w:t>
            </w:r>
            <w:r w:rsidRPr="00B72EFB">
              <w:rPr>
                <w:rFonts w:ascii="Arial" w:eastAsia="Calibri" w:hAnsi="Arial" w:cs="Arial"/>
                <w:b/>
              </w:rPr>
              <w:t>:</w:t>
            </w:r>
            <w:r w:rsidR="005516A7">
              <w:rPr>
                <w:rFonts w:ascii="Arial" w:eastAsia="Calibri" w:hAnsi="Arial" w:cs="Arial"/>
                <w:b/>
                <w:spacing w:val="2"/>
              </w:rPr>
              <w:t xml:space="preserve"> </w:t>
            </w:r>
            <w:r w:rsidR="005516A7">
              <w:rPr>
                <w:rFonts w:ascii="Arial" w:eastAsia="Calibri" w:hAnsi="Arial" w:cs="Arial"/>
                <w:spacing w:val="2"/>
              </w:rPr>
              <w:t>Eoghan.obrien@housing.gov.ie</w:t>
            </w:r>
            <w:r w:rsidR="005516A7">
              <w:rPr>
                <w:rFonts w:ascii="Arial" w:eastAsia="Calibri" w:hAnsi="Arial" w:cs="Arial"/>
                <w:b/>
                <w:spacing w:val="2"/>
              </w:rPr>
              <w:t xml:space="preserve"> </w:t>
            </w:r>
          </w:p>
          <w:p w14:paraId="49EFAAF9" w14:textId="088C3260" w:rsidR="00282AFD" w:rsidRPr="0069792C" w:rsidRDefault="00282AFD" w:rsidP="0069792C">
            <w:pPr>
              <w:spacing w:before="100" w:beforeAutospacing="1" w:after="100" w:afterAutospacing="1" w:line="288" w:lineRule="auto"/>
              <w:ind w:left="105"/>
              <w:rPr>
                <w:rFonts w:ascii="Arial" w:eastAsia="Calibri" w:hAnsi="Arial" w:cs="Arial"/>
              </w:rPr>
            </w:pPr>
            <w:r w:rsidRPr="0069792C">
              <w:rPr>
                <w:rFonts w:ascii="Arial" w:eastAsia="Calibri" w:hAnsi="Arial" w:cs="Arial"/>
              </w:rPr>
              <w:t>T</w:t>
            </w:r>
            <w:r w:rsidRPr="0069792C">
              <w:rPr>
                <w:rFonts w:ascii="Arial" w:eastAsia="Calibri" w:hAnsi="Arial" w:cs="Arial"/>
                <w:spacing w:val="2"/>
              </w:rPr>
              <w:t>h</w:t>
            </w:r>
            <w:r w:rsidRPr="0069792C">
              <w:rPr>
                <w:rFonts w:ascii="Arial" w:eastAsia="Calibri" w:hAnsi="Arial" w:cs="Arial"/>
              </w:rPr>
              <w:t>e</w:t>
            </w:r>
            <w:r w:rsidRPr="0069792C">
              <w:rPr>
                <w:rFonts w:ascii="Arial" w:eastAsia="Calibri" w:hAnsi="Arial" w:cs="Arial"/>
                <w:spacing w:val="-1"/>
              </w:rPr>
              <w:t xml:space="preserve"> </w:t>
            </w:r>
            <w:r w:rsidRPr="0069792C">
              <w:rPr>
                <w:rFonts w:ascii="Arial" w:eastAsia="Calibri" w:hAnsi="Arial" w:cs="Arial"/>
                <w:spacing w:val="1"/>
              </w:rPr>
              <w:t>f</w:t>
            </w:r>
            <w:r w:rsidRPr="0069792C">
              <w:rPr>
                <w:rFonts w:ascii="Arial" w:eastAsia="Calibri" w:hAnsi="Arial" w:cs="Arial"/>
              </w:rPr>
              <w:t>oll</w:t>
            </w:r>
            <w:r w:rsidRPr="0069792C">
              <w:rPr>
                <w:rFonts w:ascii="Arial" w:eastAsia="Calibri" w:hAnsi="Arial" w:cs="Arial"/>
                <w:spacing w:val="1"/>
              </w:rPr>
              <w:t>o</w:t>
            </w:r>
            <w:r w:rsidRPr="0069792C">
              <w:rPr>
                <w:rFonts w:ascii="Arial" w:eastAsia="Calibri" w:hAnsi="Arial" w:cs="Arial"/>
                <w:spacing w:val="-1"/>
              </w:rPr>
              <w:t>w</w:t>
            </w:r>
            <w:r w:rsidRPr="0069792C">
              <w:rPr>
                <w:rFonts w:ascii="Arial" w:eastAsia="Calibri" w:hAnsi="Arial" w:cs="Arial"/>
              </w:rPr>
              <w:t>i</w:t>
            </w:r>
            <w:r w:rsidRPr="0069792C">
              <w:rPr>
                <w:rFonts w:ascii="Arial" w:eastAsia="Calibri" w:hAnsi="Arial" w:cs="Arial"/>
                <w:spacing w:val="1"/>
              </w:rPr>
              <w:t>n</w:t>
            </w:r>
            <w:r w:rsidRPr="0069792C">
              <w:rPr>
                <w:rFonts w:ascii="Arial" w:eastAsia="Calibri" w:hAnsi="Arial" w:cs="Arial"/>
              </w:rPr>
              <w:t>g</w:t>
            </w:r>
            <w:r w:rsidRPr="0069792C">
              <w:rPr>
                <w:rFonts w:ascii="Arial" w:eastAsia="Calibri" w:hAnsi="Arial" w:cs="Arial"/>
                <w:spacing w:val="-2"/>
              </w:rPr>
              <w:t xml:space="preserve"> </w:t>
            </w:r>
            <w:r w:rsidRPr="0069792C">
              <w:rPr>
                <w:rFonts w:ascii="Arial" w:eastAsia="Calibri" w:hAnsi="Arial" w:cs="Arial"/>
                <w:spacing w:val="-1"/>
              </w:rPr>
              <w:t>p</w:t>
            </w:r>
            <w:r w:rsidRPr="0069792C">
              <w:rPr>
                <w:rFonts w:ascii="Arial" w:eastAsia="Calibri" w:hAnsi="Arial" w:cs="Arial"/>
              </w:rPr>
              <w:t>olicy opt</w:t>
            </w:r>
            <w:r w:rsidRPr="0069792C">
              <w:rPr>
                <w:rFonts w:ascii="Arial" w:eastAsia="Calibri" w:hAnsi="Arial" w:cs="Arial"/>
                <w:spacing w:val="-2"/>
              </w:rPr>
              <w:t>i</w:t>
            </w:r>
            <w:r w:rsidRPr="0069792C">
              <w:rPr>
                <w:rFonts w:ascii="Arial" w:eastAsia="Calibri" w:hAnsi="Arial" w:cs="Arial"/>
              </w:rPr>
              <w:t>o</w:t>
            </w:r>
            <w:r w:rsidRPr="0069792C">
              <w:rPr>
                <w:rFonts w:ascii="Arial" w:eastAsia="Calibri" w:hAnsi="Arial" w:cs="Arial"/>
                <w:spacing w:val="2"/>
              </w:rPr>
              <w:t>n</w:t>
            </w:r>
            <w:r w:rsidRPr="0069792C">
              <w:rPr>
                <w:rFonts w:ascii="Arial" w:eastAsia="Calibri" w:hAnsi="Arial" w:cs="Arial"/>
              </w:rPr>
              <w:t xml:space="preserve">s </w:t>
            </w:r>
            <w:r w:rsidRPr="0069792C">
              <w:rPr>
                <w:rFonts w:ascii="Arial" w:eastAsia="Calibri" w:hAnsi="Arial" w:cs="Arial"/>
                <w:spacing w:val="-1"/>
              </w:rPr>
              <w:t>h</w:t>
            </w:r>
            <w:r w:rsidRPr="0069792C">
              <w:rPr>
                <w:rFonts w:ascii="Arial" w:eastAsia="Calibri" w:hAnsi="Arial" w:cs="Arial"/>
              </w:rPr>
              <w:t>ave</w:t>
            </w:r>
            <w:r w:rsidRPr="0069792C">
              <w:rPr>
                <w:rFonts w:ascii="Arial" w:eastAsia="Calibri" w:hAnsi="Arial" w:cs="Arial"/>
                <w:spacing w:val="1"/>
              </w:rPr>
              <w:t xml:space="preserve"> </w:t>
            </w:r>
            <w:r w:rsidRPr="0069792C">
              <w:rPr>
                <w:rFonts w:ascii="Arial" w:eastAsia="Calibri" w:hAnsi="Arial" w:cs="Arial"/>
                <w:spacing w:val="-1"/>
              </w:rPr>
              <w:t>b</w:t>
            </w:r>
            <w:r w:rsidRPr="0069792C">
              <w:rPr>
                <w:rFonts w:ascii="Arial" w:eastAsia="Calibri" w:hAnsi="Arial" w:cs="Arial"/>
              </w:rPr>
              <w:t>e</w:t>
            </w:r>
            <w:r w:rsidRPr="0069792C">
              <w:rPr>
                <w:rFonts w:ascii="Arial" w:eastAsia="Calibri" w:hAnsi="Arial" w:cs="Arial"/>
                <w:spacing w:val="1"/>
              </w:rPr>
              <w:t>e</w:t>
            </w:r>
            <w:r w:rsidRPr="0069792C">
              <w:rPr>
                <w:rFonts w:ascii="Arial" w:eastAsia="Calibri" w:hAnsi="Arial" w:cs="Arial"/>
              </w:rPr>
              <w:t>n</w:t>
            </w:r>
            <w:r w:rsidRPr="0069792C">
              <w:rPr>
                <w:rFonts w:ascii="Arial" w:eastAsia="Calibri" w:hAnsi="Arial" w:cs="Arial"/>
                <w:spacing w:val="-1"/>
              </w:rPr>
              <w:t xml:space="preserve"> c</w:t>
            </w:r>
            <w:r w:rsidRPr="0069792C">
              <w:rPr>
                <w:rFonts w:ascii="Arial" w:eastAsia="Calibri" w:hAnsi="Arial" w:cs="Arial"/>
              </w:rPr>
              <w:t>o</w:t>
            </w:r>
            <w:r w:rsidRPr="0069792C">
              <w:rPr>
                <w:rFonts w:ascii="Arial" w:eastAsia="Calibri" w:hAnsi="Arial" w:cs="Arial"/>
                <w:spacing w:val="2"/>
              </w:rPr>
              <w:t>n</w:t>
            </w:r>
            <w:r w:rsidRPr="0069792C">
              <w:rPr>
                <w:rFonts w:ascii="Arial" w:eastAsia="Calibri" w:hAnsi="Arial" w:cs="Arial"/>
              </w:rPr>
              <w:t>s</w:t>
            </w:r>
            <w:r w:rsidRPr="0069792C">
              <w:rPr>
                <w:rFonts w:ascii="Arial" w:eastAsia="Calibri" w:hAnsi="Arial" w:cs="Arial"/>
                <w:spacing w:val="-3"/>
              </w:rPr>
              <w:t>i</w:t>
            </w:r>
            <w:r w:rsidRPr="0069792C">
              <w:rPr>
                <w:rFonts w:ascii="Arial" w:eastAsia="Calibri" w:hAnsi="Arial" w:cs="Arial"/>
                <w:spacing w:val="1"/>
              </w:rPr>
              <w:t>d</w:t>
            </w:r>
            <w:r w:rsidRPr="0069792C">
              <w:rPr>
                <w:rFonts w:ascii="Arial" w:eastAsia="Calibri" w:hAnsi="Arial" w:cs="Arial"/>
              </w:rPr>
              <w:t>e</w:t>
            </w:r>
            <w:r w:rsidRPr="0069792C">
              <w:rPr>
                <w:rFonts w:ascii="Arial" w:eastAsia="Calibri" w:hAnsi="Arial" w:cs="Arial"/>
                <w:spacing w:val="1"/>
              </w:rPr>
              <w:t>r</w:t>
            </w:r>
            <w:r w:rsidRPr="0069792C">
              <w:rPr>
                <w:rFonts w:ascii="Arial" w:eastAsia="Calibri" w:hAnsi="Arial" w:cs="Arial"/>
                <w:spacing w:val="-2"/>
              </w:rPr>
              <w:t>e</w:t>
            </w:r>
            <w:r w:rsidRPr="0069792C">
              <w:rPr>
                <w:rFonts w:ascii="Arial" w:eastAsia="Calibri" w:hAnsi="Arial" w:cs="Arial"/>
              </w:rPr>
              <w:t>d</w:t>
            </w:r>
            <w:r w:rsidRPr="0069792C">
              <w:rPr>
                <w:rFonts w:ascii="Arial" w:eastAsia="Calibri" w:hAnsi="Arial" w:cs="Arial"/>
                <w:spacing w:val="2"/>
              </w:rPr>
              <w:t xml:space="preserve"> </w:t>
            </w:r>
            <w:r w:rsidRPr="0069792C">
              <w:rPr>
                <w:rFonts w:ascii="Arial" w:eastAsia="Calibri" w:hAnsi="Arial" w:cs="Arial"/>
              </w:rPr>
              <w:t>in r</w:t>
            </w:r>
            <w:r w:rsidRPr="0069792C">
              <w:rPr>
                <w:rFonts w:ascii="Arial" w:eastAsia="Calibri" w:hAnsi="Arial" w:cs="Arial"/>
                <w:spacing w:val="1"/>
              </w:rPr>
              <w:t>e</w:t>
            </w:r>
            <w:r w:rsidRPr="0069792C">
              <w:rPr>
                <w:rFonts w:ascii="Arial" w:eastAsia="Calibri" w:hAnsi="Arial" w:cs="Arial"/>
              </w:rPr>
              <w:t>l</w:t>
            </w:r>
            <w:r w:rsidRPr="0069792C">
              <w:rPr>
                <w:rFonts w:ascii="Arial" w:eastAsia="Calibri" w:hAnsi="Arial" w:cs="Arial"/>
                <w:spacing w:val="-2"/>
              </w:rPr>
              <w:t>a</w:t>
            </w:r>
            <w:r w:rsidRPr="0069792C">
              <w:rPr>
                <w:rFonts w:ascii="Arial" w:eastAsia="Calibri" w:hAnsi="Arial" w:cs="Arial"/>
                <w:spacing w:val="1"/>
              </w:rPr>
              <w:t>t</w:t>
            </w:r>
            <w:r w:rsidRPr="0069792C">
              <w:rPr>
                <w:rFonts w:ascii="Arial" w:eastAsia="Calibri" w:hAnsi="Arial" w:cs="Arial"/>
              </w:rPr>
              <w:t>i</w:t>
            </w:r>
            <w:r w:rsidRPr="0069792C">
              <w:rPr>
                <w:rFonts w:ascii="Arial" w:eastAsia="Calibri" w:hAnsi="Arial" w:cs="Arial"/>
                <w:spacing w:val="-2"/>
              </w:rPr>
              <w:t>o</w:t>
            </w:r>
            <w:r w:rsidRPr="0069792C">
              <w:rPr>
                <w:rFonts w:ascii="Arial" w:eastAsia="Calibri" w:hAnsi="Arial" w:cs="Arial"/>
              </w:rPr>
              <w:t>n</w:t>
            </w:r>
            <w:r w:rsidRPr="0069792C">
              <w:rPr>
                <w:rFonts w:ascii="Arial" w:eastAsia="Calibri" w:hAnsi="Arial" w:cs="Arial"/>
                <w:spacing w:val="2"/>
              </w:rPr>
              <w:t xml:space="preserve"> </w:t>
            </w:r>
            <w:r w:rsidRPr="0069792C">
              <w:rPr>
                <w:rFonts w:ascii="Arial" w:eastAsia="Calibri" w:hAnsi="Arial" w:cs="Arial"/>
                <w:spacing w:val="-1"/>
              </w:rPr>
              <w:t>t</w:t>
            </w:r>
            <w:r w:rsidRPr="0069792C">
              <w:rPr>
                <w:rFonts w:ascii="Arial" w:eastAsia="Calibri" w:hAnsi="Arial" w:cs="Arial"/>
              </w:rPr>
              <w:t>o</w:t>
            </w:r>
            <w:r w:rsidRPr="0069792C">
              <w:rPr>
                <w:rFonts w:ascii="Arial" w:eastAsia="Calibri" w:hAnsi="Arial" w:cs="Arial"/>
                <w:spacing w:val="-1"/>
              </w:rPr>
              <w:t xml:space="preserve"> </w:t>
            </w:r>
            <w:r w:rsidRPr="0069792C">
              <w:rPr>
                <w:rFonts w:ascii="Arial" w:eastAsia="Calibri" w:hAnsi="Arial" w:cs="Arial"/>
                <w:spacing w:val="1"/>
              </w:rPr>
              <w:t>th</w:t>
            </w:r>
            <w:r w:rsidRPr="0069792C">
              <w:rPr>
                <w:rFonts w:ascii="Arial" w:eastAsia="Calibri" w:hAnsi="Arial" w:cs="Arial"/>
              </w:rPr>
              <w:t>e</w:t>
            </w:r>
            <w:r w:rsidRPr="0069792C">
              <w:rPr>
                <w:rFonts w:ascii="Arial" w:eastAsia="Calibri" w:hAnsi="Arial" w:cs="Arial"/>
                <w:spacing w:val="-1"/>
              </w:rPr>
              <w:t xml:space="preserve"> </w:t>
            </w:r>
            <w:r w:rsidR="00535690">
              <w:rPr>
                <w:rFonts w:ascii="Arial" w:eastAsia="Calibri" w:hAnsi="Arial" w:cs="Arial"/>
                <w:spacing w:val="-1"/>
              </w:rPr>
              <w:t>a</w:t>
            </w:r>
            <w:r w:rsidR="00D27CAD" w:rsidRPr="00D27CAD">
              <w:rPr>
                <w:rFonts w:ascii="Arial" w:eastAsia="Calibri" w:hAnsi="Arial" w:cs="Arial"/>
                <w:spacing w:val="-1"/>
              </w:rPr>
              <w:t xml:space="preserve">mendments to section 3A of the Planning and Development Act 2000 </w:t>
            </w:r>
            <w:r w:rsidR="00717306">
              <w:rPr>
                <w:rFonts w:ascii="Arial" w:eastAsia="Calibri" w:hAnsi="Arial" w:cs="Arial"/>
                <w:spacing w:val="-1"/>
              </w:rPr>
              <w:t xml:space="preserve">as </w:t>
            </w:r>
            <w:r w:rsidR="00D27CAD" w:rsidRPr="00D27CAD">
              <w:rPr>
                <w:rFonts w:ascii="Arial" w:eastAsia="Calibri" w:hAnsi="Arial" w:cs="Arial"/>
                <w:spacing w:val="-1"/>
              </w:rPr>
              <w:t>pro</w:t>
            </w:r>
            <w:r w:rsidR="002975C1">
              <w:rPr>
                <w:rFonts w:ascii="Arial" w:eastAsia="Calibri" w:hAnsi="Arial" w:cs="Arial"/>
                <w:spacing w:val="-1"/>
              </w:rPr>
              <w:t>pos</w:t>
            </w:r>
            <w:r w:rsidR="00D27CAD" w:rsidRPr="00D27CAD">
              <w:rPr>
                <w:rFonts w:ascii="Arial" w:eastAsia="Calibri" w:hAnsi="Arial" w:cs="Arial"/>
                <w:spacing w:val="-1"/>
              </w:rPr>
              <w:t>ed by section 3 of the Planning and Development, Maritime and Valuation (Amendment) Bill</w:t>
            </w:r>
            <w:r w:rsidR="002975C1">
              <w:rPr>
                <w:rFonts w:ascii="Arial" w:eastAsia="Calibri" w:hAnsi="Arial" w:cs="Arial"/>
                <w:spacing w:val="-1"/>
              </w:rPr>
              <w:t xml:space="preserve"> 2022</w:t>
            </w:r>
            <w:r w:rsidR="00535690">
              <w:rPr>
                <w:rFonts w:ascii="Arial" w:eastAsia="Calibri" w:hAnsi="Arial" w:cs="Arial"/>
                <w:spacing w:val="-1"/>
              </w:rPr>
              <w:t>.</w:t>
            </w:r>
            <w:r w:rsidR="00D27CAD" w:rsidRPr="00D27CAD">
              <w:rPr>
                <w:rFonts w:ascii="Arial" w:eastAsia="Calibri" w:hAnsi="Arial" w:cs="Arial"/>
                <w:spacing w:val="-1"/>
              </w:rPr>
              <w:t xml:space="preserve"> </w:t>
            </w:r>
          </w:p>
          <w:p w14:paraId="0A7EFB5C" w14:textId="3B1AB609" w:rsidR="00282AFD" w:rsidRPr="0069792C" w:rsidRDefault="00282AFD" w:rsidP="0069792C">
            <w:pPr>
              <w:spacing w:before="100" w:beforeAutospacing="1" w:after="100" w:afterAutospacing="1" w:line="288" w:lineRule="auto"/>
              <w:ind w:left="105"/>
              <w:rPr>
                <w:rFonts w:ascii="Arial" w:eastAsia="Calibri" w:hAnsi="Arial" w:cs="Arial"/>
              </w:rPr>
            </w:pPr>
            <w:r w:rsidRPr="0069792C">
              <w:rPr>
                <w:rFonts w:ascii="Arial" w:eastAsia="Calibri" w:hAnsi="Arial" w:cs="Arial"/>
              </w:rPr>
              <w:t>1.</w:t>
            </w:r>
            <w:r w:rsidRPr="0069792C">
              <w:rPr>
                <w:rFonts w:ascii="Arial" w:eastAsia="Calibri" w:hAnsi="Arial" w:cs="Arial"/>
                <w:spacing w:val="1"/>
              </w:rPr>
              <w:t xml:space="preserve"> </w:t>
            </w:r>
            <w:r w:rsidR="00B72EFB">
              <w:rPr>
                <w:rFonts w:ascii="Arial" w:eastAsia="Calibri" w:hAnsi="Arial" w:cs="Arial"/>
                <w:spacing w:val="1"/>
              </w:rPr>
              <w:t xml:space="preserve">No Change Option: </w:t>
            </w:r>
          </w:p>
          <w:p w14:paraId="1AACA05A" w14:textId="60A9E93E" w:rsidR="00535690" w:rsidRDefault="00282AFD" w:rsidP="009E140B">
            <w:pPr>
              <w:spacing w:before="100" w:beforeAutospacing="1" w:after="100" w:afterAutospacing="1" w:line="288" w:lineRule="auto"/>
              <w:ind w:left="105"/>
              <w:rPr>
                <w:rFonts w:ascii="Arial" w:eastAsia="Calibri" w:hAnsi="Arial" w:cs="Arial"/>
                <w:spacing w:val="1"/>
              </w:rPr>
            </w:pPr>
            <w:r w:rsidRPr="0069792C">
              <w:rPr>
                <w:rFonts w:ascii="Arial" w:eastAsia="Calibri" w:hAnsi="Arial" w:cs="Arial"/>
              </w:rPr>
              <w:t>2.</w:t>
            </w:r>
            <w:r w:rsidRPr="0069792C">
              <w:rPr>
                <w:rFonts w:ascii="Arial" w:eastAsia="Calibri" w:hAnsi="Arial" w:cs="Arial"/>
                <w:spacing w:val="1"/>
              </w:rPr>
              <w:t xml:space="preserve"> Development of </w:t>
            </w:r>
            <w:r w:rsidR="00B72EFB">
              <w:rPr>
                <w:rFonts w:ascii="Arial" w:eastAsia="Calibri" w:hAnsi="Arial" w:cs="Arial"/>
                <w:spacing w:val="1"/>
              </w:rPr>
              <w:t>new legislative</w:t>
            </w:r>
            <w:r w:rsidR="002975C1">
              <w:rPr>
                <w:rFonts w:ascii="Arial" w:eastAsia="Calibri" w:hAnsi="Arial" w:cs="Arial"/>
                <w:spacing w:val="1"/>
              </w:rPr>
              <w:t xml:space="preserve"> provisions</w:t>
            </w:r>
            <w:r w:rsidR="009E140B" w:rsidRPr="009E140B">
              <w:rPr>
                <w:rFonts w:ascii="Arial" w:eastAsia="Calibri" w:hAnsi="Arial" w:cs="Arial"/>
                <w:spacing w:val="1"/>
              </w:rPr>
              <w:t xml:space="preserve"> in relation to short-term letting, aimed at strengthening the pre-existing regulatory controls in th</w:t>
            </w:r>
            <w:r w:rsidR="00D27CAD">
              <w:rPr>
                <w:rFonts w:ascii="Arial" w:eastAsia="Calibri" w:hAnsi="Arial" w:cs="Arial"/>
                <w:spacing w:val="1"/>
              </w:rPr>
              <w:t>e short term letting</w:t>
            </w:r>
            <w:r w:rsidR="009E140B" w:rsidRPr="009E140B">
              <w:rPr>
                <w:rFonts w:ascii="Arial" w:eastAsia="Calibri" w:hAnsi="Arial" w:cs="Arial"/>
                <w:spacing w:val="1"/>
              </w:rPr>
              <w:t xml:space="preserve"> area were introduced by the </w:t>
            </w:r>
            <w:r w:rsidR="00BA0783" w:rsidRPr="00BA0783">
              <w:rPr>
                <w:rFonts w:ascii="Arial" w:eastAsia="Calibri" w:hAnsi="Arial" w:cs="Arial"/>
                <w:spacing w:val="1"/>
              </w:rPr>
              <w:t>Planning and Development, Maritime and Valuation (Amendment) Bill 2022</w:t>
            </w:r>
            <w:r w:rsidR="009E140B" w:rsidRPr="009E140B">
              <w:rPr>
                <w:rFonts w:ascii="Arial" w:eastAsia="Calibri" w:hAnsi="Arial" w:cs="Arial"/>
                <w:spacing w:val="1"/>
              </w:rPr>
              <w:t xml:space="preserve">.  </w:t>
            </w:r>
          </w:p>
          <w:p w14:paraId="0C058F1C" w14:textId="50AF2DB1" w:rsidR="00535690" w:rsidRDefault="009E140B" w:rsidP="009E140B">
            <w:pPr>
              <w:spacing w:before="100" w:beforeAutospacing="1" w:after="100" w:afterAutospacing="1" w:line="288" w:lineRule="auto"/>
              <w:ind w:left="105"/>
              <w:rPr>
                <w:rFonts w:ascii="Arial" w:eastAsia="Calibri" w:hAnsi="Arial" w:cs="Arial"/>
                <w:spacing w:val="1"/>
              </w:rPr>
            </w:pPr>
            <w:r w:rsidRPr="009E140B">
              <w:rPr>
                <w:rFonts w:ascii="Arial" w:eastAsia="Calibri" w:hAnsi="Arial" w:cs="Arial"/>
                <w:spacing w:val="1"/>
              </w:rPr>
              <w:t xml:space="preserve">When commenced the </w:t>
            </w:r>
            <w:r w:rsidR="00717306">
              <w:rPr>
                <w:rFonts w:ascii="Arial" w:eastAsia="Calibri" w:hAnsi="Arial" w:cs="Arial"/>
                <w:spacing w:val="1"/>
              </w:rPr>
              <w:t xml:space="preserve">proposed </w:t>
            </w:r>
            <w:r w:rsidRPr="009E140B">
              <w:rPr>
                <w:rFonts w:ascii="Arial" w:eastAsia="Calibri" w:hAnsi="Arial" w:cs="Arial"/>
                <w:spacing w:val="1"/>
              </w:rPr>
              <w:t>new arrangements will provide that, for a period of six months, non-principal private residences in Rent Pressure Zones shall not be advertised or accept bookings on online platforms or other media for short term letting purposes without the necessary planning permission being in place in respect of the property concerned or the property concerned being otherwise exempted.  The six month period may be extended for further 6 month periods subject to positive resolutions by both Houses of the Oireachtas.</w:t>
            </w:r>
          </w:p>
          <w:p w14:paraId="59036FB1" w14:textId="509F5826" w:rsidR="009E140B" w:rsidRPr="009E140B" w:rsidRDefault="009E140B" w:rsidP="009E140B">
            <w:pPr>
              <w:spacing w:before="100" w:beforeAutospacing="1" w:after="100" w:afterAutospacing="1" w:line="288" w:lineRule="auto"/>
              <w:ind w:left="105"/>
              <w:rPr>
                <w:rFonts w:ascii="Arial" w:eastAsia="Calibri" w:hAnsi="Arial" w:cs="Arial"/>
                <w:spacing w:val="1"/>
              </w:rPr>
            </w:pPr>
            <w:r w:rsidRPr="009E140B">
              <w:rPr>
                <w:rFonts w:ascii="Arial" w:eastAsia="Calibri" w:hAnsi="Arial" w:cs="Arial"/>
                <w:spacing w:val="1"/>
              </w:rPr>
              <w:lastRenderedPageBreak/>
              <w:t xml:space="preserve">The amendments will further give the Minister regulation making powers to require the owners of short-term letting properties or their nominated agents to produce evidence of planning compliance as certified by a planning authority, or of an exemption from same, for the purpose of confirming entitlement to advertise a non-principal private residence located in a Rent Pressure Zone on an online platform or other media. </w:t>
            </w:r>
          </w:p>
          <w:p w14:paraId="25ED5492" w14:textId="77777777" w:rsidR="00282AFD" w:rsidRPr="0069792C" w:rsidRDefault="00282AFD" w:rsidP="0069792C">
            <w:pPr>
              <w:spacing w:before="100" w:beforeAutospacing="1" w:after="100" w:afterAutospacing="1" w:line="288" w:lineRule="auto"/>
              <w:ind w:left="105"/>
              <w:rPr>
                <w:rFonts w:ascii="Arial" w:eastAsia="Calibri" w:hAnsi="Arial" w:cs="Arial"/>
              </w:rPr>
            </w:pPr>
            <w:r w:rsidRPr="0069792C">
              <w:rPr>
                <w:rFonts w:ascii="Arial" w:eastAsia="Calibri" w:hAnsi="Arial" w:cs="Arial"/>
                <w:b/>
              </w:rPr>
              <w:t>Pr</w:t>
            </w:r>
            <w:r w:rsidRPr="0069792C">
              <w:rPr>
                <w:rFonts w:ascii="Arial" w:eastAsia="Calibri" w:hAnsi="Arial" w:cs="Arial"/>
                <w:b/>
                <w:spacing w:val="-1"/>
              </w:rPr>
              <w:t>e</w:t>
            </w:r>
            <w:r w:rsidRPr="0069792C">
              <w:rPr>
                <w:rFonts w:ascii="Arial" w:eastAsia="Calibri" w:hAnsi="Arial" w:cs="Arial"/>
                <w:b/>
                <w:spacing w:val="1"/>
              </w:rPr>
              <w:t>f</w:t>
            </w:r>
            <w:r w:rsidRPr="0069792C">
              <w:rPr>
                <w:rFonts w:ascii="Arial" w:eastAsia="Calibri" w:hAnsi="Arial" w:cs="Arial"/>
                <w:b/>
                <w:spacing w:val="-1"/>
              </w:rPr>
              <w:t>e</w:t>
            </w:r>
            <w:r w:rsidRPr="0069792C">
              <w:rPr>
                <w:rFonts w:ascii="Arial" w:eastAsia="Calibri" w:hAnsi="Arial" w:cs="Arial"/>
                <w:b/>
                <w:spacing w:val="1"/>
              </w:rPr>
              <w:t>rr</w:t>
            </w:r>
            <w:r w:rsidRPr="0069792C">
              <w:rPr>
                <w:rFonts w:ascii="Arial" w:eastAsia="Calibri" w:hAnsi="Arial" w:cs="Arial"/>
                <w:b/>
                <w:spacing w:val="-1"/>
              </w:rPr>
              <w:t>e</w:t>
            </w:r>
            <w:r w:rsidRPr="0069792C">
              <w:rPr>
                <w:rFonts w:ascii="Arial" w:eastAsia="Calibri" w:hAnsi="Arial" w:cs="Arial"/>
                <w:b/>
              </w:rPr>
              <w:t>d</w:t>
            </w:r>
            <w:r w:rsidRPr="0069792C">
              <w:rPr>
                <w:rFonts w:ascii="Arial" w:eastAsia="Calibri" w:hAnsi="Arial" w:cs="Arial"/>
                <w:b/>
                <w:spacing w:val="1"/>
              </w:rPr>
              <w:t xml:space="preserve"> </w:t>
            </w:r>
            <w:r w:rsidRPr="0069792C">
              <w:rPr>
                <w:rFonts w:ascii="Arial" w:eastAsia="Calibri" w:hAnsi="Arial" w:cs="Arial"/>
                <w:b/>
                <w:spacing w:val="-2"/>
              </w:rPr>
              <w:t>o</w:t>
            </w:r>
            <w:r w:rsidRPr="0069792C">
              <w:rPr>
                <w:rFonts w:ascii="Arial" w:eastAsia="Calibri" w:hAnsi="Arial" w:cs="Arial"/>
                <w:b/>
                <w:spacing w:val="1"/>
              </w:rPr>
              <w:t>p</w:t>
            </w:r>
            <w:r w:rsidRPr="0069792C">
              <w:rPr>
                <w:rFonts w:ascii="Arial" w:eastAsia="Calibri" w:hAnsi="Arial" w:cs="Arial"/>
                <w:b/>
                <w:spacing w:val="-2"/>
              </w:rPr>
              <w:t>t</w:t>
            </w:r>
            <w:r w:rsidRPr="0069792C">
              <w:rPr>
                <w:rFonts w:ascii="Arial" w:eastAsia="Calibri" w:hAnsi="Arial" w:cs="Arial"/>
                <w:b/>
                <w:spacing w:val="1"/>
              </w:rPr>
              <w:t>i</w:t>
            </w:r>
            <w:r w:rsidRPr="0069792C">
              <w:rPr>
                <w:rFonts w:ascii="Arial" w:eastAsia="Calibri" w:hAnsi="Arial" w:cs="Arial"/>
                <w:b/>
              </w:rPr>
              <w:t>o</w:t>
            </w:r>
            <w:r w:rsidRPr="0069792C">
              <w:rPr>
                <w:rFonts w:ascii="Arial" w:eastAsia="Calibri" w:hAnsi="Arial" w:cs="Arial"/>
                <w:b/>
                <w:spacing w:val="1"/>
              </w:rPr>
              <w:t>n</w:t>
            </w:r>
            <w:r w:rsidRPr="0069792C">
              <w:rPr>
                <w:rFonts w:ascii="Arial" w:eastAsia="Calibri" w:hAnsi="Arial" w:cs="Arial"/>
                <w:b/>
              </w:rPr>
              <w:t>:</w:t>
            </w:r>
          </w:p>
          <w:p w14:paraId="1CD231D8" w14:textId="7165E0BD" w:rsidR="00282AFD" w:rsidRPr="0069792C" w:rsidRDefault="00282AFD" w:rsidP="00535690">
            <w:pPr>
              <w:spacing w:before="100" w:beforeAutospacing="1" w:after="100" w:afterAutospacing="1" w:line="288" w:lineRule="auto"/>
              <w:ind w:left="105" w:right="179"/>
              <w:rPr>
                <w:rFonts w:ascii="Arial" w:eastAsia="Calibri" w:hAnsi="Arial" w:cs="Arial"/>
              </w:rPr>
            </w:pPr>
            <w:r w:rsidRPr="0069792C">
              <w:rPr>
                <w:rFonts w:ascii="Arial" w:eastAsia="Calibri" w:hAnsi="Arial" w:cs="Arial"/>
              </w:rPr>
              <w:t>Op</w:t>
            </w:r>
            <w:r w:rsidRPr="0069792C">
              <w:rPr>
                <w:rFonts w:ascii="Arial" w:eastAsia="Calibri" w:hAnsi="Arial" w:cs="Arial"/>
                <w:spacing w:val="1"/>
              </w:rPr>
              <w:t>t</w:t>
            </w:r>
            <w:r w:rsidRPr="0069792C">
              <w:rPr>
                <w:rFonts w:ascii="Arial" w:eastAsia="Calibri" w:hAnsi="Arial" w:cs="Arial"/>
              </w:rPr>
              <w:t>i</w:t>
            </w:r>
            <w:r w:rsidRPr="0069792C">
              <w:rPr>
                <w:rFonts w:ascii="Arial" w:eastAsia="Calibri" w:hAnsi="Arial" w:cs="Arial"/>
                <w:spacing w:val="-2"/>
              </w:rPr>
              <w:t>o</w:t>
            </w:r>
            <w:r w:rsidRPr="0069792C">
              <w:rPr>
                <w:rFonts w:ascii="Arial" w:eastAsia="Calibri" w:hAnsi="Arial" w:cs="Arial"/>
              </w:rPr>
              <w:t>n</w:t>
            </w:r>
            <w:r w:rsidRPr="0069792C">
              <w:rPr>
                <w:rFonts w:ascii="Arial" w:eastAsia="Calibri" w:hAnsi="Arial" w:cs="Arial"/>
                <w:spacing w:val="2"/>
              </w:rPr>
              <w:t xml:space="preserve"> </w:t>
            </w:r>
            <w:r w:rsidRPr="0069792C">
              <w:rPr>
                <w:rFonts w:ascii="Arial" w:eastAsia="Calibri" w:hAnsi="Arial" w:cs="Arial"/>
              </w:rPr>
              <w:t>2</w:t>
            </w:r>
            <w:r w:rsidRPr="0069792C">
              <w:rPr>
                <w:rFonts w:ascii="Arial" w:eastAsia="Calibri" w:hAnsi="Arial" w:cs="Arial"/>
                <w:spacing w:val="-1"/>
              </w:rPr>
              <w:t xml:space="preserve"> </w:t>
            </w:r>
            <w:r w:rsidRPr="0069792C">
              <w:rPr>
                <w:rFonts w:ascii="Arial" w:eastAsia="Calibri" w:hAnsi="Arial" w:cs="Arial"/>
              </w:rPr>
              <w:t>–</w:t>
            </w:r>
            <w:r w:rsidRPr="0069792C">
              <w:rPr>
                <w:rFonts w:ascii="Arial" w:eastAsia="Calibri" w:hAnsi="Arial" w:cs="Arial"/>
                <w:spacing w:val="-1"/>
              </w:rPr>
              <w:t xml:space="preserve"> </w:t>
            </w:r>
            <w:r w:rsidR="00535690" w:rsidRPr="00535690">
              <w:rPr>
                <w:rFonts w:ascii="Arial" w:eastAsia="Calibri" w:hAnsi="Arial" w:cs="Arial"/>
                <w:spacing w:val="-1"/>
              </w:rPr>
              <w:t xml:space="preserve">The </w:t>
            </w:r>
            <w:r w:rsidR="00717306">
              <w:rPr>
                <w:rFonts w:ascii="Arial" w:eastAsia="Calibri" w:hAnsi="Arial" w:cs="Arial"/>
                <w:spacing w:val="-1"/>
              </w:rPr>
              <w:t>proposed new arrangements</w:t>
            </w:r>
            <w:r w:rsidR="00535690" w:rsidRPr="00535690">
              <w:rPr>
                <w:rFonts w:ascii="Arial" w:eastAsia="Calibri" w:hAnsi="Arial" w:cs="Arial"/>
                <w:spacing w:val="-1"/>
              </w:rPr>
              <w:t xml:space="preserve"> are </w:t>
            </w:r>
            <w:r w:rsidR="00717306">
              <w:rPr>
                <w:rFonts w:ascii="Arial" w:eastAsia="Calibri" w:hAnsi="Arial" w:cs="Arial"/>
                <w:spacing w:val="-1"/>
              </w:rPr>
              <w:t xml:space="preserve">being </w:t>
            </w:r>
            <w:r w:rsidR="00535690">
              <w:rPr>
                <w:rFonts w:ascii="Arial" w:eastAsia="Calibri" w:hAnsi="Arial" w:cs="Arial"/>
                <w:spacing w:val="-1"/>
              </w:rPr>
              <w:t xml:space="preserve">introduced </w:t>
            </w:r>
            <w:r w:rsidR="00535690" w:rsidRPr="00535690">
              <w:rPr>
                <w:rFonts w:ascii="Arial" w:eastAsia="Calibri" w:hAnsi="Arial" w:cs="Arial"/>
                <w:spacing w:val="-1"/>
              </w:rPr>
              <w:t xml:space="preserve">in the context of the ongoing </w:t>
            </w:r>
            <w:r w:rsidR="002975C1">
              <w:rPr>
                <w:rFonts w:ascii="Arial" w:eastAsia="Calibri" w:hAnsi="Arial" w:cs="Arial"/>
                <w:spacing w:val="-1"/>
              </w:rPr>
              <w:t xml:space="preserve">acute </w:t>
            </w:r>
            <w:r w:rsidR="00535690" w:rsidRPr="00535690">
              <w:rPr>
                <w:rFonts w:ascii="Arial" w:eastAsia="Calibri" w:hAnsi="Arial" w:cs="Arial"/>
                <w:spacing w:val="-1"/>
              </w:rPr>
              <w:t>accommodation shortage situation in the private rental sector, particularly in the areas of highest housing demand - specifically Rent Pressure Zones – with associated knock-on implications for rental prices in these areas. These pressures have been further acerbated by the recent, and likely future, arrival of large numbers of people fleeing Ukraine into the State who are in need of medium to lon</w:t>
            </w:r>
            <w:r w:rsidR="00535690">
              <w:rPr>
                <w:rFonts w:ascii="Arial" w:eastAsia="Calibri" w:hAnsi="Arial" w:cs="Arial"/>
                <w:spacing w:val="-1"/>
              </w:rPr>
              <w:t>g-term accommodation.</w:t>
            </w:r>
          </w:p>
        </w:tc>
      </w:tr>
      <w:tr w:rsidR="00282AFD" w:rsidRPr="0069792C" w14:paraId="48FCBAB7" w14:textId="77777777" w:rsidTr="00B72EFB">
        <w:trPr>
          <w:trHeight w:hRule="exact" w:val="2888"/>
        </w:trPr>
        <w:tc>
          <w:tcPr>
            <w:tcW w:w="8927" w:type="dxa"/>
            <w:gridSpan w:val="2"/>
            <w:vMerge/>
            <w:tcBorders>
              <w:left w:val="single" w:sz="5" w:space="0" w:color="000000"/>
              <w:right w:val="single" w:sz="5" w:space="0" w:color="000000"/>
            </w:tcBorders>
          </w:tcPr>
          <w:p w14:paraId="0A570F90" w14:textId="77777777" w:rsidR="00282AFD" w:rsidRPr="0069792C" w:rsidRDefault="00282AFD" w:rsidP="0069792C">
            <w:pPr>
              <w:spacing w:before="100" w:beforeAutospacing="1" w:after="100" w:afterAutospacing="1" w:line="288" w:lineRule="auto"/>
              <w:rPr>
                <w:rFonts w:ascii="Arial" w:hAnsi="Arial" w:cs="Arial"/>
              </w:rPr>
            </w:pPr>
          </w:p>
        </w:tc>
      </w:tr>
      <w:tr w:rsidR="00282AFD" w:rsidRPr="0069792C" w14:paraId="1A99ED96" w14:textId="77777777" w:rsidTr="00B72EFB">
        <w:trPr>
          <w:trHeight w:hRule="exact" w:val="863"/>
        </w:trPr>
        <w:tc>
          <w:tcPr>
            <w:tcW w:w="8927" w:type="dxa"/>
            <w:gridSpan w:val="2"/>
            <w:vMerge/>
            <w:tcBorders>
              <w:left w:val="single" w:sz="5" w:space="0" w:color="000000"/>
              <w:right w:val="single" w:sz="5" w:space="0" w:color="000000"/>
            </w:tcBorders>
          </w:tcPr>
          <w:p w14:paraId="2293C930" w14:textId="77777777" w:rsidR="00282AFD" w:rsidRPr="0069792C" w:rsidRDefault="00282AFD" w:rsidP="0069792C">
            <w:pPr>
              <w:spacing w:before="100" w:beforeAutospacing="1" w:after="100" w:afterAutospacing="1" w:line="288" w:lineRule="auto"/>
              <w:rPr>
                <w:rFonts w:ascii="Arial" w:hAnsi="Arial" w:cs="Arial"/>
              </w:rPr>
            </w:pPr>
          </w:p>
        </w:tc>
      </w:tr>
      <w:tr w:rsidR="00282AFD" w:rsidRPr="0069792C" w14:paraId="0D6F3C3F" w14:textId="77777777" w:rsidTr="00B72EFB">
        <w:trPr>
          <w:trHeight w:hRule="exact" w:val="1750"/>
        </w:trPr>
        <w:tc>
          <w:tcPr>
            <w:tcW w:w="8927" w:type="dxa"/>
            <w:gridSpan w:val="2"/>
            <w:vMerge/>
            <w:tcBorders>
              <w:left w:val="single" w:sz="5" w:space="0" w:color="000000"/>
              <w:bottom w:val="single" w:sz="5" w:space="0" w:color="000000"/>
              <w:right w:val="single" w:sz="5" w:space="0" w:color="000000"/>
            </w:tcBorders>
          </w:tcPr>
          <w:p w14:paraId="1E3C6158" w14:textId="77777777" w:rsidR="00282AFD" w:rsidRPr="0069792C" w:rsidRDefault="00282AFD" w:rsidP="0069792C">
            <w:pPr>
              <w:spacing w:before="100" w:beforeAutospacing="1" w:after="100" w:afterAutospacing="1" w:line="288" w:lineRule="auto"/>
              <w:rPr>
                <w:rFonts w:ascii="Arial" w:hAnsi="Arial" w:cs="Arial"/>
              </w:rPr>
            </w:pPr>
          </w:p>
        </w:tc>
      </w:tr>
    </w:tbl>
    <w:p w14:paraId="7F66F71A" w14:textId="77777777" w:rsidR="007765E7" w:rsidRPr="0069792C" w:rsidRDefault="007765E7" w:rsidP="0069792C">
      <w:pPr>
        <w:spacing w:before="100" w:beforeAutospacing="1" w:after="100" w:afterAutospacing="1" w:line="288" w:lineRule="auto"/>
        <w:rPr>
          <w:rFonts w:ascii="Arial" w:hAnsi="Arial" w:cs="Arial"/>
        </w:rPr>
      </w:pPr>
    </w:p>
    <w:p w14:paraId="2C22A5D2" w14:textId="77777777" w:rsidR="007765E7" w:rsidRPr="0069792C" w:rsidRDefault="007765E7" w:rsidP="0069792C">
      <w:pPr>
        <w:pStyle w:val="Heading1"/>
        <w:numPr>
          <w:ilvl w:val="0"/>
          <w:numId w:val="3"/>
        </w:numPr>
        <w:spacing w:before="100" w:beforeAutospacing="1" w:after="100" w:afterAutospacing="1" w:line="288" w:lineRule="auto"/>
        <w:rPr>
          <w:rFonts w:cs="Arial"/>
        </w:rPr>
      </w:pPr>
      <w:bookmarkStart w:id="2" w:name="_Toc73613259"/>
      <w:r w:rsidRPr="0069792C">
        <w:rPr>
          <w:rFonts w:cs="Arial"/>
        </w:rPr>
        <w:t>Policy Context and Objectives</w:t>
      </w:r>
      <w:bookmarkEnd w:id="2"/>
    </w:p>
    <w:p w14:paraId="4840290E" w14:textId="77777777" w:rsidR="007765E7" w:rsidRPr="0069792C" w:rsidRDefault="006855D9" w:rsidP="0069792C">
      <w:pPr>
        <w:pStyle w:val="Heading2"/>
        <w:spacing w:before="100" w:beforeAutospacing="1" w:after="100" w:afterAutospacing="1" w:line="288" w:lineRule="auto"/>
        <w:rPr>
          <w:rFonts w:cs="Arial"/>
        </w:rPr>
      </w:pPr>
      <w:bookmarkStart w:id="3" w:name="_Toc73613260"/>
      <w:r w:rsidRPr="0069792C">
        <w:rPr>
          <w:rFonts w:cs="Arial"/>
        </w:rPr>
        <w:t xml:space="preserve">2.1 </w:t>
      </w:r>
      <w:r w:rsidR="007765E7" w:rsidRPr="0069792C">
        <w:rPr>
          <w:rFonts w:cs="Arial"/>
        </w:rPr>
        <w:t>Policy Context</w:t>
      </w:r>
      <w:bookmarkEnd w:id="3"/>
    </w:p>
    <w:p w14:paraId="7EFF082E" w14:textId="2BFC16E5" w:rsidR="00D27CAD" w:rsidRPr="006B3BCE" w:rsidRDefault="00D27CAD" w:rsidP="009E140B">
      <w:pPr>
        <w:spacing w:before="100" w:beforeAutospacing="1" w:after="100" w:afterAutospacing="1" w:line="288" w:lineRule="auto"/>
        <w:rPr>
          <w:rFonts w:ascii="Arial" w:hAnsi="Arial" w:cs="Arial"/>
        </w:rPr>
      </w:pPr>
      <w:r w:rsidRPr="006B3BCE">
        <w:rPr>
          <w:rFonts w:ascii="Arial" w:hAnsi="Arial" w:cs="Arial"/>
        </w:rPr>
        <w:t>Significant numbers of properties have been withdrawn from the long-term rental market in recent years and diverted for use as short-term lettings, negatively impacting on the supply and availability of private residential rental accommodation with associated knock-on implications for rental prices. This trend, which has largely been facilitated by online platforms, has been particularly acute in urban areas of high housing demand.</w:t>
      </w:r>
    </w:p>
    <w:p w14:paraId="205216DC" w14:textId="01072BF5" w:rsidR="009E140B" w:rsidRPr="006B3BCE" w:rsidRDefault="003414C5" w:rsidP="00D27CAD">
      <w:pPr>
        <w:spacing w:before="100" w:beforeAutospacing="1" w:after="100" w:afterAutospacing="1" w:line="288" w:lineRule="auto"/>
        <w:rPr>
          <w:rFonts w:ascii="Arial" w:hAnsi="Arial" w:cs="Arial"/>
        </w:rPr>
      </w:pPr>
      <w:r w:rsidRPr="006B3BCE">
        <w:rPr>
          <w:rFonts w:ascii="Arial" w:hAnsi="Arial" w:cs="Arial"/>
        </w:rPr>
        <w:t xml:space="preserve">Legislative reforms to regulate the short-term letting sector through the planning code, in areas designated as “rent pressure zones” (RPZs), were introduced under the Planning and Development Act 2000 (Exempted Development) (No. 2) Regulations 2019 which came into effect on 1 July 2019. </w:t>
      </w:r>
    </w:p>
    <w:p w14:paraId="2351CD8B" w14:textId="5C86381D" w:rsidR="001B6FC4" w:rsidRPr="006B3BCE" w:rsidRDefault="001B6FC4" w:rsidP="001B6FC4">
      <w:pPr>
        <w:spacing w:before="100" w:beforeAutospacing="1" w:after="100" w:afterAutospacing="1" w:line="288" w:lineRule="auto"/>
        <w:rPr>
          <w:rFonts w:ascii="Arial" w:hAnsi="Arial" w:cs="Arial"/>
        </w:rPr>
      </w:pPr>
      <w:r w:rsidRPr="006B3BCE">
        <w:rPr>
          <w:rFonts w:ascii="Arial" w:hAnsi="Arial" w:cs="Arial"/>
        </w:rPr>
        <w:t>Planning authorities</w:t>
      </w:r>
      <w:r w:rsidR="00D27CAD" w:rsidRPr="006B3BCE">
        <w:rPr>
          <w:rFonts w:ascii="Arial" w:hAnsi="Arial" w:cs="Arial"/>
        </w:rPr>
        <w:t>,</w:t>
      </w:r>
      <w:r w:rsidRPr="006B3BCE">
        <w:rPr>
          <w:rFonts w:ascii="Arial" w:hAnsi="Arial" w:cs="Arial"/>
        </w:rPr>
        <w:t xml:space="preserve"> utilising enforcement powers available to them since </w:t>
      </w:r>
      <w:r w:rsidR="00D27CAD" w:rsidRPr="006B3BCE">
        <w:rPr>
          <w:rFonts w:ascii="Arial" w:hAnsi="Arial" w:cs="Arial"/>
        </w:rPr>
        <w:t>mid-2019</w:t>
      </w:r>
      <w:r w:rsidRPr="006B3BCE">
        <w:rPr>
          <w:rFonts w:ascii="Arial" w:hAnsi="Arial" w:cs="Arial"/>
        </w:rPr>
        <w:t xml:space="preserve"> under Part 8 of the Planning and Development Act 2000, and with associated penalty</w:t>
      </w:r>
      <w:r w:rsidR="00D27CAD" w:rsidRPr="006B3BCE">
        <w:rPr>
          <w:rFonts w:ascii="Arial" w:hAnsi="Arial" w:cs="Arial"/>
        </w:rPr>
        <w:t xml:space="preserve"> provisions for non</w:t>
      </w:r>
      <w:r w:rsidR="002975C1" w:rsidRPr="006B3BCE">
        <w:rPr>
          <w:rFonts w:ascii="Arial" w:hAnsi="Arial" w:cs="Arial"/>
        </w:rPr>
        <w:t>-</w:t>
      </w:r>
      <w:r w:rsidRPr="006B3BCE">
        <w:rPr>
          <w:rFonts w:ascii="Arial" w:hAnsi="Arial" w:cs="Arial"/>
        </w:rPr>
        <w:t>compliance</w:t>
      </w:r>
      <w:r w:rsidR="00D27CAD" w:rsidRPr="006B3BCE">
        <w:rPr>
          <w:rFonts w:ascii="Arial" w:hAnsi="Arial" w:cs="Arial"/>
        </w:rPr>
        <w:t xml:space="preserve">, </w:t>
      </w:r>
      <w:r w:rsidRPr="006B3BCE">
        <w:rPr>
          <w:rFonts w:ascii="Arial" w:hAnsi="Arial" w:cs="Arial"/>
        </w:rPr>
        <w:t xml:space="preserve">are the designated enforcement authorities for the 2019 legislative provisions. Their main objective is to ensure that only those properties with pre-existing specific planning permissions or with </w:t>
      </w:r>
      <w:r w:rsidR="002975C1" w:rsidRPr="006B3BCE">
        <w:rPr>
          <w:rFonts w:ascii="Arial" w:hAnsi="Arial" w:cs="Arial"/>
        </w:rPr>
        <w:t xml:space="preserve">appropriate </w:t>
      </w:r>
      <w:r w:rsidRPr="006B3BCE">
        <w:rPr>
          <w:rFonts w:ascii="Arial" w:hAnsi="Arial" w:cs="Arial"/>
        </w:rPr>
        <w:t>change of use planning permissions can operate for STL purposes in RPZs.</w:t>
      </w:r>
      <w:r w:rsidR="00717306">
        <w:rPr>
          <w:rFonts w:ascii="Arial" w:hAnsi="Arial" w:cs="Arial"/>
        </w:rPr>
        <w:t xml:space="preserve"> Presently, the vast majority of properties operating in the short-term rental sector are doing so without the necessary planning permission in place, contrary to statutory requirements.</w:t>
      </w:r>
    </w:p>
    <w:p w14:paraId="03C65914" w14:textId="77777777" w:rsidR="001B6FC4" w:rsidRPr="006B3BCE" w:rsidRDefault="001B6FC4" w:rsidP="001B6FC4">
      <w:pPr>
        <w:spacing w:before="100" w:beforeAutospacing="1" w:after="100" w:afterAutospacing="1" w:line="288" w:lineRule="auto"/>
        <w:rPr>
          <w:rFonts w:ascii="Arial" w:hAnsi="Arial" w:cs="Arial"/>
        </w:rPr>
      </w:pPr>
      <w:r w:rsidRPr="006B3BCE">
        <w:rPr>
          <w:rFonts w:ascii="Arial" w:hAnsi="Arial" w:cs="Arial"/>
        </w:rPr>
        <w:lastRenderedPageBreak/>
        <w:t xml:space="preserve">Subsequent to their introduction, the enforcement of the STL provisions began to have some, albeit limited, effect on reducing the numbers of STL properties advertising on online platforms. </w:t>
      </w:r>
    </w:p>
    <w:p w14:paraId="6B5419B9" w14:textId="6C6B9E1B" w:rsidR="001B6FC4" w:rsidRPr="001B6FC4" w:rsidRDefault="001B6FC4" w:rsidP="001B6FC4">
      <w:pPr>
        <w:spacing w:before="100" w:beforeAutospacing="1" w:after="100" w:afterAutospacing="1" w:line="288" w:lineRule="auto"/>
        <w:rPr>
          <w:rFonts w:ascii="Arial" w:hAnsi="Arial" w:cs="Arial"/>
        </w:rPr>
      </w:pPr>
      <w:r w:rsidRPr="001B6FC4">
        <w:rPr>
          <w:rFonts w:ascii="Arial" w:hAnsi="Arial" w:cs="Arial"/>
        </w:rPr>
        <w:t xml:space="preserve">However, there </w:t>
      </w:r>
      <w:r w:rsidR="00717306">
        <w:rPr>
          <w:rFonts w:ascii="Arial" w:hAnsi="Arial" w:cs="Arial"/>
        </w:rPr>
        <w:t>have been</w:t>
      </w:r>
      <w:r w:rsidRPr="001B6FC4">
        <w:rPr>
          <w:rFonts w:ascii="Arial" w:hAnsi="Arial" w:cs="Arial"/>
        </w:rPr>
        <w:t xml:space="preserve"> significant practical issues with regulating short-term letting through the planning system i.e. planning authorities have reported difficulties in establishing and proving ownership of properties engaging in the practice, making it difficult to serve a warning notice</w:t>
      </w:r>
      <w:r w:rsidR="002975C1">
        <w:rPr>
          <w:rFonts w:ascii="Arial" w:hAnsi="Arial" w:cs="Arial"/>
        </w:rPr>
        <w:t xml:space="preserve"> on the property owners</w:t>
      </w:r>
      <w:r w:rsidRPr="001B6FC4">
        <w:rPr>
          <w:rFonts w:ascii="Arial" w:hAnsi="Arial" w:cs="Arial"/>
        </w:rPr>
        <w:t xml:space="preserve">, while proving to a sufficient legal standard that properties are engaged in short-term letting has also proven problematic. As a result, </w:t>
      </w:r>
      <w:r w:rsidR="002975C1">
        <w:rPr>
          <w:rFonts w:ascii="Arial" w:hAnsi="Arial" w:cs="Arial"/>
        </w:rPr>
        <w:t>only</w:t>
      </w:r>
      <w:r w:rsidRPr="001B6FC4">
        <w:rPr>
          <w:rFonts w:ascii="Arial" w:hAnsi="Arial" w:cs="Arial"/>
        </w:rPr>
        <w:t xml:space="preserve"> a small number of court prosecutions have been secured to date.</w:t>
      </w:r>
    </w:p>
    <w:p w14:paraId="2B5B4AF7" w14:textId="0A1986D4" w:rsidR="009E140B" w:rsidRDefault="001B6FC4" w:rsidP="001B6FC4">
      <w:pPr>
        <w:spacing w:before="100" w:beforeAutospacing="1" w:after="100" w:afterAutospacing="1" w:line="288" w:lineRule="auto"/>
        <w:rPr>
          <w:rFonts w:ascii="Arial" w:hAnsi="Arial" w:cs="Arial"/>
        </w:rPr>
      </w:pPr>
      <w:r w:rsidRPr="001B6FC4">
        <w:rPr>
          <w:rFonts w:ascii="Arial" w:hAnsi="Arial" w:cs="Arial"/>
        </w:rPr>
        <w:t>It is also worth noting in this context that across the 4 Dublin local authorities for example, where a significant proportion of the STL properties nationally are located, only 22 applications for change of use planning permission in respect of STLs were received in the period 2019 to date of which 6 applications were granted, signifying the virtual complete ignoring of the pre-existing statutory requirements by STL property owners since the 2019 legislation was introduced and the need for strengthened more enforceable provisions for the sector</w:t>
      </w:r>
      <w:r w:rsidR="002975C1">
        <w:rPr>
          <w:rFonts w:ascii="Arial" w:hAnsi="Arial" w:cs="Arial"/>
        </w:rPr>
        <w:t xml:space="preserve"> so that the desired objective can be achieved</w:t>
      </w:r>
      <w:r w:rsidRPr="001B6FC4">
        <w:rPr>
          <w:rFonts w:ascii="Arial" w:hAnsi="Arial" w:cs="Arial"/>
        </w:rPr>
        <w:t>.</w:t>
      </w:r>
    </w:p>
    <w:p w14:paraId="39C8725E" w14:textId="77777777" w:rsidR="00C563D6" w:rsidRPr="0069792C" w:rsidRDefault="00C563D6" w:rsidP="0069792C">
      <w:pPr>
        <w:spacing w:before="100" w:beforeAutospacing="1" w:after="100" w:afterAutospacing="1" w:line="288" w:lineRule="auto"/>
        <w:rPr>
          <w:rFonts w:ascii="Arial" w:hAnsi="Arial" w:cs="Arial"/>
        </w:rPr>
      </w:pPr>
    </w:p>
    <w:p w14:paraId="4C9430B8" w14:textId="77777777" w:rsidR="007765E7" w:rsidRPr="0069792C" w:rsidRDefault="006855D9" w:rsidP="0069792C">
      <w:pPr>
        <w:pStyle w:val="Heading2"/>
        <w:spacing w:before="100" w:beforeAutospacing="1" w:after="100" w:afterAutospacing="1" w:line="288" w:lineRule="auto"/>
        <w:rPr>
          <w:rFonts w:cs="Arial"/>
        </w:rPr>
      </w:pPr>
      <w:bookmarkStart w:id="4" w:name="_Toc73613261"/>
      <w:r w:rsidRPr="0069792C">
        <w:rPr>
          <w:rFonts w:cs="Arial"/>
        </w:rPr>
        <w:t xml:space="preserve">2.2 </w:t>
      </w:r>
      <w:r w:rsidR="007765E7" w:rsidRPr="0069792C">
        <w:rPr>
          <w:rFonts w:cs="Arial"/>
        </w:rPr>
        <w:t>Objectives</w:t>
      </w:r>
      <w:bookmarkEnd w:id="4"/>
    </w:p>
    <w:p w14:paraId="7EEB4F60" w14:textId="3238C011" w:rsidR="001B6FC4" w:rsidRPr="006B3BCE" w:rsidRDefault="00A538C3" w:rsidP="001B6FC4">
      <w:pPr>
        <w:spacing w:before="100" w:beforeAutospacing="1" w:after="100" w:afterAutospacing="1" w:line="288" w:lineRule="auto"/>
        <w:rPr>
          <w:rFonts w:ascii="Arial" w:hAnsi="Arial" w:cs="Arial"/>
        </w:rPr>
      </w:pPr>
      <w:r w:rsidRPr="006B3BCE">
        <w:rPr>
          <w:rFonts w:ascii="Arial" w:hAnsi="Arial" w:cs="Arial"/>
        </w:rPr>
        <w:t xml:space="preserve">The Government’s Action Plan for Housing - </w:t>
      </w:r>
      <w:r w:rsidR="001B6FC4" w:rsidRPr="006B3BCE">
        <w:rPr>
          <w:rFonts w:ascii="Arial" w:hAnsi="Arial" w:cs="Arial"/>
        </w:rPr>
        <w:t xml:space="preserve">Housing for All contains a specific action - (Action 20.4) to “develop new regulatory controls requiring short-term and holiday lets to register with Fáilte Ireland with a view to ensuring that houses are used to best effect in areas of housing need” – to reverse the trend of properties moving out of the long-term private rental sector into the Short Term Letting (STL) sector, thereby increasing supply in the private rental sector and helping to ease increases in rent costs. </w:t>
      </w:r>
      <w:r w:rsidRPr="006B3BCE">
        <w:rPr>
          <w:rFonts w:ascii="Arial" w:hAnsi="Arial" w:cs="Arial"/>
        </w:rPr>
        <w:t>The most recent available data (August 2022) indicates that there is now only circa 700 properties available for long-term private rental nationally with many households facing homelessness while rental prices are showing a 12.6% increase in 2022 over 2021, continuing recent trends of rental increases in previous years.</w:t>
      </w:r>
    </w:p>
    <w:p w14:paraId="245104C5" w14:textId="4F28D01D" w:rsidR="001B6FC4" w:rsidRPr="006B3BCE" w:rsidRDefault="001B6FC4" w:rsidP="001B6FC4">
      <w:pPr>
        <w:spacing w:before="100" w:beforeAutospacing="1" w:after="100" w:afterAutospacing="1" w:line="288" w:lineRule="auto"/>
        <w:rPr>
          <w:rFonts w:ascii="Arial" w:hAnsi="Arial" w:cs="Arial"/>
        </w:rPr>
      </w:pPr>
      <w:r w:rsidRPr="006B3BCE">
        <w:rPr>
          <w:rFonts w:ascii="Arial" w:hAnsi="Arial" w:cs="Arial"/>
        </w:rPr>
        <w:t>Th</w:t>
      </w:r>
      <w:r w:rsidR="00A538C3" w:rsidRPr="006B3BCE">
        <w:rPr>
          <w:rFonts w:ascii="Arial" w:hAnsi="Arial" w:cs="Arial"/>
        </w:rPr>
        <w:t>e</w:t>
      </w:r>
      <w:r w:rsidRPr="006B3BCE">
        <w:rPr>
          <w:rFonts w:ascii="Arial" w:hAnsi="Arial" w:cs="Arial"/>
        </w:rPr>
        <w:t xml:space="preserve"> </w:t>
      </w:r>
      <w:r w:rsidR="00A538C3" w:rsidRPr="006B3BCE">
        <w:rPr>
          <w:rFonts w:ascii="Arial" w:hAnsi="Arial" w:cs="Arial"/>
        </w:rPr>
        <w:t xml:space="preserve">proposed new arrangements </w:t>
      </w:r>
      <w:r w:rsidRPr="006B3BCE">
        <w:rPr>
          <w:rFonts w:ascii="Arial" w:hAnsi="Arial" w:cs="Arial"/>
        </w:rPr>
        <w:t xml:space="preserve">will replace the current </w:t>
      </w:r>
      <w:r w:rsidR="00A538C3" w:rsidRPr="006B3BCE">
        <w:rPr>
          <w:rFonts w:ascii="Arial" w:hAnsi="Arial" w:cs="Arial"/>
        </w:rPr>
        <w:t xml:space="preserve">STL </w:t>
      </w:r>
      <w:r w:rsidRPr="006B3BCE">
        <w:rPr>
          <w:rFonts w:ascii="Arial" w:hAnsi="Arial" w:cs="Arial"/>
        </w:rPr>
        <w:t>regulatory regime operated via the planning system, which has proven difficult to enforce and has not been as effective as originally hoped.</w:t>
      </w:r>
    </w:p>
    <w:p w14:paraId="5330CCD0" w14:textId="352BE91B" w:rsidR="001B6FC4" w:rsidRPr="006B3BCE" w:rsidRDefault="001B6FC4" w:rsidP="00D27CAD">
      <w:pPr>
        <w:spacing w:before="100" w:beforeAutospacing="1" w:after="100" w:afterAutospacing="1" w:line="288" w:lineRule="auto"/>
        <w:rPr>
          <w:rFonts w:ascii="Arial" w:hAnsi="Arial" w:cs="Arial"/>
        </w:rPr>
      </w:pPr>
      <w:r w:rsidRPr="006B3BCE">
        <w:rPr>
          <w:rFonts w:ascii="Arial" w:hAnsi="Arial" w:cs="Arial"/>
        </w:rPr>
        <w:t>The Department of Tourism, Culture, Arts, Gaeltacht, Sport and Media and Fáilte Ireland are leading on this action with input from</w:t>
      </w:r>
      <w:r w:rsidR="00A538C3" w:rsidRPr="006B3BCE">
        <w:rPr>
          <w:rFonts w:ascii="Arial" w:hAnsi="Arial" w:cs="Arial"/>
        </w:rPr>
        <w:t xml:space="preserve"> the Department of Housing, Local Government and Heritage</w:t>
      </w:r>
      <w:r w:rsidRPr="006B3BCE">
        <w:rPr>
          <w:rFonts w:ascii="Arial" w:hAnsi="Arial" w:cs="Arial"/>
        </w:rPr>
        <w:t>.</w:t>
      </w:r>
      <w:r w:rsidR="00D27CAD" w:rsidRPr="006B3BCE">
        <w:t xml:space="preserve"> </w:t>
      </w:r>
      <w:r w:rsidR="00D27CAD" w:rsidRPr="006B3BCE">
        <w:rPr>
          <w:rFonts w:ascii="Arial" w:hAnsi="Arial" w:cs="Arial"/>
        </w:rPr>
        <w:t xml:space="preserve">The </w:t>
      </w:r>
      <w:r w:rsidR="00A538C3" w:rsidRPr="006B3BCE">
        <w:rPr>
          <w:rFonts w:ascii="Arial" w:hAnsi="Arial" w:cs="Arial"/>
        </w:rPr>
        <w:t xml:space="preserve">proposed new STL </w:t>
      </w:r>
      <w:r w:rsidR="00D27CAD" w:rsidRPr="006B3BCE">
        <w:rPr>
          <w:rFonts w:ascii="Arial" w:hAnsi="Arial" w:cs="Arial"/>
        </w:rPr>
        <w:t xml:space="preserve">online registration system </w:t>
      </w:r>
      <w:r w:rsidR="00A538C3" w:rsidRPr="006B3BCE">
        <w:rPr>
          <w:rFonts w:ascii="Arial" w:hAnsi="Arial" w:cs="Arial"/>
        </w:rPr>
        <w:t xml:space="preserve">as envisaged by Housing for All is </w:t>
      </w:r>
      <w:r w:rsidR="00717306">
        <w:rPr>
          <w:rFonts w:ascii="Arial" w:hAnsi="Arial" w:cs="Arial"/>
        </w:rPr>
        <w:t xml:space="preserve">currently </w:t>
      </w:r>
      <w:r w:rsidR="00D27CAD" w:rsidRPr="006B3BCE">
        <w:rPr>
          <w:rFonts w:ascii="Arial" w:hAnsi="Arial" w:cs="Arial"/>
        </w:rPr>
        <w:t xml:space="preserve">being developed </w:t>
      </w:r>
      <w:r w:rsidR="00A538C3" w:rsidRPr="006B3BCE">
        <w:rPr>
          <w:rFonts w:ascii="Arial" w:hAnsi="Arial" w:cs="Arial"/>
        </w:rPr>
        <w:t xml:space="preserve">and </w:t>
      </w:r>
      <w:r w:rsidR="00D27CAD" w:rsidRPr="006B3BCE">
        <w:rPr>
          <w:rFonts w:ascii="Arial" w:hAnsi="Arial" w:cs="Arial"/>
        </w:rPr>
        <w:t>is expected to come online in 2023.</w:t>
      </w:r>
    </w:p>
    <w:p w14:paraId="174B9F45" w14:textId="4DF021B5" w:rsidR="00D91C1E" w:rsidRPr="006B3BCE" w:rsidRDefault="00D91C1E" w:rsidP="00D91C1E">
      <w:pPr>
        <w:spacing w:before="100" w:beforeAutospacing="1" w:after="100" w:afterAutospacing="1" w:line="288" w:lineRule="auto"/>
        <w:rPr>
          <w:rFonts w:ascii="Arial" w:hAnsi="Arial" w:cs="Arial"/>
        </w:rPr>
      </w:pPr>
      <w:r w:rsidRPr="006B3BCE">
        <w:rPr>
          <w:rFonts w:ascii="Arial" w:hAnsi="Arial" w:cs="Arial"/>
        </w:rPr>
        <w:t xml:space="preserve">The </w:t>
      </w:r>
      <w:r w:rsidR="00D27CAD" w:rsidRPr="006B3BCE">
        <w:rPr>
          <w:rFonts w:ascii="Arial" w:hAnsi="Arial" w:cs="Arial"/>
        </w:rPr>
        <w:t>measure introduced by the Planning and Development, Maritime and Valuation (Amendment) Bill 2022</w:t>
      </w:r>
      <w:r w:rsidR="00CE4F6F" w:rsidRPr="006B3BCE">
        <w:rPr>
          <w:rFonts w:ascii="Arial" w:hAnsi="Arial" w:cs="Arial"/>
        </w:rPr>
        <w:t xml:space="preserve"> is an interim measure, pending the introduction of the Fáilte Ireland registration system, to alleviate the </w:t>
      </w:r>
      <w:r w:rsidRPr="006B3BCE">
        <w:rPr>
          <w:rFonts w:ascii="Arial" w:hAnsi="Arial" w:cs="Arial"/>
        </w:rPr>
        <w:t xml:space="preserve">acute and increasing shortage of long-term private rental </w:t>
      </w:r>
      <w:r w:rsidRPr="006B3BCE">
        <w:rPr>
          <w:rFonts w:ascii="Arial" w:hAnsi="Arial" w:cs="Arial"/>
        </w:rPr>
        <w:lastRenderedPageBreak/>
        <w:t xml:space="preserve">accommodation that is available for the indigenous population in the areas of highest housing demand (i.e. rent pressure zones) with corresponding inflationary implications for rent levels and the numbers of homeless people in those areas. </w:t>
      </w:r>
      <w:r w:rsidR="00A538C3" w:rsidRPr="006B3BCE">
        <w:rPr>
          <w:rFonts w:ascii="Arial" w:hAnsi="Arial" w:cs="Arial"/>
        </w:rPr>
        <w:t>As outlined, t</w:t>
      </w:r>
      <w:r w:rsidRPr="006B3BCE">
        <w:rPr>
          <w:rFonts w:ascii="Arial" w:hAnsi="Arial" w:cs="Arial"/>
        </w:rPr>
        <w:t xml:space="preserve">his situation has been further exacerbated by the recent influx of </w:t>
      </w:r>
      <w:proofErr w:type="spellStart"/>
      <w:r w:rsidRPr="006B3BCE">
        <w:rPr>
          <w:rFonts w:ascii="Arial" w:hAnsi="Arial" w:cs="Arial"/>
        </w:rPr>
        <w:t>Ukranian</w:t>
      </w:r>
      <w:proofErr w:type="spellEnd"/>
      <w:r w:rsidRPr="006B3BCE">
        <w:rPr>
          <w:rFonts w:ascii="Arial" w:hAnsi="Arial" w:cs="Arial"/>
        </w:rPr>
        <w:t xml:space="preserve"> citizens over the last few months, which is expected to further increase in the coming months.</w:t>
      </w:r>
    </w:p>
    <w:p w14:paraId="1E167AF6" w14:textId="3528C72C" w:rsidR="00CE4F6F" w:rsidRPr="006B3BCE" w:rsidRDefault="00CE4F6F" w:rsidP="00D91C1E">
      <w:pPr>
        <w:spacing w:before="100" w:beforeAutospacing="1" w:after="100" w:afterAutospacing="1" w:line="288" w:lineRule="auto"/>
        <w:rPr>
          <w:rFonts w:ascii="Arial" w:hAnsi="Arial" w:cs="Arial"/>
        </w:rPr>
      </w:pPr>
      <w:r w:rsidRPr="006B3BCE">
        <w:rPr>
          <w:rFonts w:ascii="Arial" w:hAnsi="Arial" w:cs="Arial"/>
        </w:rPr>
        <w:t xml:space="preserve">It is also worth noting that a significant number of </w:t>
      </w:r>
      <w:r w:rsidR="000F3058" w:rsidRPr="006B3BCE">
        <w:rPr>
          <w:rFonts w:ascii="Arial" w:hAnsi="Arial" w:cs="Arial"/>
        </w:rPr>
        <w:t xml:space="preserve">the </w:t>
      </w:r>
      <w:r w:rsidRPr="006B3BCE">
        <w:rPr>
          <w:rFonts w:ascii="Arial" w:hAnsi="Arial" w:cs="Arial"/>
        </w:rPr>
        <w:t xml:space="preserve">properties </w:t>
      </w:r>
      <w:r w:rsidR="000F3058" w:rsidRPr="006B3BCE">
        <w:rPr>
          <w:rFonts w:ascii="Arial" w:hAnsi="Arial" w:cs="Arial"/>
        </w:rPr>
        <w:t xml:space="preserve">that </w:t>
      </w:r>
      <w:r w:rsidRPr="006B3BCE">
        <w:rPr>
          <w:rFonts w:ascii="Arial" w:hAnsi="Arial" w:cs="Arial"/>
        </w:rPr>
        <w:t>were operating in the short-term letting market</w:t>
      </w:r>
      <w:r w:rsidR="000F3058" w:rsidRPr="006B3BCE">
        <w:rPr>
          <w:rFonts w:ascii="Arial" w:hAnsi="Arial" w:cs="Arial"/>
        </w:rPr>
        <w:t xml:space="preserve"> pre-Covid</w:t>
      </w:r>
      <w:r w:rsidRPr="006B3BCE">
        <w:rPr>
          <w:rFonts w:ascii="Arial" w:hAnsi="Arial" w:cs="Arial"/>
        </w:rPr>
        <w:t xml:space="preserve"> were temporarily </w:t>
      </w:r>
      <w:r w:rsidR="000F3058" w:rsidRPr="006B3BCE">
        <w:rPr>
          <w:rFonts w:ascii="Arial" w:hAnsi="Arial" w:cs="Arial"/>
        </w:rPr>
        <w:t>diverted to the</w:t>
      </w:r>
      <w:r w:rsidRPr="006B3BCE">
        <w:rPr>
          <w:rFonts w:ascii="Arial" w:hAnsi="Arial" w:cs="Arial"/>
        </w:rPr>
        <w:t xml:space="preserve"> private long-term rental accommodation during the period of the Covid travel restrictions</w:t>
      </w:r>
      <w:r w:rsidR="000F3058" w:rsidRPr="006B3BCE">
        <w:rPr>
          <w:rFonts w:ascii="Arial" w:hAnsi="Arial" w:cs="Arial"/>
        </w:rPr>
        <w:t>, thereby temporarily helping to ease the housing shortage situation in the long-term rental market.</w:t>
      </w:r>
      <w:r w:rsidRPr="006B3BCE">
        <w:rPr>
          <w:rFonts w:ascii="Arial" w:hAnsi="Arial" w:cs="Arial"/>
        </w:rPr>
        <w:t xml:space="preserve"> </w:t>
      </w:r>
      <w:r w:rsidR="000F3058" w:rsidRPr="006B3BCE">
        <w:rPr>
          <w:rFonts w:ascii="Arial" w:hAnsi="Arial" w:cs="Arial"/>
        </w:rPr>
        <w:t>However</w:t>
      </w:r>
      <w:r w:rsidRPr="006B3BCE">
        <w:rPr>
          <w:rFonts w:ascii="Arial" w:hAnsi="Arial" w:cs="Arial"/>
        </w:rPr>
        <w:t xml:space="preserve">, further to the easing of </w:t>
      </w:r>
      <w:r w:rsidR="000F3058" w:rsidRPr="006B3BCE">
        <w:rPr>
          <w:rFonts w:ascii="Arial" w:hAnsi="Arial" w:cs="Arial"/>
        </w:rPr>
        <w:t>the Covid</w:t>
      </w:r>
      <w:r w:rsidRPr="006B3BCE">
        <w:rPr>
          <w:rFonts w:ascii="Arial" w:hAnsi="Arial" w:cs="Arial"/>
        </w:rPr>
        <w:t xml:space="preserve"> travel restrictions and the resumption of normal tourism activity, </w:t>
      </w:r>
      <w:r w:rsidR="000F3058" w:rsidRPr="006B3BCE">
        <w:rPr>
          <w:rFonts w:ascii="Arial" w:hAnsi="Arial" w:cs="Arial"/>
        </w:rPr>
        <w:t>these properties have now returned</w:t>
      </w:r>
      <w:r w:rsidRPr="006B3BCE">
        <w:rPr>
          <w:rFonts w:ascii="Arial" w:hAnsi="Arial" w:cs="Arial"/>
        </w:rPr>
        <w:t xml:space="preserve"> to the short-term letting market thereby significantly diminishing the availability of private long-term rental accommodation once again, with associated inflationary rent impacts on properties remaining in the long-term rental market.</w:t>
      </w:r>
    </w:p>
    <w:p w14:paraId="1EA7F4B2" w14:textId="2DE22BD5" w:rsidR="00D91C1E" w:rsidRPr="006B3BCE" w:rsidRDefault="00D91C1E" w:rsidP="00D91C1E">
      <w:pPr>
        <w:spacing w:before="100" w:beforeAutospacing="1" w:after="100" w:afterAutospacing="1" w:line="288" w:lineRule="auto"/>
        <w:rPr>
          <w:rFonts w:ascii="Arial" w:hAnsi="Arial" w:cs="Arial"/>
        </w:rPr>
      </w:pPr>
      <w:r w:rsidRPr="006B3BCE">
        <w:rPr>
          <w:rFonts w:ascii="Arial" w:hAnsi="Arial" w:cs="Arial"/>
        </w:rPr>
        <w:t xml:space="preserve">In effect, the proposed measure is intended to help address the present unprecedented pressures faced in the housing sector, particularly in relation to long-term private residential accommodation, and the relative non-availability of non-principal private residences (both houses and apartments) for letting to local populations in </w:t>
      </w:r>
      <w:r w:rsidR="000F3058" w:rsidRPr="006B3BCE">
        <w:rPr>
          <w:rFonts w:ascii="Arial" w:hAnsi="Arial" w:cs="Arial"/>
        </w:rPr>
        <w:t>RPZs for long-term letting</w:t>
      </w:r>
      <w:r w:rsidRPr="006B3BCE">
        <w:rPr>
          <w:rFonts w:ascii="Arial" w:hAnsi="Arial" w:cs="Arial"/>
        </w:rPr>
        <w:t xml:space="preserve"> compared to the corresponding increasing availability of short-term lets in those areas.</w:t>
      </w:r>
    </w:p>
    <w:p w14:paraId="20CA7CD5" w14:textId="77777777" w:rsidR="001B6FC4" w:rsidRPr="0069792C" w:rsidRDefault="001B6FC4" w:rsidP="001B6FC4">
      <w:pPr>
        <w:spacing w:before="100" w:beforeAutospacing="1" w:after="100" w:afterAutospacing="1" w:line="288" w:lineRule="auto"/>
        <w:rPr>
          <w:rFonts w:ascii="Arial" w:hAnsi="Arial" w:cs="Arial"/>
        </w:rPr>
      </w:pPr>
    </w:p>
    <w:p w14:paraId="2362D9BE" w14:textId="77777777" w:rsidR="007765E7" w:rsidRPr="0069792C" w:rsidRDefault="007765E7" w:rsidP="0069792C">
      <w:pPr>
        <w:pStyle w:val="Heading1"/>
        <w:numPr>
          <w:ilvl w:val="0"/>
          <w:numId w:val="3"/>
        </w:numPr>
        <w:spacing w:before="100" w:beforeAutospacing="1" w:after="100" w:afterAutospacing="1" w:line="288" w:lineRule="auto"/>
        <w:rPr>
          <w:rFonts w:cs="Arial"/>
        </w:rPr>
      </w:pPr>
      <w:bookmarkStart w:id="5" w:name="_Toc73613262"/>
      <w:r w:rsidRPr="0069792C">
        <w:rPr>
          <w:rFonts w:cs="Arial"/>
        </w:rPr>
        <w:t>Identification of Options</w:t>
      </w:r>
      <w:bookmarkEnd w:id="5"/>
    </w:p>
    <w:p w14:paraId="44ACC0C7" w14:textId="261214E4" w:rsidR="007765E7" w:rsidRPr="006B3BCE" w:rsidRDefault="00B73F19" w:rsidP="0069792C">
      <w:pPr>
        <w:spacing w:before="100" w:beforeAutospacing="1" w:after="100" w:afterAutospacing="1" w:line="288" w:lineRule="auto"/>
        <w:rPr>
          <w:rFonts w:ascii="Arial" w:hAnsi="Arial" w:cs="Arial"/>
          <w:b/>
        </w:rPr>
      </w:pPr>
      <w:r w:rsidRPr="006B3BCE">
        <w:rPr>
          <w:rFonts w:ascii="Arial" w:hAnsi="Arial" w:cs="Arial"/>
          <w:b/>
        </w:rPr>
        <w:t>No Change Option</w:t>
      </w:r>
    </w:p>
    <w:p w14:paraId="20A77382" w14:textId="44634E16" w:rsidR="00CE4F6F" w:rsidRPr="006B3BCE" w:rsidRDefault="00F3532A" w:rsidP="0069792C">
      <w:pPr>
        <w:spacing w:before="100" w:beforeAutospacing="1" w:after="100" w:afterAutospacing="1" w:line="288" w:lineRule="auto"/>
        <w:rPr>
          <w:rFonts w:ascii="Arial" w:hAnsi="Arial" w:cs="Arial"/>
        </w:rPr>
      </w:pPr>
      <w:r w:rsidRPr="006B3BCE">
        <w:rPr>
          <w:rFonts w:ascii="Arial" w:hAnsi="Arial" w:cs="Arial"/>
        </w:rPr>
        <w:t xml:space="preserve">If no changes are made, </w:t>
      </w:r>
      <w:r w:rsidR="00CE4F6F" w:rsidRPr="006B3BCE">
        <w:rPr>
          <w:rFonts w:ascii="Arial" w:hAnsi="Arial" w:cs="Arial"/>
        </w:rPr>
        <w:t>the practical issues with regulating short-term letting through the planning system will continue and the flow of properties from the long term rental market to short term letting will continue</w:t>
      </w:r>
      <w:r w:rsidR="000F3058" w:rsidRPr="006B3BCE">
        <w:rPr>
          <w:rFonts w:ascii="Arial" w:hAnsi="Arial" w:cs="Arial"/>
        </w:rPr>
        <w:t>,</w:t>
      </w:r>
      <w:r w:rsidR="00CA15CE" w:rsidRPr="006B3BCE">
        <w:rPr>
          <w:rFonts w:ascii="Arial" w:hAnsi="Arial" w:cs="Arial"/>
        </w:rPr>
        <w:t xml:space="preserve"> </w:t>
      </w:r>
      <w:r w:rsidR="00CE4F6F" w:rsidRPr="006B3BCE">
        <w:rPr>
          <w:rFonts w:ascii="Arial" w:hAnsi="Arial" w:cs="Arial"/>
        </w:rPr>
        <w:t>further exacerbat</w:t>
      </w:r>
      <w:r w:rsidR="000F3058" w:rsidRPr="006B3BCE">
        <w:rPr>
          <w:rFonts w:ascii="Arial" w:hAnsi="Arial" w:cs="Arial"/>
        </w:rPr>
        <w:t>ing</w:t>
      </w:r>
      <w:r w:rsidR="00CE4F6F" w:rsidRPr="006B3BCE">
        <w:rPr>
          <w:rFonts w:ascii="Arial" w:hAnsi="Arial" w:cs="Arial"/>
        </w:rPr>
        <w:t xml:space="preserve"> the current pressures in the housing sector, particularly in relation to long-term private residential accommodation. </w:t>
      </w:r>
    </w:p>
    <w:p w14:paraId="326C6551" w14:textId="779D5DED" w:rsidR="007765E7" w:rsidRPr="006B3BCE" w:rsidRDefault="006855D9" w:rsidP="0069792C">
      <w:pPr>
        <w:spacing w:before="100" w:beforeAutospacing="1" w:after="100" w:afterAutospacing="1" w:line="288" w:lineRule="auto"/>
        <w:rPr>
          <w:rFonts w:ascii="Arial" w:hAnsi="Arial" w:cs="Arial"/>
          <w:b/>
        </w:rPr>
      </w:pPr>
      <w:r w:rsidRPr="006B3BCE">
        <w:rPr>
          <w:rFonts w:ascii="Arial" w:hAnsi="Arial" w:cs="Arial"/>
          <w:b/>
        </w:rPr>
        <w:t xml:space="preserve">Preferred Option: Implementation of the </w:t>
      </w:r>
      <w:r w:rsidR="00717306">
        <w:rPr>
          <w:rFonts w:ascii="Arial" w:hAnsi="Arial" w:cs="Arial"/>
          <w:b/>
        </w:rPr>
        <w:t xml:space="preserve">proposed </w:t>
      </w:r>
      <w:r w:rsidRPr="006B3BCE">
        <w:rPr>
          <w:rFonts w:ascii="Arial" w:hAnsi="Arial" w:cs="Arial"/>
          <w:b/>
        </w:rPr>
        <w:t>legislative pro</w:t>
      </w:r>
      <w:r w:rsidR="0080380D">
        <w:rPr>
          <w:rFonts w:ascii="Arial" w:hAnsi="Arial" w:cs="Arial"/>
          <w:b/>
        </w:rPr>
        <w:t>vision</w:t>
      </w:r>
      <w:r w:rsidRPr="006B3BCE">
        <w:rPr>
          <w:rFonts w:ascii="Arial" w:hAnsi="Arial" w:cs="Arial"/>
          <w:b/>
        </w:rPr>
        <w:t>s</w:t>
      </w:r>
    </w:p>
    <w:p w14:paraId="0C1C3D38" w14:textId="77777777" w:rsidR="001B6FC4" w:rsidRPr="006B3BCE" w:rsidRDefault="001B6FC4" w:rsidP="001B6FC4">
      <w:pPr>
        <w:spacing w:before="100" w:beforeAutospacing="1" w:after="100" w:afterAutospacing="1" w:line="288" w:lineRule="auto"/>
        <w:rPr>
          <w:rFonts w:ascii="Arial" w:hAnsi="Arial" w:cs="Arial"/>
        </w:rPr>
      </w:pPr>
      <w:r w:rsidRPr="006B3BCE">
        <w:rPr>
          <w:rFonts w:ascii="Arial" w:hAnsi="Arial" w:cs="Arial"/>
        </w:rPr>
        <w:t xml:space="preserve">The aim of this policy proposal is to significantly strengthen the pre-existing legislative provisions in relation to the regulation of the short-term letting sector originally introduced under the Residential Tenancies Act 2019 and the supplementary Planning and Development Act 2000 (Exempted Development) (No. 2) Regulations 2019, which came into effect on 1 July 2019. </w:t>
      </w:r>
    </w:p>
    <w:p w14:paraId="32653E46" w14:textId="7AC00AC2" w:rsidR="001B6FC4" w:rsidRPr="006B3BCE" w:rsidRDefault="001B6FC4" w:rsidP="001B6FC4">
      <w:pPr>
        <w:spacing w:before="100" w:beforeAutospacing="1" w:after="100" w:afterAutospacing="1" w:line="288" w:lineRule="auto"/>
        <w:rPr>
          <w:rFonts w:ascii="Arial" w:hAnsi="Arial" w:cs="Arial"/>
        </w:rPr>
      </w:pPr>
      <w:r w:rsidRPr="006B3BCE">
        <w:rPr>
          <w:rFonts w:ascii="Arial" w:hAnsi="Arial" w:cs="Arial"/>
        </w:rPr>
        <w:t xml:space="preserve">This is </w:t>
      </w:r>
      <w:r w:rsidR="000F3058" w:rsidRPr="006B3BCE">
        <w:rPr>
          <w:rFonts w:ascii="Arial" w:hAnsi="Arial" w:cs="Arial"/>
        </w:rPr>
        <w:t>proposed</w:t>
      </w:r>
      <w:r w:rsidRPr="006B3BCE">
        <w:rPr>
          <w:rFonts w:ascii="Arial" w:hAnsi="Arial" w:cs="Arial"/>
        </w:rPr>
        <w:t xml:space="preserve"> with a view to increasing the number of properties available on the private residential rental market in areas of high housing demand during a time of substantial and sustained demand for </w:t>
      </w:r>
      <w:r w:rsidR="000F3058" w:rsidRPr="006B3BCE">
        <w:rPr>
          <w:rFonts w:ascii="Arial" w:hAnsi="Arial" w:cs="Arial"/>
        </w:rPr>
        <w:t xml:space="preserve">such </w:t>
      </w:r>
      <w:r w:rsidRPr="006B3BCE">
        <w:rPr>
          <w:rFonts w:ascii="Arial" w:hAnsi="Arial" w:cs="Arial"/>
        </w:rPr>
        <w:t xml:space="preserve">rental accommodation. The increased </w:t>
      </w:r>
      <w:r w:rsidR="000F3058" w:rsidRPr="006B3BCE">
        <w:rPr>
          <w:rFonts w:ascii="Arial" w:hAnsi="Arial" w:cs="Arial"/>
        </w:rPr>
        <w:t xml:space="preserve">supply shortage </w:t>
      </w:r>
      <w:r w:rsidRPr="006B3BCE">
        <w:rPr>
          <w:rFonts w:ascii="Arial" w:hAnsi="Arial" w:cs="Arial"/>
        </w:rPr>
        <w:t>has been further exacerbated by the recent, and likely future, arrival of large numbers of people fleeing Ukraine into the State who are in need of medium to long-term accommodation.</w:t>
      </w:r>
    </w:p>
    <w:p w14:paraId="7112CE5B" w14:textId="4F620803" w:rsidR="001B6FC4" w:rsidRPr="006B3BCE" w:rsidRDefault="001B6FC4" w:rsidP="001B6FC4">
      <w:pPr>
        <w:spacing w:before="100" w:beforeAutospacing="1" w:after="100" w:afterAutospacing="1" w:line="288" w:lineRule="auto"/>
        <w:rPr>
          <w:rFonts w:ascii="Arial" w:hAnsi="Arial" w:cs="Arial"/>
        </w:rPr>
      </w:pPr>
      <w:r w:rsidRPr="006B3BCE">
        <w:rPr>
          <w:rFonts w:ascii="Arial" w:hAnsi="Arial" w:cs="Arial"/>
        </w:rPr>
        <w:lastRenderedPageBreak/>
        <w:t xml:space="preserve">The </w:t>
      </w:r>
      <w:r w:rsidR="00CE4F6F" w:rsidRPr="006B3BCE">
        <w:rPr>
          <w:rFonts w:ascii="Arial" w:hAnsi="Arial" w:cs="Arial"/>
        </w:rPr>
        <w:t xml:space="preserve">Bill </w:t>
      </w:r>
      <w:r w:rsidRPr="006B3BCE">
        <w:rPr>
          <w:rFonts w:ascii="Arial" w:hAnsi="Arial" w:cs="Arial"/>
        </w:rPr>
        <w:t>comprises two core elements:</w:t>
      </w:r>
    </w:p>
    <w:p w14:paraId="79836B79" w14:textId="3469A9AA" w:rsidR="001B6FC4" w:rsidRPr="006B3BCE" w:rsidRDefault="001B6FC4" w:rsidP="00CE4F6F">
      <w:pPr>
        <w:pStyle w:val="ListParagraph"/>
        <w:numPr>
          <w:ilvl w:val="0"/>
          <w:numId w:val="6"/>
        </w:numPr>
        <w:spacing w:before="100" w:beforeAutospacing="1" w:after="100" w:afterAutospacing="1" w:line="288" w:lineRule="auto"/>
        <w:rPr>
          <w:rFonts w:ascii="Arial" w:hAnsi="Arial" w:cs="Arial"/>
        </w:rPr>
      </w:pPr>
      <w:r w:rsidRPr="006B3BCE">
        <w:rPr>
          <w:rFonts w:ascii="Arial" w:hAnsi="Arial" w:cs="Arial"/>
        </w:rPr>
        <w:t xml:space="preserve">providing that </w:t>
      </w:r>
      <w:r w:rsidR="000F3058" w:rsidRPr="006B3BCE">
        <w:rPr>
          <w:rFonts w:ascii="Arial" w:hAnsi="Arial" w:cs="Arial"/>
        </w:rPr>
        <w:t xml:space="preserve">- </w:t>
      </w:r>
      <w:r w:rsidRPr="006B3BCE">
        <w:rPr>
          <w:rFonts w:ascii="Arial" w:hAnsi="Arial" w:cs="Arial"/>
        </w:rPr>
        <w:t xml:space="preserve">from </w:t>
      </w:r>
      <w:r w:rsidR="000F3058" w:rsidRPr="006B3BCE">
        <w:rPr>
          <w:rFonts w:ascii="Arial" w:hAnsi="Arial" w:cs="Arial"/>
        </w:rPr>
        <w:t xml:space="preserve">a date yet to be specified- </w:t>
      </w:r>
      <w:r w:rsidRPr="006B3BCE">
        <w:rPr>
          <w:rFonts w:ascii="Arial" w:hAnsi="Arial" w:cs="Arial"/>
        </w:rPr>
        <w:t xml:space="preserve"> for a period of six</w:t>
      </w:r>
      <w:r w:rsidR="000F3058" w:rsidRPr="006B3BCE">
        <w:rPr>
          <w:rFonts w:ascii="Arial" w:hAnsi="Arial" w:cs="Arial"/>
        </w:rPr>
        <w:t xml:space="preserve"> months,</w:t>
      </w:r>
      <w:r w:rsidRPr="006B3BCE">
        <w:rPr>
          <w:rFonts w:ascii="Arial" w:hAnsi="Arial" w:cs="Arial"/>
        </w:rPr>
        <w:t xml:space="preserve"> non-principal private residences in RPZs shall not be advertised or accept bookings on online platforms or other media for short term letting purposes without the necessary planning permission being in place in respect of the property concerned or the property concerned being otherwise exempted. </w:t>
      </w:r>
    </w:p>
    <w:p w14:paraId="41BEE8E2" w14:textId="549EBBE5" w:rsidR="001B6FC4" w:rsidRPr="006B3BCE" w:rsidRDefault="001B6FC4" w:rsidP="00CE4F6F">
      <w:pPr>
        <w:pStyle w:val="ListParagraph"/>
        <w:spacing w:before="100" w:beforeAutospacing="1" w:after="100" w:afterAutospacing="1" w:line="288" w:lineRule="auto"/>
        <w:rPr>
          <w:rFonts w:ascii="Arial" w:hAnsi="Arial" w:cs="Arial"/>
        </w:rPr>
      </w:pPr>
      <w:r w:rsidRPr="006B3BCE">
        <w:rPr>
          <w:rFonts w:ascii="Arial" w:hAnsi="Arial" w:cs="Arial"/>
        </w:rPr>
        <w:t>This period may be extended for further 6 month periods subject to positive resolutions by both Houses of the Oireachtas</w:t>
      </w:r>
      <w:r w:rsidR="000F3058" w:rsidRPr="006B3BCE">
        <w:rPr>
          <w:rFonts w:ascii="Arial" w:hAnsi="Arial" w:cs="Arial"/>
        </w:rPr>
        <w:t>;</w:t>
      </w:r>
      <w:r w:rsidRPr="006B3BCE">
        <w:rPr>
          <w:rFonts w:ascii="Arial" w:hAnsi="Arial" w:cs="Arial"/>
        </w:rPr>
        <w:t xml:space="preserve"> </w:t>
      </w:r>
    </w:p>
    <w:p w14:paraId="53F8FD8B" w14:textId="77777777" w:rsidR="001B6FC4" w:rsidRPr="006B3BCE" w:rsidRDefault="001B6FC4" w:rsidP="00CE4F6F">
      <w:pPr>
        <w:pStyle w:val="ListParagraph"/>
        <w:spacing w:before="100" w:beforeAutospacing="1" w:after="100" w:afterAutospacing="1" w:line="288" w:lineRule="auto"/>
        <w:rPr>
          <w:rFonts w:ascii="Arial" w:hAnsi="Arial" w:cs="Arial"/>
        </w:rPr>
      </w:pPr>
    </w:p>
    <w:p w14:paraId="1223965D" w14:textId="4049AA5D" w:rsidR="001B6FC4" w:rsidRPr="006B3BCE" w:rsidRDefault="001B6FC4" w:rsidP="00CE4F6F">
      <w:pPr>
        <w:pStyle w:val="ListParagraph"/>
        <w:numPr>
          <w:ilvl w:val="0"/>
          <w:numId w:val="6"/>
        </w:numPr>
        <w:spacing w:before="100" w:beforeAutospacing="1" w:after="100" w:afterAutospacing="1" w:line="288" w:lineRule="auto"/>
        <w:rPr>
          <w:rFonts w:ascii="Arial" w:hAnsi="Arial" w:cs="Arial"/>
        </w:rPr>
      </w:pPr>
      <w:proofErr w:type="gramStart"/>
      <w:r w:rsidRPr="006B3BCE">
        <w:rPr>
          <w:rFonts w:ascii="Arial" w:hAnsi="Arial" w:cs="Arial"/>
        </w:rPr>
        <w:t>giving</w:t>
      </w:r>
      <w:proofErr w:type="gramEnd"/>
      <w:r w:rsidRPr="006B3BCE">
        <w:rPr>
          <w:rFonts w:ascii="Arial" w:hAnsi="Arial" w:cs="Arial"/>
        </w:rPr>
        <w:t xml:space="preserve"> the Minister regulation making powers to require the owners of STL properties or their nominated agents to produce evidence of planning compliance as certified by a planning authority, or of an exemption from same, for the purpose of confirming entitlement to advertise a non-principal private residence located in a RPZ on an online platform or other media. </w:t>
      </w:r>
    </w:p>
    <w:p w14:paraId="7A4C3198" w14:textId="066EB689" w:rsidR="001B6FC4" w:rsidRPr="006B3BCE" w:rsidRDefault="001B6FC4" w:rsidP="001B6FC4">
      <w:pPr>
        <w:spacing w:before="100" w:beforeAutospacing="1" w:after="100" w:afterAutospacing="1" w:line="288" w:lineRule="auto"/>
        <w:rPr>
          <w:rFonts w:ascii="Arial" w:hAnsi="Arial" w:cs="Arial"/>
        </w:rPr>
      </w:pPr>
      <w:r w:rsidRPr="006B3BCE">
        <w:rPr>
          <w:rFonts w:ascii="Arial" w:hAnsi="Arial" w:cs="Arial"/>
        </w:rPr>
        <w:t>The detailed operational arrangements and other related ancillary provisions in relation to this certification requirement</w:t>
      </w:r>
      <w:r w:rsidR="008B3862" w:rsidRPr="006B3BCE">
        <w:rPr>
          <w:rFonts w:ascii="Arial" w:hAnsi="Arial" w:cs="Arial"/>
        </w:rPr>
        <w:t xml:space="preserve"> -</w:t>
      </w:r>
      <w:r w:rsidRPr="006B3BCE">
        <w:rPr>
          <w:rFonts w:ascii="Arial" w:hAnsi="Arial" w:cs="Arial"/>
        </w:rPr>
        <w:t xml:space="preserve"> which it is envisaged will involve engagement between DHLGH the relevant online platforms</w:t>
      </w:r>
      <w:r w:rsidR="008B3862" w:rsidRPr="006B3BCE">
        <w:rPr>
          <w:rFonts w:ascii="Arial" w:hAnsi="Arial" w:cs="Arial"/>
        </w:rPr>
        <w:t xml:space="preserve"> and other stakeholder groups -</w:t>
      </w:r>
      <w:r w:rsidRPr="006B3BCE">
        <w:rPr>
          <w:rFonts w:ascii="Arial" w:hAnsi="Arial" w:cs="Arial"/>
        </w:rPr>
        <w:t xml:space="preserve"> to ensure compliance with the requirements</w:t>
      </w:r>
      <w:r w:rsidR="00CA15CE" w:rsidRPr="006B3BCE">
        <w:rPr>
          <w:rFonts w:ascii="Arial" w:hAnsi="Arial" w:cs="Arial"/>
        </w:rPr>
        <w:t xml:space="preserve"> </w:t>
      </w:r>
      <w:r w:rsidRPr="006B3BCE">
        <w:rPr>
          <w:rFonts w:ascii="Arial" w:hAnsi="Arial" w:cs="Arial"/>
        </w:rPr>
        <w:t>will be provided for in supplementary regulations</w:t>
      </w:r>
      <w:r w:rsidR="00CE4F6F" w:rsidRPr="006B3BCE">
        <w:rPr>
          <w:rFonts w:ascii="Arial" w:hAnsi="Arial" w:cs="Arial"/>
        </w:rPr>
        <w:t xml:space="preserve">. </w:t>
      </w:r>
      <w:r w:rsidRPr="006B3BCE">
        <w:rPr>
          <w:rFonts w:ascii="Arial" w:hAnsi="Arial" w:cs="Arial"/>
        </w:rPr>
        <w:t xml:space="preserve"> </w:t>
      </w:r>
    </w:p>
    <w:p w14:paraId="181C4DA6" w14:textId="6B29517E" w:rsidR="001B6FC4" w:rsidRPr="006B3BCE" w:rsidRDefault="00CE4F6F" w:rsidP="001B6FC4">
      <w:pPr>
        <w:spacing w:before="100" w:beforeAutospacing="1" w:after="100" w:afterAutospacing="1" w:line="288" w:lineRule="auto"/>
        <w:rPr>
          <w:rFonts w:ascii="Arial" w:hAnsi="Arial" w:cs="Arial"/>
        </w:rPr>
      </w:pPr>
      <w:r w:rsidRPr="006B3BCE">
        <w:rPr>
          <w:rFonts w:ascii="Arial" w:hAnsi="Arial" w:cs="Arial"/>
        </w:rPr>
        <w:t xml:space="preserve">In </w:t>
      </w:r>
      <w:r w:rsidR="001B6FC4" w:rsidRPr="006B3BCE">
        <w:rPr>
          <w:rFonts w:ascii="Arial" w:hAnsi="Arial" w:cs="Arial"/>
        </w:rPr>
        <w:t>this regard</w:t>
      </w:r>
      <w:r w:rsidR="00717306">
        <w:rPr>
          <w:rFonts w:ascii="Arial" w:hAnsi="Arial" w:cs="Arial"/>
        </w:rPr>
        <w:t>,</w:t>
      </w:r>
      <w:r w:rsidR="001B6FC4" w:rsidRPr="006B3BCE">
        <w:rPr>
          <w:rFonts w:ascii="Arial" w:hAnsi="Arial" w:cs="Arial"/>
        </w:rPr>
        <w:t xml:space="preserve"> the pre-existing STL legislative provisions already have offence provisions in relation to non-compliance with the said provisions. These offence provisions will continue to apply under the new regulations w</w:t>
      </w:r>
      <w:r w:rsidR="008B3862" w:rsidRPr="006B3BCE">
        <w:rPr>
          <w:rFonts w:ascii="Arial" w:hAnsi="Arial" w:cs="Arial"/>
        </w:rPr>
        <w:t xml:space="preserve">here it is proposed that </w:t>
      </w:r>
      <w:r w:rsidR="001B6FC4" w:rsidRPr="006B3BCE">
        <w:rPr>
          <w:rFonts w:ascii="Arial" w:hAnsi="Arial" w:cs="Arial"/>
        </w:rPr>
        <w:t xml:space="preserve">both online platforms and individual property owners </w:t>
      </w:r>
      <w:r w:rsidR="008B3862" w:rsidRPr="006B3BCE">
        <w:rPr>
          <w:rFonts w:ascii="Arial" w:hAnsi="Arial" w:cs="Arial"/>
        </w:rPr>
        <w:t>will be</w:t>
      </w:r>
      <w:r w:rsidR="001B6FC4" w:rsidRPr="006B3BCE">
        <w:rPr>
          <w:rFonts w:ascii="Arial" w:hAnsi="Arial" w:cs="Arial"/>
        </w:rPr>
        <w:t xml:space="preserve"> open to penalties for non-compliance with the new provisions.</w:t>
      </w:r>
      <w:r w:rsidR="008B3862" w:rsidRPr="006B3BCE">
        <w:rPr>
          <w:rFonts w:ascii="Arial" w:hAnsi="Arial" w:cs="Arial"/>
        </w:rPr>
        <w:t xml:space="preserve"> Under the pre-existing provisions, only the property owners concerned are liable to offence penalties for non-compliance.</w:t>
      </w:r>
    </w:p>
    <w:p w14:paraId="77C07253" w14:textId="77777777" w:rsidR="00CE4F6F" w:rsidRPr="001B6FC4" w:rsidRDefault="00CE4F6F" w:rsidP="001B6FC4">
      <w:pPr>
        <w:spacing w:before="100" w:beforeAutospacing="1" w:after="100" w:afterAutospacing="1" w:line="288" w:lineRule="auto"/>
        <w:rPr>
          <w:rFonts w:ascii="Arial" w:hAnsi="Arial" w:cs="Arial"/>
        </w:rPr>
      </w:pPr>
    </w:p>
    <w:p w14:paraId="12AB65D1" w14:textId="677579A9" w:rsidR="006855D9" w:rsidRPr="0069792C" w:rsidRDefault="007765E7" w:rsidP="0069792C">
      <w:pPr>
        <w:pStyle w:val="Heading1"/>
        <w:numPr>
          <w:ilvl w:val="0"/>
          <w:numId w:val="3"/>
        </w:numPr>
        <w:spacing w:before="100" w:beforeAutospacing="1" w:after="100" w:afterAutospacing="1" w:line="288" w:lineRule="auto"/>
        <w:rPr>
          <w:rFonts w:cs="Arial"/>
        </w:rPr>
      </w:pPr>
      <w:bookmarkStart w:id="6" w:name="_Toc73613263"/>
      <w:r w:rsidRPr="0069792C">
        <w:rPr>
          <w:rFonts w:cs="Arial"/>
        </w:rPr>
        <w:t>Identification of Costs, Benefits and Impacts</w:t>
      </w:r>
      <w:bookmarkEnd w:id="6"/>
    </w:p>
    <w:p w14:paraId="546DB5E0" w14:textId="77777777" w:rsidR="007765E7" w:rsidRPr="0069792C" w:rsidRDefault="006855D9" w:rsidP="0069792C">
      <w:pPr>
        <w:pStyle w:val="Heading2"/>
        <w:spacing w:before="100" w:beforeAutospacing="1" w:after="100" w:afterAutospacing="1" w:line="288" w:lineRule="auto"/>
        <w:rPr>
          <w:rFonts w:cs="Arial"/>
        </w:rPr>
      </w:pPr>
      <w:bookmarkStart w:id="7" w:name="_Toc73613264"/>
      <w:r w:rsidRPr="0069792C">
        <w:rPr>
          <w:rFonts w:cs="Arial"/>
        </w:rPr>
        <w:t xml:space="preserve">4.1 </w:t>
      </w:r>
      <w:r w:rsidR="007765E7" w:rsidRPr="0069792C">
        <w:rPr>
          <w:rFonts w:cs="Arial"/>
        </w:rPr>
        <w:t>Costs</w:t>
      </w:r>
      <w:bookmarkEnd w:id="7"/>
    </w:p>
    <w:p w14:paraId="358EE983" w14:textId="148FDFE4" w:rsidR="006855D9" w:rsidRPr="0069792C" w:rsidRDefault="006855D9" w:rsidP="0069792C">
      <w:pPr>
        <w:spacing w:before="100" w:beforeAutospacing="1" w:after="100" w:afterAutospacing="1" w:line="288" w:lineRule="auto"/>
        <w:rPr>
          <w:rFonts w:ascii="Arial" w:hAnsi="Arial" w:cs="Arial"/>
          <w:b/>
        </w:rPr>
      </w:pPr>
      <w:r w:rsidRPr="0069792C">
        <w:rPr>
          <w:rFonts w:ascii="Arial" w:hAnsi="Arial" w:cs="Arial"/>
          <w:b/>
        </w:rPr>
        <w:t>No Change Option</w:t>
      </w:r>
    </w:p>
    <w:p w14:paraId="6E8CF41C" w14:textId="0AB3C292" w:rsidR="00B73F19" w:rsidRPr="0069792C" w:rsidRDefault="00423062" w:rsidP="00423062">
      <w:pPr>
        <w:spacing w:before="100" w:beforeAutospacing="1" w:after="100" w:afterAutospacing="1" w:line="288" w:lineRule="auto"/>
        <w:rPr>
          <w:rFonts w:ascii="Arial" w:hAnsi="Arial" w:cs="Arial"/>
        </w:rPr>
      </w:pPr>
      <w:r w:rsidRPr="00423062">
        <w:rPr>
          <w:rFonts w:ascii="Arial" w:hAnsi="Arial" w:cs="Arial"/>
        </w:rPr>
        <w:t xml:space="preserve">For the State, there </w:t>
      </w:r>
      <w:r w:rsidR="008B3862">
        <w:rPr>
          <w:rFonts w:ascii="Arial" w:hAnsi="Arial" w:cs="Arial"/>
        </w:rPr>
        <w:t>would be ongoing</w:t>
      </w:r>
      <w:r>
        <w:rPr>
          <w:rFonts w:ascii="Arial" w:hAnsi="Arial" w:cs="Arial"/>
        </w:rPr>
        <w:t xml:space="preserve"> </w:t>
      </w:r>
      <w:r w:rsidRPr="00423062">
        <w:rPr>
          <w:rFonts w:ascii="Arial" w:hAnsi="Arial" w:cs="Arial"/>
        </w:rPr>
        <w:t>budgetary costs associated with staffing</w:t>
      </w:r>
      <w:r>
        <w:rPr>
          <w:rFonts w:ascii="Arial" w:hAnsi="Arial" w:cs="Arial"/>
        </w:rPr>
        <w:t xml:space="preserve"> </w:t>
      </w:r>
      <w:r w:rsidR="008B3862">
        <w:rPr>
          <w:rFonts w:ascii="Arial" w:hAnsi="Arial" w:cs="Arial"/>
        </w:rPr>
        <w:t xml:space="preserve">resources </w:t>
      </w:r>
      <w:r>
        <w:rPr>
          <w:rFonts w:ascii="Arial" w:hAnsi="Arial" w:cs="Arial"/>
        </w:rPr>
        <w:t>for the enforcement of the current STL regulations and while s</w:t>
      </w:r>
      <w:r w:rsidRPr="00423062">
        <w:rPr>
          <w:rFonts w:ascii="Arial" w:hAnsi="Arial" w:cs="Arial"/>
        </w:rPr>
        <w:t>ignificant work</w:t>
      </w:r>
      <w:r>
        <w:rPr>
          <w:rFonts w:ascii="Arial" w:hAnsi="Arial" w:cs="Arial"/>
        </w:rPr>
        <w:t xml:space="preserve"> </w:t>
      </w:r>
      <w:r w:rsidRPr="00423062">
        <w:rPr>
          <w:rFonts w:ascii="Arial" w:hAnsi="Arial" w:cs="Arial"/>
        </w:rPr>
        <w:t>has been undertaken by planning authorities since the</w:t>
      </w:r>
      <w:r>
        <w:rPr>
          <w:rFonts w:ascii="Arial" w:hAnsi="Arial" w:cs="Arial"/>
        </w:rPr>
        <w:t xml:space="preserve"> regulations </w:t>
      </w:r>
      <w:r w:rsidRPr="00423062">
        <w:rPr>
          <w:rFonts w:ascii="Arial" w:hAnsi="Arial" w:cs="Arial"/>
        </w:rPr>
        <w:t>came into effect</w:t>
      </w:r>
      <w:r>
        <w:rPr>
          <w:rFonts w:ascii="Arial" w:hAnsi="Arial" w:cs="Arial"/>
        </w:rPr>
        <w:t xml:space="preserve">, as mentioned, this has had limited effect as </w:t>
      </w:r>
      <w:r w:rsidRPr="00423062">
        <w:rPr>
          <w:rFonts w:ascii="Arial" w:hAnsi="Arial" w:cs="Arial"/>
        </w:rPr>
        <w:t>the current regulatory regime has proven difficult to enforce and has not been as effective as originally hoped.</w:t>
      </w:r>
    </w:p>
    <w:p w14:paraId="46A11231" w14:textId="2B284D7B" w:rsidR="006855D9" w:rsidRPr="0069792C" w:rsidRDefault="006855D9" w:rsidP="0069792C">
      <w:pPr>
        <w:spacing w:before="100" w:beforeAutospacing="1" w:after="100" w:afterAutospacing="1" w:line="288" w:lineRule="auto"/>
        <w:rPr>
          <w:rFonts w:ascii="Arial" w:hAnsi="Arial" w:cs="Arial"/>
          <w:b/>
        </w:rPr>
      </w:pPr>
      <w:r w:rsidRPr="0069792C">
        <w:rPr>
          <w:rFonts w:ascii="Arial" w:hAnsi="Arial" w:cs="Arial"/>
          <w:b/>
        </w:rPr>
        <w:t xml:space="preserve">Preferred Option: Implementation of the </w:t>
      </w:r>
      <w:r w:rsidR="0080380D">
        <w:rPr>
          <w:rFonts w:ascii="Arial" w:hAnsi="Arial" w:cs="Arial"/>
          <w:b/>
        </w:rPr>
        <w:t xml:space="preserve">proposed </w:t>
      </w:r>
      <w:r w:rsidRPr="0069792C">
        <w:rPr>
          <w:rFonts w:ascii="Arial" w:hAnsi="Arial" w:cs="Arial"/>
          <w:b/>
        </w:rPr>
        <w:t>legislative pro</w:t>
      </w:r>
      <w:r w:rsidR="0080380D">
        <w:rPr>
          <w:rFonts w:ascii="Arial" w:hAnsi="Arial" w:cs="Arial"/>
          <w:b/>
        </w:rPr>
        <w:t>vision</w:t>
      </w:r>
      <w:r w:rsidRPr="0069792C">
        <w:rPr>
          <w:rFonts w:ascii="Arial" w:hAnsi="Arial" w:cs="Arial"/>
          <w:b/>
        </w:rPr>
        <w:t>s</w:t>
      </w:r>
    </w:p>
    <w:p w14:paraId="01983C54" w14:textId="5EFEDB9F" w:rsidR="0069792C" w:rsidRDefault="00423062" w:rsidP="003418B9">
      <w:pPr>
        <w:spacing w:before="100" w:beforeAutospacing="1" w:after="100" w:afterAutospacing="1" w:line="288" w:lineRule="auto"/>
        <w:rPr>
          <w:rFonts w:cs="Arial"/>
        </w:rPr>
      </w:pPr>
      <w:r w:rsidRPr="00423062">
        <w:rPr>
          <w:rFonts w:ascii="Arial" w:hAnsi="Arial" w:cs="Arial"/>
        </w:rPr>
        <w:t xml:space="preserve">For the State, there would be </w:t>
      </w:r>
      <w:r w:rsidR="003418B9">
        <w:rPr>
          <w:rFonts w:ascii="Arial" w:hAnsi="Arial" w:cs="Arial"/>
        </w:rPr>
        <w:t xml:space="preserve">similar </w:t>
      </w:r>
      <w:r w:rsidRPr="00423062">
        <w:rPr>
          <w:rFonts w:ascii="Arial" w:hAnsi="Arial" w:cs="Arial"/>
        </w:rPr>
        <w:t>budgetary costs associated</w:t>
      </w:r>
      <w:r w:rsidR="003418B9">
        <w:rPr>
          <w:rFonts w:ascii="Arial" w:hAnsi="Arial" w:cs="Arial"/>
        </w:rPr>
        <w:t xml:space="preserve"> </w:t>
      </w:r>
      <w:r w:rsidR="008B3862">
        <w:rPr>
          <w:rFonts w:ascii="Arial" w:hAnsi="Arial" w:cs="Arial"/>
        </w:rPr>
        <w:t xml:space="preserve">with </w:t>
      </w:r>
      <w:r w:rsidR="003418B9">
        <w:rPr>
          <w:rFonts w:ascii="Arial" w:hAnsi="Arial" w:cs="Arial"/>
        </w:rPr>
        <w:t xml:space="preserve">the introduction of this new measure as with the current regime. </w:t>
      </w:r>
      <w:r w:rsidR="00824E7C">
        <w:rPr>
          <w:rFonts w:ascii="Arial" w:hAnsi="Arial" w:cs="Arial"/>
        </w:rPr>
        <w:t>However, these costs</w:t>
      </w:r>
      <w:r w:rsidR="003418B9">
        <w:rPr>
          <w:rFonts w:ascii="Arial" w:hAnsi="Arial" w:cs="Arial"/>
        </w:rPr>
        <w:t xml:space="preserve"> </w:t>
      </w:r>
      <w:r w:rsidR="00087085">
        <w:rPr>
          <w:rFonts w:ascii="Arial" w:hAnsi="Arial" w:cs="Arial"/>
        </w:rPr>
        <w:t>would</w:t>
      </w:r>
      <w:r w:rsidR="0080380D">
        <w:rPr>
          <w:rFonts w:ascii="Arial" w:hAnsi="Arial" w:cs="Arial"/>
        </w:rPr>
        <w:t xml:space="preserve"> be</w:t>
      </w:r>
      <w:r w:rsidR="003418B9">
        <w:rPr>
          <w:rFonts w:ascii="Arial" w:hAnsi="Arial" w:cs="Arial"/>
        </w:rPr>
        <w:t xml:space="preserve"> expected to </w:t>
      </w:r>
      <w:r w:rsidR="00535690">
        <w:rPr>
          <w:rFonts w:ascii="Arial" w:hAnsi="Arial" w:cs="Arial"/>
        </w:rPr>
        <w:lastRenderedPageBreak/>
        <w:t>provide</w:t>
      </w:r>
      <w:r w:rsidR="003418B9">
        <w:rPr>
          <w:rFonts w:ascii="Arial" w:hAnsi="Arial" w:cs="Arial"/>
        </w:rPr>
        <w:t xml:space="preserve"> a greater return</w:t>
      </w:r>
      <w:r w:rsidR="008B3862">
        <w:rPr>
          <w:rFonts w:ascii="Arial" w:hAnsi="Arial" w:cs="Arial"/>
        </w:rPr>
        <w:t xml:space="preserve"> and be more significantly effective in achieving their desired objective</w:t>
      </w:r>
      <w:r w:rsidR="003418B9">
        <w:rPr>
          <w:rFonts w:ascii="Arial" w:hAnsi="Arial" w:cs="Arial"/>
        </w:rPr>
        <w:t xml:space="preserve">. </w:t>
      </w:r>
      <w:bookmarkStart w:id="8" w:name="_Toc73613265"/>
    </w:p>
    <w:p w14:paraId="3F17A204" w14:textId="4B07B42F" w:rsidR="006855D9" w:rsidRPr="0069792C" w:rsidRDefault="006855D9" w:rsidP="0069792C">
      <w:pPr>
        <w:pStyle w:val="Heading2"/>
        <w:spacing w:before="100" w:beforeAutospacing="1" w:after="100" w:afterAutospacing="1" w:line="288" w:lineRule="auto"/>
        <w:rPr>
          <w:rFonts w:cs="Arial"/>
        </w:rPr>
      </w:pPr>
      <w:r w:rsidRPr="0069792C">
        <w:rPr>
          <w:rFonts w:cs="Arial"/>
        </w:rPr>
        <w:t>4.2 Benefits</w:t>
      </w:r>
      <w:bookmarkEnd w:id="8"/>
    </w:p>
    <w:p w14:paraId="08AF473A" w14:textId="039950E0" w:rsidR="006855D9" w:rsidRPr="006B3BCE" w:rsidRDefault="006855D9" w:rsidP="0069792C">
      <w:pPr>
        <w:spacing w:before="100" w:beforeAutospacing="1" w:after="100" w:afterAutospacing="1" w:line="288" w:lineRule="auto"/>
        <w:rPr>
          <w:rFonts w:ascii="Arial" w:hAnsi="Arial" w:cs="Arial"/>
          <w:b/>
        </w:rPr>
      </w:pPr>
      <w:r w:rsidRPr="006B3BCE">
        <w:rPr>
          <w:rFonts w:ascii="Arial" w:hAnsi="Arial" w:cs="Arial"/>
          <w:b/>
        </w:rPr>
        <w:t>No Change Option</w:t>
      </w:r>
    </w:p>
    <w:p w14:paraId="3426BDD7" w14:textId="727341BA" w:rsidR="003418B9" w:rsidRPr="006B3BCE" w:rsidRDefault="003418B9" w:rsidP="0069792C">
      <w:pPr>
        <w:spacing w:before="100" w:beforeAutospacing="1" w:after="100" w:afterAutospacing="1" w:line="288" w:lineRule="auto"/>
        <w:rPr>
          <w:rFonts w:ascii="Arial" w:hAnsi="Arial" w:cs="Arial"/>
        </w:rPr>
      </w:pPr>
      <w:r w:rsidRPr="006B3BCE">
        <w:rPr>
          <w:rFonts w:ascii="Arial" w:hAnsi="Arial" w:cs="Arial"/>
        </w:rPr>
        <w:t>If no changes are made, the practical issues with regulating short-term letting through the planning system will continue and the flow of properties from the long term rental market to short term letting will continue</w:t>
      </w:r>
      <w:r w:rsidR="008B3862" w:rsidRPr="006B3BCE">
        <w:rPr>
          <w:rFonts w:ascii="Arial" w:hAnsi="Arial" w:cs="Arial"/>
        </w:rPr>
        <w:t>,</w:t>
      </w:r>
      <w:r w:rsidRPr="006B3BCE">
        <w:rPr>
          <w:rFonts w:ascii="Arial" w:hAnsi="Arial" w:cs="Arial"/>
        </w:rPr>
        <w:t xml:space="preserve"> further exacerbat</w:t>
      </w:r>
      <w:r w:rsidR="008B3862" w:rsidRPr="006B3BCE">
        <w:rPr>
          <w:rFonts w:ascii="Arial" w:hAnsi="Arial" w:cs="Arial"/>
        </w:rPr>
        <w:t>ing</w:t>
      </w:r>
      <w:r w:rsidRPr="006B3BCE">
        <w:rPr>
          <w:rFonts w:ascii="Arial" w:hAnsi="Arial" w:cs="Arial"/>
        </w:rPr>
        <w:t xml:space="preserve"> the current pressures in the housing sector, particularly in relation to long-term private residential accommodation. </w:t>
      </w:r>
    </w:p>
    <w:p w14:paraId="474C3265" w14:textId="0D971E7B" w:rsidR="006855D9" w:rsidRPr="006B3BCE" w:rsidRDefault="006855D9" w:rsidP="0069792C">
      <w:pPr>
        <w:spacing w:before="100" w:beforeAutospacing="1" w:after="100" w:afterAutospacing="1" w:line="288" w:lineRule="auto"/>
        <w:rPr>
          <w:rFonts w:ascii="Arial" w:hAnsi="Arial" w:cs="Arial"/>
          <w:b/>
        </w:rPr>
      </w:pPr>
      <w:r w:rsidRPr="006B3BCE">
        <w:rPr>
          <w:rFonts w:ascii="Arial" w:hAnsi="Arial" w:cs="Arial"/>
          <w:b/>
        </w:rPr>
        <w:t xml:space="preserve">Preferred Option: Implementation of the </w:t>
      </w:r>
      <w:r w:rsidR="0080380D">
        <w:rPr>
          <w:rFonts w:ascii="Arial" w:hAnsi="Arial" w:cs="Arial"/>
          <w:b/>
        </w:rPr>
        <w:t xml:space="preserve">proposed </w:t>
      </w:r>
      <w:r w:rsidRPr="006B3BCE">
        <w:rPr>
          <w:rFonts w:ascii="Arial" w:hAnsi="Arial" w:cs="Arial"/>
          <w:b/>
        </w:rPr>
        <w:t>legislative pro</w:t>
      </w:r>
      <w:r w:rsidR="0080380D">
        <w:rPr>
          <w:rFonts w:ascii="Arial" w:hAnsi="Arial" w:cs="Arial"/>
          <w:b/>
        </w:rPr>
        <w:t>vision</w:t>
      </w:r>
      <w:r w:rsidRPr="006B3BCE">
        <w:rPr>
          <w:rFonts w:ascii="Arial" w:hAnsi="Arial" w:cs="Arial"/>
          <w:b/>
        </w:rPr>
        <w:t>s</w:t>
      </w:r>
    </w:p>
    <w:p w14:paraId="4E3E6724" w14:textId="3FA1712E" w:rsidR="0069792C" w:rsidRPr="006B3BCE" w:rsidRDefault="008F4C83" w:rsidP="0069792C">
      <w:pPr>
        <w:pStyle w:val="Heading2"/>
        <w:spacing w:before="100" w:beforeAutospacing="1" w:after="100" w:afterAutospacing="1" w:line="288" w:lineRule="auto"/>
        <w:rPr>
          <w:rFonts w:cs="Arial"/>
          <w:b w:val="0"/>
          <w:sz w:val="22"/>
          <w:szCs w:val="22"/>
        </w:rPr>
      </w:pPr>
      <w:bookmarkStart w:id="9" w:name="_Toc73613266"/>
      <w:r w:rsidRPr="006B3BCE">
        <w:rPr>
          <w:rFonts w:cs="Arial"/>
          <w:b w:val="0"/>
          <w:sz w:val="22"/>
          <w:szCs w:val="22"/>
        </w:rPr>
        <w:t xml:space="preserve">It is expected that this measure will increase the number of properties available on the </w:t>
      </w:r>
      <w:r w:rsidR="008B3862" w:rsidRPr="006B3BCE">
        <w:rPr>
          <w:rFonts w:cs="Arial"/>
          <w:b w:val="0"/>
          <w:sz w:val="22"/>
          <w:szCs w:val="22"/>
        </w:rPr>
        <w:t xml:space="preserve">long-term </w:t>
      </w:r>
      <w:r w:rsidRPr="006B3BCE">
        <w:rPr>
          <w:rFonts w:cs="Arial"/>
          <w:b w:val="0"/>
          <w:sz w:val="22"/>
          <w:szCs w:val="22"/>
        </w:rPr>
        <w:t>private residential rental market in areas of high housing demand during a time of substantial and sustained demand for rental accommodation.</w:t>
      </w:r>
    </w:p>
    <w:p w14:paraId="23A7F5A5" w14:textId="37623956" w:rsidR="006855D9" w:rsidRPr="0069792C" w:rsidRDefault="006855D9" w:rsidP="0069792C">
      <w:pPr>
        <w:pStyle w:val="Heading2"/>
        <w:spacing w:before="100" w:beforeAutospacing="1" w:after="100" w:afterAutospacing="1" w:line="288" w:lineRule="auto"/>
        <w:rPr>
          <w:rFonts w:cs="Arial"/>
        </w:rPr>
      </w:pPr>
      <w:r w:rsidRPr="0069792C">
        <w:rPr>
          <w:rFonts w:cs="Arial"/>
        </w:rPr>
        <w:t>4.3 Impacts</w:t>
      </w:r>
      <w:bookmarkEnd w:id="9"/>
    </w:p>
    <w:p w14:paraId="7D877109" w14:textId="303B5E8A" w:rsidR="006855D9" w:rsidRPr="0069792C" w:rsidRDefault="006855D9" w:rsidP="0069792C">
      <w:pPr>
        <w:spacing w:before="100" w:beforeAutospacing="1" w:after="100" w:afterAutospacing="1" w:line="288" w:lineRule="auto"/>
        <w:rPr>
          <w:rFonts w:ascii="Arial" w:hAnsi="Arial" w:cs="Arial"/>
          <w:b/>
        </w:rPr>
      </w:pPr>
      <w:r w:rsidRPr="0069792C">
        <w:rPr>
          <w:rFonts w:ascii="Arial" w:hAnsi="Arial" w:cs="Arial"/>
          <w:b/>
        </w:rPr>
        <w:t>No Change Option</w:t>
      </w:r>
    </w:p>
    <w:p w14:paraId="16930F3A" w14:textId="77777777" w:rsidR="005522AE" w:rsidRDefault="005522AE" w:rsidP="0069792C">
      <w:pPr>
        <w:spacing w:before="100" w:beforeAutospacing="1" w:after="100" w:afterAutospacing="1" w:line="288" w:lineRule="auto"/>
        <w:rPr>
          <w:rFonts w:ascii="Arial" w:hAnsi="Arial" w:cs="Arial"/>
        </w:rPr>
      </w:pPr>
      <w:r>
        <w:rPr>
          <w:rFonts w:ascii="Arial" w:hAnsi="Arial" w:cs="Arial"/>
        </w:rPr>
        <w:t xml:space="preserve">The current </w:t>
      </w:r>
      <w:r w:rsidRPr="005522AE">
        <w:rPr>
          <w:rFonts w:ascii="Arial" w:hAnsi="Arial" w:cs="Arial"/>
        </w:rPr>
        <w:t xml:space="preserve">unprecedented pressures faced in the housing sector, particularly in relation to long-term private residential accommodation, and the relative non-availability of non-principal private residences (both houses and apartments) for letting in rent pressure zones </w:t>
      </w:r>
      <w:r>
        <w:rPr>
          <w:rFonts w:ascii="Arial" w:hAnsi="Arial" w:cs="Arial"/>
        </w:rPr>
        <w:t xml:space="preserve">will continue. </w:t>
      </w:r>
    </w:p>
    <w:p w14:paraId="50086C04" w14:textId="79790BC1" w:rsidR="006855D9" w:rsidRPr="0069792C" w:rsidRDefault="006855D9" w:rsidP="0069792C">
      <w:pPr>
        <w:spacing w:before="100" w:beforeAutospacing="1" w:after="100" w:afterAutospacing="1" w:line="288" w:lineRule="auto"/>
        <w:rPr>
          <w:rFonts w:ascii="Arial" w:hAnsi="Arial" w:cs="Arial"/>
          <w:b/>
        </w:rPr>
      </w:pPr>
      <w:r w:rsidRPr="0069792C">
        <w:rPr>
          <w:rFonts w:ascii="Arial" w:hAnsi="Arial" w:cs="Arial"/>
          <w:b/>
        </w:rPr>
        <w:t xml:space="preserve">Preferred Option: Implementation of the </w:t>
      </w:r>
      <w:r w:rsidR="0080380D">
        <w:rPr>
          <w:rFonts w:ascii="Arial" w:hAnsi="Arial" w:cs="Arial"/>
          <w:b/>
        </w:rPr>
        <w:t xml:space="preserve">proposed </w:t>
      </w:r>
      <w:r w:rsidRPr="0069792C">
        <w:rPr>
          <w:rFonts w:ascii="Arial" w:hAnsi="Arial" w:cs="Arial"/>
          <w:b/>
        </w:rPr>
        <w:t>legislative pro</w:t>
      </w:r>
      <w:r w:rsidR="0080380D">
        <w:rPr>
          <w:rFonts w:ascii="Arial" w:hAnsi="Arial" w:cs="Arial"/>
          <w:b/>
        </w:rPr>
        <w:t>vision</w:t>
      </w:r>
      <w:r w:rsidRPr="0069792C">
        <w:rPr>
          <w:rFonts w:ascii="Arial" w:hAnsi="Arial" w:cs="Arial"/>
          <w:b/>
        </w:rPr>
        <w:t>s</w:t>
      </w:r>
    </w:p>
    <w:p w14:paraId="2A74289E" w14:textId="5522C48C" w:rsidR="00824E7C" w:rsidRPr="0069792C" w:rsidRDefault="00D624C6" w:rsidP="0069792C">
      <w:pPr>
        <w:spacing w:before="100" w:beforeAutospacing="1" w:after="100" w:afterAutospacing="1" w:line="288" w:lineRule="auto"/>
        <w:rPr>
          <w:rFonts w:ascii="Arial" w:hAnsi="Arial" w:cs="Arial"/>
        </w:rPr>
      </w:pPr>
      <w:r w:rsidRPr="0069792C">
        <w:rPr>
          <w:rFonts w:ascii="Arial" w:hAnsi="Arial" w:cs="Arial"/>
        </w:rPr>
        <w:t xml:space="preserve">There will be a positive impact on the achievement of national housing supply objectives through the adoption of Option 2.  </w:t>
      </w:r>
      <w:r w:rsidR="00535690" w:rsidRPr="00535690">
        <w:rPr>
          <w:rFonts w:ascii="Arial" w:hAnsi="Arial" w:cs="Arial"/>
        </w:rPr>
        <w:t>These arrangements will represent a significant tightening-up of the current provisions in relation to the regulation of the sector in that online platforms will be required to have had sight of evidence of planning compliance in order to advertise properties. Non-compliance with these provisions will be an offence for both individual property owners concerned and the online platforms</w:t>
      </w:r>
      <w:r w:rsidR="00535690">
        <w:rPr>
          <w:rFonts w:ascii="Arial" w:hAnsi="Arial" w:cs="Arial"/>
        </w:rPr>
        <w:t>.</w:t>
      </w:r>
    </w:p>
    <w:p w14:paraId="11B8D2A9" w14:textId="77777777" w:rsidR="006855D9" w:rsidRPr="0069792C" w:rsidRDefault="006855D9" w:rsidP="0069792C">
      <w:pPr>
        <w:pStyle w:val="Heading1"/>
        <w:numPr>
          <w:ilvl w:val="0"/>
          <w:numId w:val="3"/>
        </w:numPr>
        <w:spacing w:before="100" w:beforeAutospacing="1" w:after="100" w:afterAutospacing="1" w:line="288" w:lineRule="auto"/>
        <w:rPr>
          <w:rFonts w:cs="Arial"/>
        </w:rPr>
      </w:pPr>
      <w:bookmarkStart w:id="10" w:name="_Toc73613267"/>
      <w:r w:rsidRPr="0069792C">
        <w:rPr>
          <w:rFonts w:cs="Arial"/>
        </w:rPr>
        <w:t>Consultation</w:t>
      </w:r>
      <w:bookmarkEnd w:id="10"/>
    </w:p>
    <w:p w14:paraId="69F85E06" w14:textId="0985D1C0" w:rsidR="0041305E" w:rsidRPr="0069792C" w:rsidRDefault="003418B9" w:rsidP="0069792C">
      <w:pPr>
        <w:spacing w:before="100" w:beforeAutospacing="1" w:after="100" w:afterAutospacing="1" w:line="288" w:lineRule="auto"/>
        <w:rPr>
          <w:rFonts w:ascii="Arial" w:hAnsi="Arial" w:cs="Arial"/>
        </w:rPr>
      </w:pPr>
      <w:r w:rsidRPr="003418B9">
        <w:rPr>
          <w:rFonts w:ascii="Arial" w:hAnsi="Arial" w:cs="Arial"/>
        </w:rPr>
        <w:t>The detailed operational arrangements and other related ancillary provisions in relation to this certification requirement</w:t>
      </w:r>
      <w:r w:rsidR="00746418">
        <w:rPr>
          <w:rFonts w:ascii="Arial" w:hAnsi="Arial" w:cs="Arial"/>
        </w:rPr>
        <w:t xml:space="preserve"> </w:t>
      </w:r>
      <w:r w:rsidRPr="003418B9">
        <w:rPr>
          <w:rFonts w:ascii="Arial" w:hAnsi="Arial" w:cs="Arial"/>
        </w:rPr>
        <w:t>will be provided for in supplementary regulations</w:t>
      </w:r>
      <w:r w:rsidR="00746418">
        <w:rPr>
          <w:rFonts w:ascii="Arial" w:hAnsi="Arial" w:cs="Arial"/>
        </w:rPr>
        <w:t>. T</w:t>
      </w:r>
      <w:r w:rsidR="00746418" w:rsidRPr="00746418">
        <w:rPr>
          <w:rFonts w:ascii="Arial" w:hAnsi="Arial" w:cs="Arial"/>
        </w:rPr>
        <w:t xml:space="preserve">he Department </w:t>
      </w:r>
      <w:r w:rsidR="00746418">
        <w:rPr>
          <w:rFonts w:ascii="Arial" w:hAnsi="Arial" w:cs="Arial"/>
        </w:rPr>
        <w:t xml:space="preserve">will engage with </w:t>
      </w:r>
      <w:r w:rsidR="00746418" w:rsidRPr="00746418">
        <w:rPr>
          <w:rFonts w:ascii="Arial" w:hAnsi="Arial" w:cs="Arial"/>
        </w:rPr>
        <w:t>the relevant online platforms</w:t>
      </w:r>
      <w:r w:rsidR="008B3862">
        <w:rPr>
          <w:rFonts w:ascii="Arial" w:hAnsi="Arial" w:cs="Arial"/>
        </w:rPr>
        <w:t xml:space="preserve"> and other stakeholder groups</w:t>
      </w:r>
      <w:r w:rsidR="00746418" w:rsidRPr="00746418">
        <w:rPr>
          <w:rFonts w:ascii="Arial" w:hAnsi="Arial" w:cs="Arial"/>
        </w:rPr>
        <w:t xml:space="preserve"> </w:t>
      </w:r>
      <w:r w:rsidR="008B3862">
        <w:rPr>
          <w:rFonts w:ascii="Arial" w:hAnsi="Arial" w:cs="Arial"/>
        </w:rPr>
        <w:t xml:space="preserve">in the framing of the new </w:t>
      </w:r>
      <w:r w:rsidR="00746418">
        <w:rPr>
          <w:rFonts w:ascii="Arial" w:hAnsi="Arial" w:cs="Arial"/>
        </w:rPr>
        <w:t>regulations.</w:t>
      </w:r>
    </w:p>
    <w:p w14:paraId="29D537FE" w14:textId="1350BC8E" w:rsidR="006855D9" w:rsidRDefault="006855D9" w:rsidP="0069792C">
      <w:pPr>
        <w:spacing w:before="100" w:beforeAutospacing="1" w:after="100" w:afterAutospacing="1" w:line="288" w:lineRule="auto"/>
        <w:rPr>
          <w:rFonts w:ascii="Arial" w:hAnsi="Arial" w:cs="Arial"/>
        </w:rPr>
      </w:pPr>
      <w:r w:rsidRPr="00F75C82">
        <w:rPr>
          <w:rFonts w:ascii="Arial" w:hAnsi="Arial" w:cs="Arial"/>
        </w:rPr>
        <w:t xml:space="preserve">All relevant Departments and the Attorney General’s Office </w:t>
      </w:r>
      <w:r w:rsidR="00746418">
        <w:rPr>
          <w:rFonts w:ascii="Arial" w:hAnsi="Arial" w:cs="Arial"/>
        </w:rPr>
        <w:t xml:space="preserve">were </w:t>
      </w:r>
      <w:r w:rsidRPr="00F75C82">
        <w:rPr>
          <w:rFonts w:ascii="Arial" w:hAnsi="Arial" w:cs="Arial"/>
        </w:rPr>
        <w:t xml:space="preserve">consulted with </w:t>
      </w:r>
      <w:r w:rsidR="006177E5">
        <w:rPr>
          <w:rFonts w:ascii="Arial" w:hAnsi="Arial" w:cs="Arial"/>
        </w:rPr>
        <w:t xml:space="preserve">in the development of </w:t>
      </w:r>
      <w:r w:rsidR="00746418">
        <w:rPr>
          <w:rFonts w:ascii="Arial" w:hAnsi="Arial" w:cs="Arial"/>
        </w:rPr>
        <w:t>the</w:t>
      </w:r>
      <w:r w:rsidR="006177E5">
        <w:rPr>
          <w:rFonts w:ascii="Arial" w:hAnsi="Arial" w:cs="Arial"/>
        </w:rPr>
        <w:t xml:space="preserve"> provisions</w:t>
      </w:r>
      <w:r w:rsidR="00746418">
        <w:rPr>
          <w:rFonts w:ascii="Arial" w:hAnsi="Arial" w:cs="Arial"/>
        </w:rPr>
        <w:t xml:space="preserve"> contained in the </w:t>
      </w:r>
      <w:r w:rsidR="00746418" w:rsidRPr="00746418">
        <w:rPr>
          <w:rFonts w:ascii="Arial" w:hAnsi="Arial" w:cs="Arial"/>
        </w:rPr>
        <w:t>Planning and Development, Maritime and Valuation (Amendment) Bill 2022.</w:t>
      </w:r>
    </w:p>
    <w:p w14:paraId="34705F5F" w14:textId="77777777" w:rsidR="0069792C" w:rsidRPr="0069792C" w:rsidRDefault="0069792C" w:rsidP="0069792C">
      <w:pPr>
        <w:spacing w:before="100" w:beforeAutospacing="1" w:after="100" w:afterAutospacing="1" w:line="288" w:lineRule="auto"/>
        <w:rPr>
          <w:rFonts w:ascii="Arial" w:hAnsi="Arial" w:cs="Arial"/>
        </w:rPr>
      </w:pPr>
    </w:p>
    <w:p w14:paraId="5292870F" w14:textId="497D8AE4" w:rsidR="0041305E" w:rsidRPr="00F75C82" w:rsidRDefault="0041305E" w:rsidP="0069792C">
      <w:pPr>
        <w:pStyle w:val="Heading1"/>
        <w:numPr>
          <w:ilvl w:val="0"/>
          <w:numId w:val="3"/>
        </w:numPr>
        <w:spacing w:before="100" w:beforeAutospacing="1" w:after="100" w:afterAutospacing="1" w:line="288" w:lineRule="auto"/>
        <w:rPr>
          <w:rFonts w:cs="Arial"/>
        </w:rPr>
      </w:pPr>
      <w:bookmarkStart w:id="11" w:name="_Toc73613268"/>
      <w:r w:rsidRPr="00F75C82">
        <w:rPr>
          <w:rFonts w:cs="Arial"/>
        </w:rPr>
        <w:t>Enforcement and Compliance</w:t>
      </w:r>
      <w:bookmarkEnd w:id="11"/>
    </w:p>
    <w:p w14:paraId="12BB32EA" w14:textId="13A04A4E" w:rsidR="0069792C" w:rsidRPr="0069792C" w:rsidRDefault="005522AE" w:rsidP="0069792C">
      <w:pPr>
        <w:spacing w:before="100" w:beforeAutospacing="1" w:after="100" w:afterAutospacing="1" w:line="288" w:lineRule="auto"/>
        <w:rPr>
          <w:rFonts w:ascii="Arial" w:hAnsi="Arial" w:cs="Arial"/>
        </w:rPr>
      </w:pPr>
      <w:r>
        <w:rPr>
          <w:rFonts w:ascii="Arial" w:hAnsi="Arial" w:cs="Arial"/>
        </w:rPr>
        <w:t>T</w:t>
      </w:r>
      <w:r w:rsidRPr="005522AE">
        <w:rPr>
          <w:rFonts w:ascii="Arial" w:hAnsi="Arial" w:cs="Arial"/>
        </w:rPr>
        <w:t>he pre-existing S</w:t>
      </w:r>
      <w:r>
        <w:rPr>
          <w:rFonts w:ascii="Arial" w:hAnsi="Arial" w:cs="Arial"/>
        </w:rPr>
        <w:t xml:space="preserve">hort </w:t>
      </w:r>
      <w:r w:rsidRPr="005522AE">
        <w:rPr>
          <w:rFonts w:ascii="Arial" w:hAnsi="Arial" w:cs="Arial"/>
        </w:rPr>
        <w:t>T</w:t>
      </w:r>
      <w:r>
        <w:rPr>
          <w:rFonts w:ascii="Arial" w:hAnsi="Arial" w:cs="Arial"/>
        </w:rPr>
        <w:t xml:space="preserve">erm </w:t>
      </w:r>
      <w:r w:rsidRPr="005522AE">
        <w:rPr>
          <w:rFonts w:ascii="Arial" w:hAnsi="Arial" w:cs="Arial"/>
        </w:rPr>
        <w:t>L</w:t>
      </w:r>
      <w:r>
        <w:rPr>
          <w:rFonts w:ascii="Arial" w:hAnsi="Arial" w:cs="Arial"/>
        </w:rPr>
        <w:t>etting</w:t>
      </w:r>
      <w:r w:rsidRPr="005522AE">
        <w:rPr>
          <w:rFonts w:ascii="Arial" w:hAnsi="Arial" w:cs="Arial"/>
        </w:rPr>
        <w:t xml:space="preserve"> legislative provisions already have offence provisions in relation to non-compliance with the said provisions. These offence provisions will continue to apply under the new regulations with both online platforms and individual property owners being open to penalties for non-compliance with the new provisions.</w:t>
      </w:r>
    </w:p>
    <w:p w14:paraId="478CF6F6" w14:textId="0F8084B1" w:rsidR="0069792C" w:rsidRPr="0069792C" w:rsidRDefault="006855D9" w:rsidP="0069792C">
      <w:pPr>
        <w:pStyle w:val="Heading1"/>
        <w:numPr>
          <w:ilvl w:val="0"/>
          <w:numId w:val="3"/>
        </w:numPr>
        <w:spacing w:before="100" w:beforeAutospacing="1" w:after="100" w:afterAutospacing="1" w:line="288" w:lineRule="auto"/>
        <w:rPr>
          <w:rFonts w:cs="Arial"/>
        </w:rPr>
      </w:pPr>
      <w:bookmarkStart w:id="12" w:name="_Toc73613269"/>
      <w:r w:rsidRPr="0069792C">
        <w:rPr>
          <w:rFonts w:cs="Arial"/>
        </w:rPr>
        <w:t>Review</w:t>
      </w:r>
      <w:bookmarkEnd w:id="12"/>
    </w:p>
    <w:p w14:paraId="552FE823" w14:textId="35928813" w:rsidR="006855D9" w:rsidRDefault="006855D9" w:rsidP="0069792C">
      <w:pPr>
        <w:spacing w:before="100" w:beforeAutospacing="1" w:after="100" w:afterAutospacing="1" w:line="288" w:lineRule="auto"/>
        <w:rPr>
          <w:rFonts w:ascii="Arial" w:hAnsi="Arial" w:cs="Arial"/>
        </w:rPr>
      </w:pPr>
      <w:r w:rsidRPr="0069792C">
        <w:rPr>
          <w:rFonts w:ascii="Arial" w:hAnsi="Arial" w:cs="Arial"/>
        </w:rPr>
        <w:t>In general</w:t>
      </w:r>
      <w:r w:rsidR="006177E5">
        <w:rPr>
          <w:rFonts w:ascii="Arial" w:hAnsi="Arial" w:cs="Arial"/>
        </w:rPr>
        <w:t>,</w:t>
      </w:r>
      <w:r w:rsidRPr="0069792C">
        <w:rPr>
          <w:rFonts w:ascii="Arial" w:hAnsi="Arial" w:cs="Arial"/>
        </w:rPr>
        <w:t xml:space="preserve"> p</w:t>
      </w:r>
      <w:r w:rsidR="00F75C82">
        <w:rPr>
          <w:rFonts w:ascii="Arial" w:hAnsi="Arial" w:cs="Arial"/>
        </w:rPr>
        <w:t>l</w:t>
      </w:r>
      <w:r w:rsidRPr="0069792C">
        <w:rPr>
          <w:rFonts w:ascii="Arial" w:hAnsi="Arial" w:cs="Arial"/>
        </w:rPr>
        <w:t xml:space="preserve">anning legislation is </w:t>
      </w:r>
      <w:r w:rsidR="006177E5">
        <w:rPr>
          <w:rFonts w:ascii="Arial" w:hAnsi="Arial" w:cs="Arial"/>
        </w:rPr>
        <w:t xml:space="preserve">kept </w:t>
      </w:r>
      <w:r w:rsidRPr="0069792C">
        <w:rPr>
          <w:rFonts w:ascii="Arial" w:hAnsi="Arial" w:cs="Arial"/>
        </w:rPr>
        <w:t>under on-going review.</w:t>
      </w:r>
      <w:r w:rsidR="006177E5">
        <w:rPr>
          <w:rFonts w:ascii="Arial" w:hAnsi="Arial" w:cs="Arial"/>
        </w:rPr>
        <w:t xml:space="preserve"> As the proposed new registration system for short-term letting to be operated by F</w:t>
      </w:r>
      <w:r w:rsidR="00CA1D0D">
        <w:rPr>
          <w:rFonts w:ascii="Arial" w:hAnsi="Arial" w:cs="Arial"/>
        </w:rPr>
        <w:t>á</w:t>
      </w:r>
      <w:r w:rsidR="006177E5">
        <w:rPr>
          <w:rFonts w:ascii="Arial" w:hAnsi="Arial" w:cs="Arial"/>
        </w:rPr>
        <w:t>ilte Ireland is expected to be established during 2023, it is envisaged that the proposed new provisions under the planning code will only be applied as an interim measure and will not be subject to review.</w:t>
      </w:r>
    </w:p>
    <w:p w14:paraId="57B43501" w14:textId="77777777" w:rsidR="0069792C" w:rsidRPr="0069792C" w:rsidRDefault="0069792C" w:rsidP="0069792C">
      <w:pPr>
        <w:spacing w:before="100" w:beforeAutospacing="1" w:after="100" w:afterAutospacing="1" w:line="288" w:lineRule="auto"/>
        <w:rPr>
          <w:rFonts w:ascii="Arial" w:eastAsiaTheme="majorEastAsia" w:hAnsi="Arial" w:cs="Arial"/>
          <w:b/>
          <w:color w:val="000000" w:themeColor="text1"/>
          <w:sz w:val="28"/>
          <w:szCs w:val="32"/>
          <w:u w:val="single"/>
        </w:rPr>
      </w:pPr>
    </w:p>
    <w:p w14:paraId="29E97CBB" w14:textId="77777777" w:rsidR="006855D9" w:rsidRPr="0069792C" w:rsidRDefault="006855D9" w:rsidP="0069792C">
      <w:pPr>
        <w:pStyle w:val="Heading1"/>
        <w:numPr>
          <w:ilvl w:val="0"/>
          <w:numId w:val="3"/>
        </w:numPr>
        <w:spacing w:before="100" w:beforeAutospacing="1" w:after="100" w:afterAutospacing="1" w:line="288" w:lineRule="auto"/>
        <w:rPr>
          <w:rFonts w:cs="Arial"/>
        </w:rPr>
      </w:pPr>
      <w:bookmarkStart w:id="13" w:name="_Toc73613270"/>
      <w:r w:rsidRPr="0069792C">
        <w:rPr>
          <w:rFonts w:cs="Arial"/>
        </w:rPr>
        <w:t>Publication</w:t>
      </w:r>
      <w:bookmarkEnd w:id="13"/>
    </w:p>
    <w:p w14:paraId="7D62C8A1" w14:textId="2A53CF88" w:rsidR="007765E7" w:rsidRPr="0069792C" w:rsidRDefault="006855D9" w:rsidP="0069792C">
      <w:pPr>
        <w:spacing w:before="100" w:beforeAutospacing="1" w:after="100" w:afterAutospacing="1" w:line="288" w:lineRule="auto"/>
        <w:rPr>
          <w:rFonts w:ascii="Arial" w:hAnsi="Arial" w:cs="Arial"/>
        </w:rPr>
      </w:pPr>
      <w:r w:rsidRPr="0069792C">
        <w:rPr>
          <w:rFonts w:ascii="Arial" w:hAnsi="Arial" w:cs="Arial"/>
        </w:rPr>
        <w:t xml:space="preserve">This Regulatory Impact Analysis will be published on the Department’s website </w:t>
      </w:r>
      <w:hyperlink r:id="rId12" w:history="1">
        <w:r w:rsidRPr="0069792C">
          <w:rPr>
            <w:rStyle w:val="Hyperlink"/>
            <w:rFonts w:ascii="Arial" w:hAnsi="Arial" w:cs="Arial"/>
          </w:rPr>
          <w:t>www.housing.gov.ie</w:t>
        </w:r>
      </w:hyperlink>
      <w:r w:rsidRPr="0069792C">
        <w:rPr>
          <w:rFonts w:ascii="Arial" w:hAnsi="Arial" w:cs="Arial"/>
        </w:rPr>
        <w:t>.</w:t>
      </w:r>
    </w:p>
    <w:sectPr w:rsidR="007765E7" w:rsidRPr="006979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B52A8"/>
    <w:multiLevelType w:val="multilevel"/>
    <w:tmpl w:val="139834D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C460D71"/>
    <w:multiLevelType w:val="hybridMultilevel"/>
    <w:tmpl w:val="C052AE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CAC061D"/>
    <w:multiLevelType w:val="hybridMultilevel"/>
    <w:tmpl w:val="02E4304A"/>
    <w:lvl w:ilvl="0" w:tplc="4E52F36C">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DB55D41"/>
    <w:multiLevelType w:val="hybridMultilevel"/>
    <w:tmpl w:val="A4E2FF9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6A103EDB"/>
    <w:multiLevelType w:val="hybridMultilevel"/>
    <w:tmpl w:val="E416E3BC"/>
    <w:lvl w:ilvl="0" w:tplc="B20E6DC6">
      <w:start w:val="1"/>
      <w:numFmt w:val="lowerRoman"/>
      <w:lvlText w:val="(%1)"/>
      <w:lvlJc w:val="left"/>
      <w:pPr>
        <w:ind w:left="360" w:firstLine="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7CDD0575"/>
    <w:multiLevelType w:val="hybridMultilevel"/>
    <w:tmpl w:val="900E143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7ED914ED"/>
    <w:multiLevelType w:val="hybridMultilevel"/>
    <w:tmpl w:val="1076DDDE"/>
    <w:lvl w:ilvl="0" w:tplc="4E52F36C">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5E7"/>
    <w:rsid w:val="00087085"/>
    <w:rsid w:val="000F3058"/>
    <w:rsid w:val="0018389F"/>
    <w:rsid w:val="001B6FC4"/>
    <w:rsid w:val="001B7104"/>
    <w:rsid w:val="00282AFD"/>
    <w:rsid w:val="00284300"/>
    <w:rsid w:val="00291ABD"/>
    <w:rsid w:val="002975C1"/>
    <w:rsid w:val="002C040B"/>
    <w:rsid w:val="00302579"/>
    <w:rsid w:val="00324FED"/>
    <w:rsid w:val="003414C5"/>
    <w:rsid w:val="003418B9"/>
    <w:rsid w:val="0041305E"/>
    <w:rsid w:val="00423062"/>
    <w:rsid w:val="00442CB9"/>
    <w:rsid w:val="00527933"/>
    <w:rsid w:val="00535690"/>
    <w:rsid w:val="005516A7"/>
    <w:rsid w:val="005522AE"/>
    <w:rsid w:val="005F3BF2"/>
    <w:rsid w:val="006177E5"/>
    <w:rsid w:val="00637D8D"/>
    <w:rsid w:val="006503B2"/>
    <w:rsid w:val="006855D9"/>
    <w:rsid w:val="0069792C"/>
    <w:rsid w:val="006B3BCE"/>
    <w:rsid w:val="006E6EB5"/>
    <w:rsid w:val="00717306"/>
    <w:rsid w:val="00746418"/>
    <w:rsid w:val="007765E7"/>
    <w:rsid w:val="007A10E5"/>
    <w:rsid w:val="0080380D"/>
    <w:rsid w:val="00806AD1"/>
    <w:rsid w:val="00824E7C"/>
    <w:rsid w:val="008B3862"/>
    <w:rsid w:val="008F4C83"/>
    <w:rsid w:val="00950C51"/>
    <w:rsid w:val="00963128"/>
    <w:rsid w:val="00991588"/>
    <w:rsid w:val="009E140B"/>
    <w:rsid w:val="00A5350D"/>
    <w:rsid w:val="00A538C3"/>
    <w:rsid w:val="00AF7832"/>
    <w:rsid w:val="00B34C70"/>
    <w:rsid w:val="00B72EFB"/>
    <w:rsid w:val="00B73F19"/>
    <w:rsid w:val="00B76475"/>
    <w:rsid w:val="00BA0783"/>
    <w:rsid w:val="00C23B6A"/>
    <w:rsid w:val="00C563D6"/>
    <w:rsid w:val="00CA15CE"/>
    <w:rsid w:val="00CA1D0D"/>
    <w:rsid w:val="00CE4F6F"/>
    <w:rsid w:val="00D27CAD"/>
    <w:rsid w:val="00D406F8"/>
    <w:rsid w:val="00D624C6"/>
    <w:rsid w:val="00D91C1E"/>
    <w:rsid w:val="00D92A93"/>
    <w:rsid w:val="00DD49CB"/>
    <w:rsid w:val="00DF14FA"/>
    <w:rsid w:val="00E9402C"/>
    <w:rsid w:val="00EA47C1"/>
    <w:rsid w:val="00F3532A"/>
    <w:rsid w:val="00F64AFA"/>
    <w:rsid w:val="00F73201"/>
    <w:rsid w:val="00F75C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9D4A5"/>
  <w15:chartTrackingRefBased/>
  <w15:docId w15:val="{FABD43E2-D74F-4728-9FAA-9CC534AB9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855D9"/>
    <w:pPr>
      <w:keepNext/>
      <w:keepLines/>
      <w:spacing w:before="240" w:after="0"/>
      <w:outlineLvl w:val="0"/>
    </w:pPr>
    <w:rPr>
      <w:rFonts w:ascii="Arial" w:eastAsiaTheme="majorEastAsia" w:hAnsi="Arial" w:cstheme="majorBidi"/>
      <w:b/>
      <w:color w:val="000000" w:themeColor="text1"/>
      <w:sz w:val="28"/>
      <w:szCs w:val="32"/>
      <w:u w:val="single"/>
    </w:rPr>
  </w:style>
  <w:style w:type="paragraph" w:styleId="Heading2">
    <w:name w:val="heading 2"/>
    <w:basedOn w:val="Normal"/>
    <w:next w:val="Normal"/>
    <w:link w:val="Heading2Char"/>
    <w:uiPriority w:val="9"/>
    <w:unhideWhenUsed/>
    <w:qFormat/>
    <w:rsid w:val="006855D9"/>
    <w:pPr>
      <w:keepNext/>
      <w:keepLines/>
      <w:spacing w:before="40" w:after="0"/>
      <w:outlineLvl w:val="1"/>
    </w:pPr>
    <w:rPr>
      <w:rFonts w:ascii="Arial" w:eastAsiaTheme="majorEastAsia" w:hAnsi="Arial"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5D9"/>
    <w:rPr>
      <w:rFonts w:ascii="Arial" w:eastAsiaTheme="majorEastAsia" w:hAnsi="Arial" w:cstheme="majorBidi"/>
      <w:b/>
      <w:color w:val="000000" w:themeColor="text1"/>
      <w:sz w:val="28"/>
      <w:szCs w:val="32"/>
      <w:u w:val="single"/>
    </w:rPr>
  </w:style>
  <w:style w:type="paragraph" w:styleId="TOCHeading">
    <w:name w:val="TOC Heading"/>
    <w:basedOn w:val="Heading1"/>
    <w:next w:val="Normal"/>
    <w:uiPriority w:val="39"/>
    <w:unhideWhenUsed/>
    <w:qFormat/>
    <w:rsid w:val="007765E7"/>
    <w:pPr>
      <w:outlineLvl w:val="9"/>
    </w:pPr>
    <w:rPr>
      <w:lang w:val="en-US"/>
    </w:rPr>
  </w:style>
  <w:style w:type="paragraph" w:styleId="ListParagraph">
    <w:name w:val="List Paragraph"/>
    <w:basedOn w:val="Normal"/>
    <w:uiPriority w:val="34"/>
    <w:qFormat/>
    <w:rsid w:val="007765E7"/>
    <w:pPr>
      <w:ind w:left="720"/>
      <w:contextualSpacing/>
    </w:pPr>
  </w:style>
  <w:style w:type="character" w:customStyle="1" w:styleId="Heading2Char">
    <w:name w:val="Heading 2 Char"/>
    <w:basedOn w:val="DefaultParagraphFont"/>
    <w:link w:val="Heading2"/>
    <w:uiPriority w:val="9"/>
    <w:rsid w:val="006855D9"/>
    <w:rPr>
      <w:rFonts w:ascii="Arial" w:eastAsiaTheme="majorEastAsia" w:hAnsi="Arial" w:cstheme="majorBidi"/>
      <w:b/>
      <w:color w:val="000000" w:themeColor="text1"/>
      <w:sz w:val="24"/>
      <w:szCs w:val="26"/>
    </w:rPr>
  </w:style>
  <w:style w:type="paragraph" w:styleId="TOC1">
    <w:name w:val="toc 1"/>
    <w:basedOn w:val="Normal"/>
    <w:next w:val="Normal"/>
    <w:autoRedefine/>
    <w:uiPriority w:val="39"/>
    <w:unhideWhenUsed/>
    <w:rsid w:val="006855D9"/>
    <w:pPr>
      <w:spacing w:after="100"/>
    </w:pPr>
  </w:style>
  <w:style w:type="paragraph" w:styleId="TOC2">
    <w:name w:val="toc 2"/>
    <w:basedOn w:val="Normal"/>
    <w:next w:val="Normal"/>
    <w:autoRedefine/>
    <w:uiPriority w:val="39"/>
    <w:unhideWhenUsed/>
    <w:rsid w:val="006855D9"/>
    <w:pPr>
      <w:spacing w:after="100"/>
      <w:ind w:left="220"/>
    </w:pPr>
  </w:style>
  <w:style w:type="character" w:styleId="Hyperlink">
    <w:name w:val="Hyperlink"/>
    <w:basedOn w:val="DefaultParagraphFont"/>
    <w:uiPriority w:val="99"/>
    <w:unhideWhenUsed/>
    <w:rsid w:val="006855D9"/>
    <w:rPr>
      <w:color w:val="0563C1" w:themeColor="hyperlink"/>
      <w:u w:val="single"/>
    </w:rPr>
  </w:style>
  <w:style w:type="character" w:styleId="CommentReference">
    <w:name w:val="annotation reference"/>
    <w:basedOn w:val="DefaultParagraphFont"/>
    <w:uiPriority w:val="99"/>
    <w:semiHidden/>
    <w:unhideWhenUsed/>
    <w:rsid w:val="006855D9"/>
    <w:rPr>
      <w:sz w:val="16"/>
      <w:szCs w:val="16"/>
    </w:rPr>
  </w:style>
  <w:style w:type="paragraph" w:styleId="CommentText">
    <w:name w:val="annotation text"/>
    <w:basedOn w:val="Normal"/>
    <w:link w:val="CommentTextChar"/>
    <w:uiPriority w:val="99"/>
    <w:semiHidden/>
    <w:unhideWhenUsed/>
    <w:rsid w:val="006855D9"/>
    <w:pPr>
      <w:spacing w:line="240" w:lineRule="auto"/>
    </w:pPr>
    <w:rPr>
      <w:sz w:val="20"/>
      <w:szCs w:val="20"/>
    </w:rPr>
  </w:style>
  <w:style w:type="character" w:customStyle="1" w:styleId="CommentTextChar">
    <w:name w:val="Comment Text Char"/>
    <w:basedOn w:val="DefaultParagraphFont"/>
    <w:link w:val="CommentText"/>
    <w:uiPriority w:val="99"/>
    <w:semiHidden/>
    <w:rsid w:val="006855D9"/>
    <w:rPr>
      <w:sz w:val="20"/>
      <w:szCs w:val="20"/>
    </w:rPr>
  </w:style>
  <w:style w:type="paragraph" w:styleId="CommentSubject">
    <w:name w:val="annotation subject"/>
    <w:basedOn w:val="CommentText"/>
    <w:next w:val="CommentText"/>
    <w:link w:val="CommentSubjectChar"/>
    <w:uiPriority w:val="99"/>
    <w:semiHidden/>
    <w:unhideWhenUsed/>
    <w:rsid w:val="006855D9"/>
    <w:rPr>
      <w:b/>
      <w:bCs/>
    </w:rPr>
  </w:style>
  <w:style w:type="character" w:customStyle="1" w:styleId="CommentSubjectChar">
    <w:name w:val="Comment Subject Char"/>
    <w:basedOn w:val="CommentTextChar"/>
    <w:link w:val="CommentSubject"/>
    <w:uiPriority w:val="99"/>
    <w:semiHidden/>
    <w:rsid w:val="006855D9"/>
    <w:rPr>
      <w:b/>
      <w:bCs/>
      <w:sz w:val="20"/>
      <w:szCs w:val="20"/>
    </w:rPr>
  </w:style>
  <w:style w:type="paragraph" w:styleId="BalloonText">
    <w:name w:val="Balloon Text"/>
    <w:basedOn w:val="Normal"/>
    <w:link w:val="BalloonTextChar"/>
    <w:uiPriority w:val="99"/>
    <w:semiHidden/>
    <w:unhideWhenUsed/>
    <w:rsid w:val="00685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5D9"/>
    <w:rPr>
      <w:rFonts w:ascii="Segoe UI" w:hAnsi="Segoe UI" w:cs="Segoe UI"/>
      <w:sz w:val="18"/>
      <w:szCs w:val="18"/>
    </w:rPr>
  </w:style>
  <w:style w:type="character" w:styleId="FollowedHyperlink">
    <w:name w:val="FollowedHyperlink"/>
    <w:basedOn w:val="DefaultParagraphFont"/>
    <w:uiPriority w:val="99"/>
    <w:semiHidden/>
    <w:unhideWhenUsed/>
    <w:rsid w:val="00C563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www.housing.gov.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s://www.gov.ie/en/publication/ef5ec-housing-for-all-a-new-housing-plan-for-ireland/"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d90a30e8-8879-405d-acb6-b2f96edae93e">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eDocs_FileStatus xmlns="http://schemas.microsoft.com/sharepoint/v3">Live</eDocs_FileStatus>
    <eDocs_FileName xmlns="http://schemas.microsoft.com/sharepoint/v3">HPPPL004-011-2019</eDocs_FileName>
    <_dlc_ExpireDate xmlns="http://schemas.microsoft.com/sharepoint/v3" xsi:nil="true"/>
    <eDocs_SeriesSubSeriesTaxHTField0 xmlns="66188ca4-73cd-41b3-8618-08fe61b97eda">
      <Terms xmlns="http://schemas.microsoft.com/office/infopath/2007/PartnerControls">
        <TermInfo xmlns="http://schemas.microsoft.com/office/infopath/2007/PartnerControls">
          <TermName xmlns="http://schemas.microsoft.com/office/infopath/2007/PartnerControls">004</TermName>
          <TermId xmlns="http://schemas.microsoft.com/office/infopath/2007/PartnerControls">378c8534-e4a7-47cd-b99a-85e82ae036d6</TermId>
        </TermInfo>
      </Terms>
    </eDocs_SeriesSubSeriesTaxHTField0>
    <eDocs_FileTopicsTaxHTField0 xmlns="66188ca4-73cd-41b3-8618-08fe61b97eda">
      <Terms xmlns="http://schemas.microsoft.com/office/infopath/2007/PartnerControls">
        <TermInfo xmlns="http://schemas.microsoft.com/office/infopath/2007/PartnerControls">
          <TermName xmlns="http://schemas.microsoft.com/office/infopath/2007/PartnerControls">Act</TermName>
          <TermId xmlns="http://schemas.microsoft.com/office/infopath/2007/PartnerControls">655d900a-b466-43a2-956a-525fc9fb6267</TermId>
        </TermInfo>
        <TermInfo xmlns="http://schemas.microsoft.com/office/infopath/2007/PartnerControls">
          <TermName xmlns="http://schemas.microsoft.com/office/infopath/2007/PartnerControls">Bill</TermName>
          <TermId xmlns="http://schemas.microsoft.com/office/infopath/2007/PartnerControls">279fb7e7-24a6-46ca-88d8-21a2adfa630e</TermId>
        </TermInfo>
        <TermInfo xmlns="http://schemas.microsoft.com/office/infopath/2007/PartnerControls">
          <TermName xmlns="http://schemas.microsoft.com/office/infopath/2007/PartnerControls">Commencement</TermName>
          <TermId xmlns="http://schemas.microsoft.com/office/infopath/2007/PartnerControls">7ccf49a7-ca0c-4c9b-a39e-17d824a1fcb0</TermId>
        </TermInfo>
        <TermInfo xmlns="http://schemas.microsoft.com/office/infopath/2007/PartnerControls">
          <TermName xmlns="http://schemas.microsoft.com/office/infopath/2007/PartnerControls">Matters</TermName>
          <TermId xmlns="http://schemas.microsoft.com/office/infopath/2007/PartnerControls">dddf51b1-8ed4-469e-b1ff-2539c53819f4</TermId>
        </TermInfo>
        <TermInfo xmlns="http://schemas.microsoft.com/office/infopath/2007/PartnerControls">
          <TermName xmlns="http://schemas.microsoft.com/office/infopath/2007/PartnerControls">Memos</TermName>
          <TermId xmlns="http://schemas.microsoft.com/office/infopath/2007/PartnerControls">488b04d7-43b3-4dc3-82ce-6058f69ccbd9</TermId>
        </TermInfo>
        <TermInfo xmlns="http://schemas.microsoft.com/office/infopath/2007/PartnerControls">
          <TermName xmlns="http://schemas.microsoft.com/office/infopath/2007/PartnerControls">Submissions</TermName>
          <TermId xmlns="http://schemas.microsoft.com/office/infopath/2007/PartnerControls">52beb64c-7f9d-4a42-b14b-cd52b26c4754</TermId>
        </TermInfo>
      </Terms>
    </eDocs_FileTopicsTaxHTField0>
    <TaxCatchAll xmlns="fd40154f-08b5-4658-bb14-c822b8c37325">
      <Value>14</Value>
      <Value>13</Value>
      <Value>1</Value>
      <Value>20</Value>
      <Value>7</Value>
      <Value>38</Value>
      <Value>37</Value>
      <Value>36</Value>
      <Value>19</Value>
    </TaxCatchAll>
    <eDocs_YearTaxHTField0 xmlns="66188ca4-73cd-41b3-8618-08fe61b97eda">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f85df9cd-0f6d-4155-bbd7-ff49d91ec728</TermId>
        </TermInfo>
      </Terms>
    </eDocs_YearTaxHTField0>
    <eDocs_DocumentTopicsTaxHTField0 xmlns="66188ca4-73cd-41b3-8618-08fe61b97eda">
      <Terms xmlns="http://schemas.microsoft.com/office/infopath/2007/PartnerControls"/>
    </eDocs_DocumentTopicsTaxHTField0>
    <_dlc_ExpireDateSaved xmlns="http://schemas.microsoft.com/sharepoint/v3" xsi:nil="true"/>
    <eDocs_SecurityClassificationTaxHTField0 xmlns="66188ca4-73cd-41b3-8618-08fe61b97ed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38981149-6ab4-492e-b035-5180b1eb9314</TermId>
        </TermInfo>
      </Terms>
    </eDocs_SecurityClassificationTaxHTField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Document" ma:contentTypeID="0x0101000BC94875665D404BB1351B53C41FD2C000FC8450A22F01DE43AC949CE966704E78" ma:contentTypeVersion="13" ma:contentTypeDescription="Create a new document for eDocs" ma:contentTypeScope="" ma:versionID="8888c50c9fb54c7ce1d62e70667bf1f1">
  <xsd:schema xmlns:xsd="http://www.w3.org/2001/XMLSchema" xmlns:xs="http://www.w3.org/2001/XMLSchema" xmlns:p="http://schemas.microsoft.com/office/2006/metadata/properties" xmlns:ns1="http://schemas.microsoft.com/sharepoint/v3" xmlns:ns2="66188ca4-73cd-41b3-8618-08fe61b97eda" xmlns:ns3="fd40154f-08b5-4658-bb14-c822b8c37325" targetNamespace="http://schemas.microsoft.com/office/2006/metadata/properties" ma:root="true" ma:fieldsID="05c8b44b6fc3d187b709ed85e88604f4" ns1:_="" ns2:_="" ns3:_="">
    <xsd:import namespace="http://schemas.microsoft.com/sharepoint/v3"/>
    <xsd:import namespace="66188ca4-73cd-41b3-8618-08fe61b97eda"/>
    <xsd:import namespace="fd40154f-08b5-4658-bb14-c822b8c37325"/>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66188ca4-73cd-41b3-8618-08fe61b97eda"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22527149-431e-4844-bdbf-45755dee181b" ma:termSetId="4dc6ce17-1441-4d6f-af7a-c7350b4eb356"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22527149-431e-4844-bdbf-45755dee181b" ma:termSetId="a141ecdb-69bf-443d-877c-333310d4d291"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fieldId="{602c691f-3efa-402d-ab5c-baa8c240a9e7}"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Unclassified|38981149-6ab4-492e-b035-5180b1eb9314" ma:fieldId="{6bbd3faf-a5ab-4e5e-b8a6-a5e099cef439}" ma:sspId="22527149-431e-4844-bdbf-45755dee181b" ma:termSetId="6cdf0fdf-130e-4222-9bb4-058e957460d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d40154f-08b5-4658-bb14-c822b8c3732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4908088-4140-4c77-ba4f-2761fe169f03}" ma:internalName="TaxCatchAll" ma:showField="CatchAllData" ma:web="fd40154f-08b5-4658-bb14-c822b8c373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2D91E-ACE7-4178-A759-1C1A660B7F87}">
  <ds:schemaRefs>
    <ds:schemaRef ds:uri="http://schemas.microsoft.com/sharepoint/events"/>
  </ds:schemaRefs>
</ds:datastoreItem>
</file>

<file path=customXml/itemProps2.xml><?xml version="1.0" encoding="utf-8"?>
<ds:datastoreItem xmlns:ds="http://schemas.openxmlformats.org/officeDocument/2006/customXml" ds:itemID="{FD5CFB18-14C9-4014-AEC0-36576B91B14D}">
  <ds:schemaRefs>
    <ds:schemaRef ds:uri="office.server.policy"/>
  </ds:schemaRefs>
</ds:datastoreItem>
</file>

<file path=customXml/itemProps3.xml><?xml version="1.0" encoding="utf-8"?>
<ds:datastoreItem xmlns:ds="http://schemas.openxmlformats.org/officeDocument/2006/customXml" ds:itemID="{5F53FAF7-97F4-4783-94F4-051CF50EC4A2}">
  <ds:schemaRefs>
    <ds:schemaRef ds:uri="http://schemas.microsoft.com/office/2006/metadata/properties"/>
    <ds:schemaRef ds:uri="http://schemas.microsoft.com/office/infopath/2007/PartnerControls"/>
    <ds:schemaRef ds:uri="http://schemas.microsoft.com/sharepoint/v3"/>
    <ds:schemaRef ds:uri="66188ca4-73cd-41b3-8618-08fe61b97eda"/>
    <ds:schemaRef ds:uri="fd40154f-08b5-4658-bb14-c822b8c37325"/>
  </ds:schemaRefs>
</ds:datastoreItem>
</file>

<file path=customXml/itemProps4.xml><?xml version="1.0" encoding="utf-8"?>
<ds:datastoreItem xmlns:ds="http://schemas.openxmlformats.org/officeDocument/2006/customXml" ds:itemID="{5586BEA8-5234-4376-BFF3-074C9156301D}">
  <ds:schemaRefs>
    <ds:schemaRef ds:uri="http://schemas.microsoft.com/sharepoint/v3/contenttype/forms"/>
  </ds:schemaRefs>
</ds:datastoreItem>
</file>

<file path=customXml/itemProps5.xml><?xml version="1.0" encoding="utf-8"?>
<ds:datastoreItem xmlns:ds="http://schemas.openxmlformats.org/officeDocument/2006/customXml" ds:itemID="{4C7BF770-B1C1-4227-BE77-85E9C7804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188ca4-73cd-41b3-8618-08fe61b97eda"/>
    <ds:schemaRef ds:uri="fd40154f-08b5-4658-bb14-c822b8c37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E1000DE-B9A4-455E-B63F-338F214B0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2543</Words>
  <Characters>14501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17010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Gallagher (Housing)</dc:creator>
  <cp:keywords/>
  <dc:description/>
  <cp:lastModifiedBy>Michelle O'Mahony</cp:lastModifiedBy>
  <cp:revision>2</cp:revision>
  <dcterms:created xsi:type="dcterms:W3CDTF">2022-12-21T11:44:00Z</dcterms:created>
  <dcterms:modified xsi:type="dcterms:W3CDTF">2022-12-21T11:44:00Z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SecurityClassification">
    <vt:lpwstr>1;#Unclassified|38981149-6ab4-492e-b035-5180b1eb9314</vt:lpwstr>
  </property>
  <property fmtid="{D5CDD505-2E9C-101B-9397-08002B2CF9AE}" pid="3" name="_dlc_policyId">
    <vt:lpwstr>0x0101000BC94875665D404BB1351B53C41FD2C0|151133126</vt:lpwstr>
  </property>
  <property fmtid="{D5CDD505-2E9C-101B-9397-08002B2CF9AE}" pid="4" name="eDocs_SecurityClassificationTaxHTField0">
    <vt:lpwstr>Unclassified|38981149-6ab4-492e-b035-5180b1eb9314</vt:lpwstr>
  </property>
  <property fmtid="{D5CDD505-2E9C-101B-9397-08002B2CF9AE}" pid="5" name="eDocs_Year">
    <vt:lpwstr>19;#2019|f85df9cd-0f6d-4155-bbd7-ff49d91ec728</vt:lpwstr>
  </property>
  <property fmtid="{D5CDD505-2E9C-101B-9397-08002B2CF9AE}" pid="6" name="ContentTypeId">
    <vt:lpwstr>0x0101000BC94875665D404BB1351B53C41FD2C000FC8450A22F01DE43AC949CE966704E78</vt:lpwstr>
  </property>
  <property fmtid="{D5CDD505-2E9C-101B-9397-08002B2CF9AE}" pid="7" name="eDocs_SeriesSubSeries">
    <vt:lpwstr>20;#004|378c8534-e4a7-47cd-b99a-85e82ae036d6</vt:lpwstr>
  </property>
  <property fmtid="{D5CDD505-2E9C-101B-9397-08002B2CF9AE}" pid="8" name="eDocs_FileTopics">
    <vt:lpwstr>36;#Act|655d900a-b466-43a2-956a-525fc9fb6267;#7;#Bill|279fb7e7-24a6-46ca-88d8-21a2adfa630e;#37;#Commencement|7ccf49a7-ca0c-4c9b-a39e-17d824a1fcb0;#38;#Matters|dddf51b1-8ed4-469e-b1ff-2539c53819f4;#13;#Memos|488b04d7-43b3-4dc3-82ce-6058f69ccbd9;#14;#Submis</vt:lpwstr>
  </property>
  <property fmtid="{D5CDD505-2E9C-101B-9397-08002B2CF9AE}" pid="9" name="ItemRetentionFormula">
    <vt:lpwstr/>
  </property>
  <property fmtid="{D5CDD505-2E9C-101B-9397-08002B2CF9AE}" pid="10" name="eDocs_DocumentTopics">
    <vt:lpwstr/>
  </property>
  <property fmtid="{D5CDD505-2E9C-101B-9397-08002B2CF9AE}" pid="11" name="_docset_NoMedatataSyncRequired">
    <vt:lpwstr>False</vt:lpwstr>
  </property>
  <property fmtid="{D5CDD505-2E9C-101B-9397-08002B2CF9AE}" pid="12" name="_dlc_LastRun">
    <vt:lpwstr>10/09/2021 23:07:02</vt:lpwstr>
  </property>
  <property fmtid="{D5CDD505-2E9C-101B-9397-08002B2CF9AE}" pid="13" name="_dlc_ItemStageId">
    <vt:lpwstr>1</vt:lpwstr>
  </property>
</Properties>
</file>