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3A19" w14:textId="0C1D172B" w:rsidR="00415CDB" w:rsidRDefault="00415CDB" w:rsidP="00415CDB">
      <w:pPr>
        <w:jc w:val="right"/>
      </w:pPr>
    </w:p>
    <w:tbl>
      <w:tblPr>
        <w:tblW w:w="9926"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0E0" w:firstRow="1" w:lastRow="1" w:firstColumn="1" w:lastColumn="0" w:noHBand="0" w:noVBand="0"/>
      </w:tblPr>
      <w:tblGrid>
        <w:gridCol w:w="2406"/>
        <w:gridCol w:w="2694"/>
        <w:gridCol w:w="4820"/>
        <w:gridCol w:w="6"/>
      </w:tblGrid>
      <w:tr w:rsidR="0040546B" w14:paraId="70E450D2" w14:textId="77777777" w:rsidTr="001F7F82">
        <w:trPr>
          <w:gridAfter w:val="1"/>
          <w:wAfter w:w="6" w:type="dxa"/>
          <w:trHeight w:hRule="exact" w:val="561"/>
        </w:trPr>
        <w:tc>
          <w:tcPr>
            <w:tcW w:w="2406" w:type="dxa"/>
            <w:tcBorders>
              <w:top w:val="single" w:sz="8" w:space="0" w:color="auto"/>
              <w:left w:val="single" w:sz="2" w:space="0" w:color="FFFFFF" w:themeColor="background1"/>
              <w:bottom w:val="single" w:sz="4" w:space="0" w:color="auto"/>
              <w:right w:val="single" w:sz="2" w:space="0" w:color="FFFFFF" w:themeColor="background1"/>
            </w:tcBorders>
            <w:tcMar>
              <w:right w:w="0" w:type="dxa"/>
            </w:tcMar>
          </w:tcPr>
          <w:p w14:paraId="70E450CC" w14:textId="77777777" w:rsidR="0040546B" w:rsidRPr="00AB1593" w:rsidRDefault="0040546B" w:rsidP="00FF1FD4">
            <w:pPr>
              <w:pStyle w:val="Header"/>
              <w:tabs>
                <w:tab w:val="clear" w:pos="4819"/>
                <w:tab w:val="clear" w:pos="9638"/>
              </w:tabs>
              <w:rPr>
                <w:sz w:val="16"/>
              </w:rPr>
            </w:pPr>
            <w:r>
              <w:rPr>
                <w:sz w:val="16"/>
              </w:rPr>
              <w:t>Dátum vydania:</w:t>
            </w:r>
          </w:p>
          <w:p w14:paraId="70E450CD" w14:textId="1964FF2A" w:rsidR="0040546B" w:rsidRDefault="001F4EA9" w:rsidP="001F4EA9">
            <w:pPr>
              <w:pStyle w:val="Header"/>
            </w:pPr>
            <w:r>
              <w:t>XX.XX.202X</w:t>
            </w:r>
          </w:p>
        </w:tc>
        <w:tc>
          <w:tcPr>
            <w:tcW w:w="2694" w:type="dxa"/>
            <w:tcBorders>
              <w:top w:val="single" w:sz="8" w:space="0" w:color="auto"/>
              <w:left w:val="single" w:sz="2" w:space="0" w:color="FFFFFF" w:themeColor="background1"/>
              <w:bottom w:val="single" w:sz="4" w:space="0" w:color="auto"/>
              <w:right w:val="single" w:sz="2" w:space="0" w:color="FFFFFF" w:themeColor="background1"/>
            </w:tcBorders>
          </w:tcPr>
          <w:p w14:paraId="70E450CE" w14:textId="77777777" w:rsidR="0040546B" w:rsidRPr="00AB1593" w:rsidRDefault="0040546B" w:rsidP="00FF1FD4">
            <w:pPr>
              <w:pStyle w:val="Header"/>
              <w:tabs>
                <w:tab w:val="clear" w:pos="4819"/>
                <w:tab w:val="clear" w:pos="9638"/>
              </w:tabs>
              <w:rPr>
                <w:sz w:val="16"/>
              </w:rPr>
            </w:pPr>
            <w:r>
              <w:rPr>
                <w:sz w:val="16"/>
              </w:rPr>
              <w:t>Dátum nadobudnutia účinnosti</w:t>
            </w:r>
          </w:p>
          <w:p w14:paraId="70E450CF" w14:textId="1EFEB590" w:rsidR="0040546B" w:rsidRDefault="001F4EA9" w:rsidP="001F4EA9">
            <w:pPr>
              <w:pStyle w:val="Header"/>
            </w:pPr>
            <w:r>
              <w:t>XX.XX.202X</w:t>
            </w:r>
          </w:p>
        </w:tc>
        <w:tc>
          <w:tcPr>
            <w:tcW w:w="4820" w:type="dxa"/>
            <w:tcBorders>
              <w:top w:val="single" w:sz="8" w:space="0" w:color="auto"/>
              <w:left w:val="single" w:sz="2" w:space="0" w:color="FFFFFF" w:themeColor="background1"/>
              <w:bottom w:val="single" w:sz="4" w:space="0" w:color="auto"/>
              <w:right w:val="single" w:sz="2" w:space="0" w:color="FFFFFF" w:themeColor="background1"/>
            </w:tcBorders>
            <w:shd w:val="clear" w:color="auto" w:fill="auto"/>
            <w:tcMar>
              <w:right w:w="0" w:type="dxa"/>
            </w:tcMar>
          </w:tcPr>
          <w:p w14:paraId="70E450D0" w14:textId="77777777" w:rsidR="0040546B" w:rsidRPr="00AB1593" w:rsidRDefault="0040546B" w:rsidP="00FF1FD4">
            <w:pPr>
              <w:pStyle w:val="Header"/>
              <w:tabs>
                <w:tab w:val="clear" w:pos="4819"/>
                <w:tab w:val="clear" w:pos="9638"/>
              </w:tabs>
              <w:rPr>
                <w:sz w:val="16"/>
              </w:rPr>
            </w:pPr>
            <w:r>
              <w:rPr>
                <w:sz w:val="16"/>
              </w:rPr>
              <w:t>V platnosti:</w:t>
            </w:r>
          </w:p>
          <w:p w14:paraId="70E450D1" w14:textId="6F0F9D33" w:rsidR="0040546B" w:rsidRDefault="00E54DF3" w:rsidP="00AB1593">
            <w:pPr>
              <w:pStyle w:val="Header"/>
            </w:pPr>
            <w:r>
              <w:t>až do odvolania</w:t>
            </w:r>
          </w:p>
        </w:tc>
      </w:tr>
      <w:tr w:rsidR="0040546B" w14:paraId="70E450D5" w14:textId="77777777" w:rsidTr="001F7F82">
        <w:trPr>
          <w:trHeight w:val="720"/>
        </w:trPr>
        <w:tc>
          <w:tcPr>
            <w:tcW w:w="9926" w:type="dxa"/>
            <w:gridSpan w:val="4"/>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3" w14:textId="77777777" w:rsidR="0040546B" w:rsidRPr="00AB1593" w:rsidRDefault="0040546B" w:rsidP="00FF1FD4">
            <w:pPr>
              <w:pStyle w:val="Header"/>
              <w:tabs>
                <w:tab w:val="clear" w:pos="4819"/>
                <w:tab w:val="clear" w:pos="9638"/>
              </w:tabs>
              <w:rPr>
                <w:sz w:val="16"/>
              </w:rPr>
            </w:pPr>
            <w:r>
              <w:rPr>
                <w:sz w:val="16"/>
              </w:rPr>
              <w:t>Právny základ:</w:t>
            </w:r>
          </w:p>
          <w:p w14:paraId="6E266EAE" w14:textId="45D0A7B9" w:rsidR="0040546B" w:rsidRPr="001C6E1F" w:rsidRDefault="00E808E0" w:rsidP="00AB1593">
            <w:pPr>
              <w:pStyle w:val="Header"/>
              <w:rPr>
                <w:rFonts w:eastAsia="Times New Roman" w:cs="Times New Roman"/>
                <w:szCs w:val="20"/>
              </w:rPr>
            </w:pPr>
            <w:r>
              <w:t xml:space="preserve">Zákon o vozidlách (82/2021), oddiel 13 pododdiel 3; oddiel 16; oddiel 29a; oddiel 49; oddiel 139 pododdiel 5; oddiel 144 pododdiel 2. </w:t>
            </w:r>
          </w:p>
          <w:p w14:paraId="268AA13F" w14:textId="36B5E4E2" w:rsidR="003A0EA8" w:rsidRDefault="00E92434" w:rsidP="00AB1593">
            <w:pPr>
              <w:pStyle w:val="Header"/>
            </w:pPr>
            <w:r>
              <w:t>Zákon o dopravných službách (320/2017), oddiel 221</w:t>
            </w:r>
          </w:p>
          <w:p w14:paraId="70E450D4" w14:textId="581664D0" w:rsidR="003A0EA8" w:rsidRDefault="003A0EA8" w:rsidP="00AB1593">
            <w:pPr>
              <w:pStyle w:val="Header"/>
            </w:pPr>
          </w:p>
        </w:tc>
      </w:tr>
      <w:tr w:rsidR="00745BD3" w14:paraId="300E631D" w14:textId="77777777" w:rsidTr="001F7F82">
        <w:trPr>
          <w:trHeight w:val="720"/>
        </w:trPr>
        <w:tc>
          <w:tcPr>
            <w:tcW w:w="9926" w:type="dxa"/>
            <w:gridSpan w:val="4"/>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060C3CE0" w14:textId="77777777" w:rsidR="00745BD3" w:rsidRDefault="00745BD3" w:rsidP="00745BD3">
            <w:pPr>
              <w:pStyle w:val="Header"/>
              <w:tabs>
                <w:tab w:val="clear" w:pos="4819"/>
                <w:tab w:val="clear" w:pos="9638"/>
              </w:tabs>
              <w:rPr>
                <w:sz w:val="16"/>
              </w:rPr>
            </w:pPr>
            <w:r>
              <w:rPr>
                <w:sz w:val="16"/>
              </w:rPr>
              <w:t>Sankcie za nedodržiavanie tohto nariadenia sú stanovené v nasledujúcich predpisoch:</w:t>
            </w:r>
          </w:p>
          <w:p w14:paraId="3C8E097A" w14:textId="553CD439" w:rsidR="00745BD3" w:rsidRPr="00AB1593" w:rsidRDefault="00745BD3" w:rsidP="00CF70E7">
            <w:pPr>
              <w:pStyle w:val="Header"/>
              <w:tabs>
                <w:tab w:val="clear" w:pos="4819"/>
                <w:tab w:val="clear" w:pos="9638"/>
                <w:tab w:val="left" w:pos="8305"/>
              </w:tabs>
              <w:rPr>
                <w:sz w:val="16"/>
              </w:rPr>
            </w:pPr>
            <w:r>
              <w:t>Zákon o vozidlách (82/2021), kapitola 10</w:t>
            </w:r>
          </w:p>
        </w:tc>
      </w:tr>
      <w:tr w:rsidR="0040546B" w14:paraId="70E450D8" w14:textId="77777777" w:rsidTr="001F7F82">
        <w:trPr>
          <w:trHeight w:val="720"/>
        </w:trPr>
        <w:tc>
          <w:tcPr>
            <w:tcW w:w="9926" w:type="dxa"/>
            <w:gridSpan w:val="4"/>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6" w14:textId="77777777" w:rsidR="0040546B" w:rsidRPr="00AB1593" w:rsidRDefault="00AC21C3" w:rsidP="00FF1FD4">
            <w:pPr>
              <w:pStyle w:val="Header"/>
              <w:tabs>
                <w:tab w:val="clear" w:pos="4819"/>
                <w:tab w:val="clear" w:pos="9638"/>
              </w:tabs>
              <w:rPr>
                <w:sz w:val="16"/>
              </w:rPr>
            </w:pPr>
            <w:r>
              <w:rPr>
                <w:sz w:val="16"/>
              </w:rPr>
              <w:t>Právne predpisy EÚ, ktoré sa majú uplatňovať:</w:t>
            </w:r>
          </w:p>
          <w:p w14:paraId="70E450D7" w14:textId="77777777" w:rsidR="0040546B" w:rsidRPr="00CB783E" w:rsidRDefault="0040546B" w:rsidP="00FF1FD4">
            <w:pPr>
              <w:pStyle w:val="Header"/>
              <w:tabs>
                <w:tab w:val="clear" w:pos="4819"/>
                <w:tab w:val="clear" w:pos="9638"/>
              </w:tabs>
            </w:pPr>
          </w:p>
        </w:tc>
      </w:tr>
      <w:tr w:rsidR="0040546B" w14:paraId="70E450DB" w14:textId="77777777" w:rsidTr="001F7F82">
        <w:trPr>
          <w:trHeight w:val="720"/>
        </w:trPr>
        <w:tc>
          <w:tcPr>
            <w:tcW w:w="9926" w:type="dxa"/>
            <w:gridSpan w:val="4"/>
            <w:tcBorders>
              <w:top w:val="single" w:sz="4" w:space="0" w:color="auto"/>
              <w:left w:val="single" w:sz="2" w:space="0" w:color="FFFFFF" w:themeColor="background1"/>
              <w:bottom w:val="single" w:sz="4" w:space="0" w:color="auto"/>
              <w:right w:val="single" w:sz="2" w:space="0" w:color="FFFFFF" w:themeColor="background1"/>
            </w:tcBorders>
            <w:tcMar>
              <w:bottom w:w="60" w:type="dxa"/>
              <w:right w:w="60" w:type="dxa"/>
            </w:tcMar>
          </w:tcPr>
          <w:p w14:paraId="70E450D9" w14:textId="77777777" w:rsidR="0040546B" w:rsidRPr="00AB1593" w:rsidRDefault="0040546B" w:rsidP="00FF1FD4">
            <w:pPr>
              <w:pStyle w:val="Header"/>
              <w:tabs>
                <w:tab w:val="clear" w:pos="4819"/>
                <w:tab w:val="clear" w:pos="9638"/>
              </w:tabs>
              <w:rPr>
                <w:sz w:val="18"/>
              </w:rPr>
            </w:pPr>
            <w:r>
              <w:rPr>
                <w:sz w:val="16"/>
              </w:rPr>
              <w:t>Informácie o zmenách:</w:t>
            </w:r>
          </w:p>
          <w:p w14:paraId="15B2BE75" w14:textId="19A67AD5" w:rsidR="00E54DF3" w:rsidRPr="00D5088F" w:rsidRDefault="00E54DF3" w:rsidP="00AB1593">
            <w:pPr>
              <w:pStyle w:val="Header"/>
            </w:pPr>
            <w:r>
              <w:t>Zrušuje sa nariadenie Fínskej agentúry pre dopravu a komunikácie z 1. marca 2021 o konštrukcii a vybavení dvoj- alebo trojkolesových vozidiel, štvorkoliek, ich prípojných vozidiel a ľahkých elektrických vozidiel (</w:t>
            </w:r>
            <w:r>
              <w:rPr>
                <w:color w:val="232323"/>
              </w:rPr>
              <w:t>TRAFICOM/46396/03.04.03.00/2020</w:t>
            </w:r>
            <w:r>
              <w:t>)</w:t>
            </w:r>
          </w:p>
          <w:p w14:paraId="70E450DA" w14:textId="77314A38" w:rsidR="0040546B" w:rsidRDefault="0040546B" w:rsidP="00AB1593">
            <w:pPr>
              <w:pStyle w:val="Header"/>
            </w:pPr>
          </w:p>
        </w:tc>
      </w:tr>
    </w:tbl>
    <w:p w14:paraId="70E450DC" w14:textId="77777777" w:rsidR="00FA160F" w:rsidRDefault="00FA160F"/>
    <w:p w14:paraId="59B82F89" w14:textId="649720A8" w:rsidR="0021377D" w:rsidRDefault="00E54DF3" w:rsidP="0021377D">
      <w:pPr>
        <w:pStyle w:val="TrafiAsiaotsikko"/>
      </w:pPr>
      <w:r>
        <w:rPr>
          <w:sz w:val="28"/>
        </w:rPr>
        <w:t>Konštrukcia a vybavenie dvoj- alebo trojkolesových vozidiel, štvorkoliek, ľahkých elektrických vozidiel, ich prípojných vozidiel a ľahkých autonómnych vozidiel na prepravu tovaru</w:t>
      </w:r>
    </w:p>
    <w:p w14:paraId="25BA2C21" w14:textId="56734F35" w:rsidR="0021377D" w:rsidRPr="0021377D" w:rsidRDefault="0021377D" w:rsidP="0021377D">
      <w:pPr>
        <w:rPr>
          <w:sz w:val="24"/>
        </w:rPr>
      </w:pPr>
      <w:r>
        <w:rPr>
          <w:sz w:val="24"/>
        </w:rPr>
        <w:t>Obsah</w:t>
      </w:r>
    </w:p>
    <w:sdt>
      <w:sdtPr>
        <w:rPr>
          <w:rFonts w:eastAsiaTheme="majorEastAsia" w:cstheme="majorBidi"/>
          <w:noProof w:val="0"/>
          <w:sz w:val="24"/>
          <w:szCs w:val="32"/>
        </w:rPr>
        <w:id w:val="1216927917"/>
        <w:docPartObj>
          <w:docPartGallery w:val="Table of Contents"/>
          <w:docPartUnique/>
        </w:docPartObj>
      </w:sdtPr>
      <w:sdtEndPr>
        <w:rPr>
          <w:rFonts w:eastAsiaTheme="minorHAnsi" w:cstheme="minorHAnsi"/>
          <w:bCs/>
          <w:noProof/>
          <w:sz w:val="20"/>
          <w:szCs w:val="22"/>
        </w:rPr>
      </w:sdtEndPr>
      <w:sdtContent>
        <w:p w14:paraId="7AF1DC21" w14:textId="375C6542" w:rsidR="001F7F82" w:rsidRPr="001F7F82" w:rsidRDefault="00DC3497">
          <w:pPr>
            <w:pStyle w:val="TOC1"/>
            <w:rPr>
              <w:rFonts w:asciiTheme="minorHAnsi" w:eastAsiaTheme="minorEastAsia" w:hAnsiTheme="minorHAnsi" w:cstheme="minorBidi"/>
              <w:kern w:val="2"/>
              <w:sz w:val="22"/>
              <w14:ligatures w14:val="standardContextual"/>
            </w:rPr>
          </w:pPr>
          <w:r>
            <w:fldChar w:fldCharType="begin"/>
          </w:r>
          <w:r>
            <w:instrText xml:space="preserve"> TOC \o "1-3" \t "Liiteotsikko;1" </w:instrText>
          </w:r>
          <w:r>
            <w:fldChar w:fldCharType="separate"/>
          </w:r>
          <w:r w:rsidR="001F7F82">
            <w:t>1</w:t>
          </w:r>
          <w:r w:rsidR="001F7F82" w:rsidRPr="001F7F82">
            <w:rPr>
              <w:rFonts w:asciiTheme="minorHAnsi" w:eastAsiaTheme="minorEastAsia" w:hAnsiTheme="minorHAnsi" w:cstheme="minorBidi"/>
              <w:kern w:val="2"/>
              <w:sz w:val="22"/>
              <w14:ligatures w14:val="standardContextual"/>
            </w:rPr>
            <w:tab/>
          </w:r>
          <w:r w:rsidR="001F7F82">
            <w:t>Všeobecné ustanovenia</w:t>
          </w:r>
          <w:r w:rsidR="001F7F82">
            <w:tab/>
          </w:r>
          <w:r w:rsidR="001F7F82">
            <w:fldChar w:fldCharType="begin"/>
          </w:r>
          <w:r w:rsidR="001F7F82">
            <w:instrText xml:space="preserve"> PAGEREF _Toc135046971 \h </w:instrText>
          </w:r>
          <w:r w:rsidR="001F7F82">
            <w:fldChar w:fldCharType="separate"/>
          </w:r>
          <w:r w:rsidR="001F7F82">
            <w:t>2</w:t>
          </w:r>
          <w:r w:rsidR="001F7F82">
            <w:fldChar w:fldCharType="end"/>
          </w:r>
        </w:p>
        <w:p w14:paraId="2B96C5EA" w14:textId="5A572815"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1.1</w:t>
          </w:r>
          <w:r w:rsidRPr="001F7F82">
            <w:rPr>
              <w:rFonts w:asciiTheme="minorHAnsi" w:eastAsiaTheme="minorEastAsia" w:hAnsiTheme="minorHAnsi" w:cstheme="minorBidi"/>
              <w:noProof/>
              <w:kern w:val="2"/>
              <w:sz w:val="22"/>
              <w14:ligatures w14:val="standardContextual"/>
            </w:rPr>
            <w:tab/>
          </w:r>
          <w:r>
            <w:rPr>
              <w:noProof/>
            </w:rPr>
            <w:t>Účel nariadenia</w:t>
          </w:r>
          <w:r>
            <w:rPr>
              <w:noProof/>
            </w:rPr>
            <w:tab/>
          </w:r>
          <w:r>
            <w:rPr>
              <w:noProof/>
            </w:rPr>
            <w:fldChar w:fldCharType="begin"/>
          </w:r>
          <w:r>
            <w:rPr>
              <w:noProof/>
            </w:rPr>
            <w:instrText xml:space="preserve"> PAGEREF _Toc135046972 \h </w:instrText>
          </w:r>
          <w:r>
            <w:rPr>
              <w:noProof/>
            </w:rPr>
          </w:r>
          <w:r>
            <w:rPr>
              <w:noProof/>
            </w:rPr>
            <w:fldChar w:fldCharType="separate"/>
          </w:r>
          <w:r>
            <w:rPr>
              <w:noProof/>
            </w:rPr>
            <w:t>2</w:t>
          </w:r>
          <w:r>
            <w:rPr>
              <w:noProof/>
            </w:rPr>
            <w:fldChar w:fldCharType="end"/>
          </w:r>
        </w:p>
        <w:p w14:paraId="52337973" w14:textId="6EE156B6"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1.2</w:t>
          </w:r>
          <w:r w:rsidRPr="001F7F82">
            <w:rPr>
              <w:rFonts w:asciiTheme="minorHAnsi" w:eastAsiaTheme="minorEastAsia" w:hAnsiTheme="minorHAnsi" w:cstheme="minorBidi"/>
              <w:noProof/>
              <w:kern w:val="2"/>
              <w:sz w:val="22"/>
              <w14:ligatures w14:val="standardContextual"/>
            </w:rPr>
            <w:tab/>
          </w:r>
          <w:r>
            <w:rPr>
              <w:noProof/>
            </w:rPr>
            <w:t>Rozsah pôsobnosti</w:t>
          </w:r>
          <w:r>
            <w:rPr>
              <w:noProof/>
            </w:rPr>
            <w:tab/>
          </w:r>
          <w:r>
            <w:rPr>
              <w:noProof/>
            </w:rPr>
            <w:fldChar w:fldCharType="begin"/>
          </w:r>
          <w:r>
            <w:rPr>
              <w:noProof/>
            </w:rPr>
            <w:instrText xml:space="preserve"> PAGEREF _Toc135046973 \h </w:instrText>
          </w:r>
          <w:r>
            <w:rPr>
              <w:noProof/>
            </w:rPr>
          </w:r>
          <w:r>
            <w:rPr>
              <w:noProof/>
            </w:rPr>
            <w:fldChar w:fldCharType="separate"/>
          </w:r>
          <w:r>
            <w:rPr>
              <w:noProof/>
            </w:rPr>
            <w:t>3</w:t>
          </w:r>
          <w:r>
            <w:rPr>
              <w:noProof/>
            </w:rPr>
            <w:fldChar w:fldCharType="end"/>
          </w:r>
        </w:p>
        <w:p w14:paraId="1BC709A5" w14:textId="06CE6375"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1.3</w:t>
          </w:r>
          <w:r w:rsidRPr="001F7F82">
            <w:rPr>
              <w:rFonts w:asciiTheme="minorHAnsi" w:eastAsiaTheme="minorEastAsia" w:hAnsiTheme="minorHAnsi" w:cstheme="minorBidi"/>
              <w:noProof/>
              <w:kern w:val="2"/>
              <w:sz w:val="22"/>
              <w14:ligatures w14:val="standardContextual"/>
            </w:rPr>
            <w:tab/>
          </w:r>
          <w:r>
            <w:rPr>
              <w:noProof/>
            </w:rPr>
            <w:t>Vymedzenie pojmov</w:t>
          </w:r>
          <w:r>
            <w:rPr>
              <w:noProof/>
            </w:rPr>
            <w:tab/>
          </w:r>
          <w:r>
            <w:rPr>
              <w:noProof/>
            </w:rPr>
            <w:fldChar w:fldCharType="begin"/>
          </w:r>
          <w:r>
            <w:rPr>
              <w:noProof/>
            </w:rPr>
            <w:instrText xml:space="preserve"> PAGEREF _Toc135046974 \h </w:instrText>
          </w:r>
          <w:r>
            <w:rPr>
              <w:noProof/>
            </w:rPr>
          </w:r>
          <w:r>
            <w:rPr>
              <w:noProof/>
            </w:rPr>
            <w:fldChar w:fldCharType="separate"/>
          </w:r>
          <w:r>
            <w:rPr>
              <w:noProof/>
            </w:rPr>
            <w:t>3</w:t>
          </w:r>
          <w:r>
            <w:rPr>
              <w:noProof/>
            </w:rPr>
            <w:fldChar w:fldCharType="end"/>
          </w:r>
        </w:p>
        <w:p w14:paraId="3DC9C2C1" w14:textId="046C0BDF" w:rsidR="001F7F82" w:rsidRPr="001F7F82" w:rsidRDefault="001F7F82">
          <w:pPr>
            <w:pStyle w:val="TOC1"/>
            <w:rPr>
              <w:rFonts w:asciiTheme="minorHAnsi" w:eastAsiaTheme="minorEastAsia" w:hAnsiTheme="minorHAnsi" w:cstheme="minorBidi"/>
              <w:kern w:val="2"/>
              <w:sz w:val="22"/>
              <w14:ligatures w14:val="standardContextual"/>
            </w:rPr>
          </w:pPr>
          <w:r>
            <w:t>2</w:t>
          </w:r>
          <w:r w:rsidRPr="001F7F82">
            <w:rPr>
              <w:rFonts w:asciiTheme="minorHAnsi" w:eastAsiaTheme="minorEastAsia" w:hAnsiTheme="minorHAnsi" w:cstheme="minorBidi"/>
              <w:kern w:val="2"/>
              <w:sz w:val="22"/>
              <w14:ligatures w14:val="standardContextual"/>
            </w:rPr>
            <w:tab/>
          </w:r>
          <w:r>
            <w:t>POŽIADAVKY V SÚLADE SO SMERNICAMI, NARIADENIAMI ES A EÚ, AKO AJ PREDPISMI EHK OSN</w:t>
          </w:r>
          <w:r>
            <w:tab/>
          </w:r>
          <w:r>
            <w:fldChar w:fldCharType="begin"/>
          </w:r>
          <w:r>
            <w:instrText xml:space="preserve"> PAGEREF _Toc135046975 \h </w:instrText>
          </w:r>
          <w:r>
            <w:fldChar w:fldCharType="separate"/>
          </w:r>
          <w:r>
            <w:t>3</w:t>
          </w:r>
          <w:r>
            <w:fldChar w:fldCharType="end"/>
          </w:r>
        </w:p>
        <w:p w14:paraId="0041285B" w14:textId="440344B2" w:rsidR="001F7F82" w:rsidRPr="001F7F82" w:rsidRDefault="001F7F82">
          <w:pPr>
            <w:pStyle w:val="TOC1"/>
            <w:rPr>
              <w:rFonts w:asciiTheme="minorHAnsi" w:eastAsiaTheme="minorEastAsia" w:hAnsiTheme="minorHAnsi" w:cstheme="minorBidi"/>
              <w:kern w:val="2"/>
              <w:sz w:val="22"/>
              <w14:ligatures w14:val="standardContextual"/>
            </w:rPr>
          </w:pPr>
          <w:r>
            <w:t>3</w:t>
          </w:r>
          <w:r w:rsidRPr="001F7F82">
            <w:rPr>
              <w:rFonts w:asciiTheme="minorHAnsi" w:eastAsiaTheme="minorEastAsia" w:hAnsiTheme="minorHAnsi" w:cstheme="minorBidi"/>
              <w:kern w:val="2"/>
              <w:sz w:val="22"/>
              <w14:ligatures w14:val="standardContextual"/>
            </w:rPr>
            <w:tab/>
          </w:r>
          <w:r>
            <w:t>VNÚTROŠTÁTNE POŽIADAVKY TÝKAJÚCE SA VOZIDIEL KATEGÓRIE L</w:t>
          </w:r>
          <w:r>
            <w:tab/>
          </w:r>
          <w:r>
            <w:fldChar w:fldCharType="begin"/>
          </w:r>
          <w:r>
            <w:instrText xml:space="preserve"> PAGEREF _Toc135046976 \h </w:instrText>
          </w:r>
          <w:r>
            <w:fldChar w:fldCharType="separate"/>
          </w:r>
          <w:r>
            <w:t>4</w:t>
          </w:r>
          <w:r>
            <w:fldChar w:fldCharType="end"/>
          </w:r>
        </w:p>
        <w:p w14:paraId="5EB5CE0C" w14:textId="62DF1021"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3.1</w:t>
          </w:r>
          <w:r w:rsidRPr="001F7F82">
            <w:rPr>
              <w:rFonts w:asciiTheme="minorHAnsi" w:eastAsiaTheme="minorEastAsia" w:hAnsiTheme="minorHAnsi" w:cstheme="minorBidi"/>
              <w:noProof/>
              <w:kern w:val="2"/>
              <w:sz w:val="22"/>
              <w14:ligatures w14:val="standardContextual"/>
            </w:rPr>
            <w:tab/>
          </w:r>
          <w:r>
            <w:rPr>
              <w:noProof/>
            </w:rPr>
            <w:t>Výstražný trojuholník</w:t>
          </w:r>
          <w:r>
            <w:rPr>
              <w:noProof/>
            </w:rPr>
            <w:tab/>
          </w:r>
          <w:r>
            <w:rPr>
              <w:noProof/>
            </w:rPr>
            <w:fldChar w:fldCharType="begin"/>
          </w:r>
          <w:r>
            <w:rPr>
              <w:noProof/>
            </w:rPr>
            <w:instrText xml:space="preserve"> PAGEREF _Toc135046977 \h </w:instrText>
          </w:r>
          <w:r>
            <w:rPr>
              <w:noProof/>
            </w:rPr>
          </w:r>
          <w:r>
            <w:rPr>
              <w:noProof/>
            </w:rPr>
            <w:fldChar w:fldCharType="separate"/>
          </w:r>
          <w:r>
            <w:rPr>
              <w:noProof/>
            </w:rPr>
            <w:t>4</w:t>
          </w:r>
          <w:r>
            <w:rPr>
              <w:noProof/>
            </w:rPr>
            <w:fldChar w:fldCharType="end"/>
          </w:r>
        </w:p>
        <w:p w14:paraId="7FAE9BE4" w14:textId="54C1854C"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3.2</w:t>
          </w:r>
          <w:r w:rsidRPr="001F7F82">
            <w:rPr>
              <w:rFonts w:asciiTheme="minorHAnsi" w:eastAsiaTheme="minorEastAsia" w:hAnsiTheme="minorHAnsi" w:cstheme="minorBidi"/>
              <w:noProof/>
              <w:kern w:val="2"/>
              <w:sz w:val="22"/>
              <w14:ligatures w14:val="standardContextual"/>
            </w:rPr>
            <w:tab/>
          </w:r>
          <w:r>
            <w:rPr>
              <w:noProof/>
            </w:rPr>
            <w:t>Značka pre pomalé vozidlo</w:t>
          </w:r>
          <w:r>
            <w:rPr>
              <w:noProof/>
            </w:rPr>
            <w:tab/>
          </w:r>
          <w:r>
            <w:rPr>
              <w:noProof/>
            </w:rPr>
            <w:fldChar w:fldCharType="begin"/>
          </w:r>
          <w:r>
            <w:rPr>
              <w:noProof/>
            </w:rPr>
            <w:instrText xml:space="preserve"> PAGEREF _Toc135046978 \h </w:instrText>
          </w:r>
          <w:r>
            <w:rPr>
              <w:noProof/>
            </w:rPr>
          </w:r>
          <w:r>
            <w:rPr>
              <w:noProof/>
            </w:rPr>
            <w:fldChar w:fldCharType="separate"/>
          </w:r>
          <w:r>
            <w:rPr>
              <w:noProof/>
            </w:rPr>
            <w:t>4</w:t>
          </w:r>
          <w:r>
            <w:rPr>
              <w:noProof/>
            </w:rPr>
            <w:fldChar w:fldCharType="end"/>
          </w:r>
        </w:p>
        <w:p w14:paraId="689F79E1" w14:textId="35F0D75A"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3.3</w:t>
          </w:r>
          <w:r w:rsidRPr="001F7F82">
            <w:rPr>
              <w:rFonts w:asciiTheme="minorHAnsi" w:eastAsiaTheme="minorEastAsia" w:hAnsiTheme="minorHAnsi" w:cstheme="minorBidi"/>
              <w:noProof/>
              <w:kern w:val="2"/>
              <w:sz w:val="22"/>
              <w14:ligatures w14:val="standardContextual"/>
            </w:rPr>
            <w:tab/>
          </w:r>
          <w:r>
            <w:rPr>
              <w:noProof/>
            </w:rPr>
            <w:t>Ochranná prilba</w:t>
          </w:r>
          <w:r>
            <w:rPr>
              <w:noProof/>
            </w:rPr>
            <w:tab/>
          </w:r>
          <w:r>
            <w:rPr>
              <w:noProof/>
            </w:rPr>
            <w:fldChar w:fldCharType="begin"/>
          </w:r>
          <w:r>
            <w:rPr>
              <w:noProof/>
            </w:rPr>
            <w:instrText xml:space="preserve"> PAGEREF _Toc135046979 \h </w:instrText>
          </w:r>
          <w:r>
            <w:rPr>
              <w:noProof/>
            </w:rPr>
          </w:r>
          <w:r>
            <w:rPr>
              <w:noProof/>
            </w:rPr>
            <w:fldChar w:fldCharType="separate"/>
          </w:r>
          <w:r>
            <w:rPr>
              <w:noProof/>
            </w:rPr>
            <w:t>4</w:t>
          </w:r>
          <w:r>
            <w:rPr>
              <w:noProof/>
            </w:rPr>
            <w:fldChar w:fldCharType="end"/>
          </w:r>
        </w:p>
        <w:p w14:paraId="491396E9" w14:textId="6A98B0FD"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3.4</w:t>
          </w:r>
          <w:r w:rsidRPr="001F7F82">
            <w:rPr>
              <w:rFonts w:asciiTheme="minorHAnsi" w:eastAsiaTheme="minorEastAsia" w:hAnsiTheme="minorHAnsi" w:cstheme="minorBidi"/>
              <w:noProof/>
              <w:kern w:val="2"/>
              <w:sz w:val="22"/>
              <w14:ligatures w14:val="standardContextual"/>
            </w:rPr>
            <w:tab/>
          </w:r>
          <w:r>
            <w:rPr>
              <w:noProof/>
            </w:rPr>
            <w:t>Strešné svetlo taxislužby</w:t>
          </w:r>
          <w:r>
            <w:rPr>
              <w:noProof/>
            </w:rPr>
            <w:tab/>
          </w:r>
          <w:r>
            <w:rPr>
              <w:noProof/>
            </w:rPr>
            <w:fldChar w:fldCharType="begin"/>
          </w:r>
          <w:r>
            <w:rPr>
              <w:noProof/>
            </w:rPr>
            <w:instrText xml:space="preserve"> PAGEREF _Toc135046980 \h </w:instrText>
          </w:r>
          <w:r>
            <w:rPr>
              <w:noProof/>
            </w:rPr>
          </w:r>
          <w:r>
            <w:rPr>
              <w:noProof/>
            </w:rPr>
            <w:fldChar w:fldCharType="separate"/>
          </w:r>
          <w:r>
            <w:rPr>
              <w:noProof/>
            </w:rPr>
            <w:t>4</w:t>
          </w:r>
          <w:r>
            <w:rPr>
              <w:noProof/>
            </w:rPr>
            <w:fldChar w:fldCharType="end"/>
          </w:r>
        </w:p>
        <w:p w14:paraId="0F91513F" w14:textId="43474870"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3.5</w:t>
          </w:r>
          <w:r w:rsidRPr="001F7F82">
            <w:rPr>
              <w:rFonts w:asciiTheme="minorHAnsi" w:eastAsiaTheme="minorEastAsia" w:hAnsiTheme="minorHAnsi" w:cstheme="minorBidi"/>
              <w:noProof/>
              <w:kern w:val="2"/>
              <w:sz w:val="22"/>
              <w14:ligatures w14:val="standardContextual"/>
            </w:rPr>
            <w:tab/>
          </w:r>
          <w:r>
            <w:rPr>
              <w:noProof/>
            </w:rPr>
            <w:t>Taxameter</w:t>
          </w:r>
          <w:r>
            <w:rPr>
              <w:noProof/>
            </w:rPr>
            <w:tab/>
          </w:r>
          <w:r>
            <w:rPr>
              <w:noProof/>
            </w:rPr>
            <w:fldChar w:fldCharType="begin"/>
          </w:r>
          <w:r>
            <w:rPr>
              <w:noProof/>
            </w:rPr>
            <w:instrText xml:space="preserve"> PAGEREF _Toc135046981 \h </w:instrText>
          </w:r>
          <w:r>
            <w:rPr>
              <w:noProof/>
            </w:rPr>
          </w:r>
          <w:r>
            <w:rPr>
              <w:noProof/>
            </w:rPr>
            <w:fldChar w:fldCharType="separate"/>
          </w:r>
          <w:r>
            <w:rPr>
              <w:noProof/>
            </w:rPr>
            <w:t>4</w:t>
          </w:r>
          <w:r>
            <w:rPr>
              <w:noProof/>
            </w:rPr>
            <w:fldChar w:fldCharType="end"/>
          </w:r>
        </w:p>
        <w:p w14:paraId="54E6A73E" w14:textId="047E00D3" w:rsidR="001F7F82" w:rsidRPr="001F7F82" w:rsidRDefault="001F7F82">
          <w:pPr>
            <w:pStyle w:val="TOC1"/>
            <w:rPr>
              <w:rFonts w:asciiTheme="minorHAnsi" w:eastAsiaTheme="minorEastAsia" w:hAnsiTheme="minorHAnsi" w:cstheme="minorBidi"/>
              <w:kern w:val="2"/>
              <w:sz w:val="22"/>
              <w14:ligatures w14:val="standardContextual"/>
            </w:rPr>
          </w:pPr>
          <w:r>
            <w:t>4</w:t>
          </w:r>
          <w:r w:rsidRPr="001F7F82">
            <w:rPr>
              <w:rFonts w:asciiTheme="minorHAnsi" w:eastAsiaTheme="minorEastAsia" w:hAnsiTheme="minorHAnsi" w:cstheme="minorBidi"/>
              <w:kern w:val="2"/>
              <w:sz w:val="22"/>
              <w14:ligatures w14:val="standardContextual"/>
            </w:rPr>
            <w:tab/>
          </w:r>
          <w:r>
            <w:t>BICYKEL</w:t>
          </w:r>
          <w:r>
            <w:tab/>
          </w:r>
          <w:r>
            <w:fldChar w:fldCharType="begin"/>
          </w:r>
          <w:r>
            <w:instrText xml:space="preserve"> PAGEREF _Toc135046982 \h </w:instrText>
          </w:r>
          <w:r>
            <w:fldChar w:fldCharType="separate"/>
          </w:r>
          <w:r>
            <w:t>4</w:t>
          </w:r>
          <w:r>
            <w:fldChar w:fldCharType="end"/>
          </w:r>
        </w:p>
        <w:p w14:paraId="2FAAC8B2" w14:textId="1B6DCBDA"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4.1</w:t>
          </w:r>
          <w:r w:rsidRPr="001F7F82">
            <w:rPr>
              <w:rFonts w:asciiTheme="minorHAnsi" w:eastAsiaTheme="minorEastAsia" w:hAnsiTheme="minorHAnsi" w:cstheme="minorBidi"/>
              <w:noProof/>
              <w:kern w:val="2"/>
              <w:sz w:val="22"/>
              <w14:ligatures w14:val="standardContextual"/>
            </w:rPr>
            <w:tab/>
          </w:r>
          <w:r>
            <w:rPr>
              <w:noProof/>
            </w:rPr>
            <w:t>Všeobecné bezpečnostné požiadavky</w:t>
          </w:r>
          <w:r>
            <w:rPr>
              <w:noProof/>
            </w:rPr>
            <w:tab/>
          </w:r>
          <w:r>
            <w:rPr>
              <w:noProof/>
            </w:rPr>
            <w:fldChar w:fldCharType="begin"/>
          </w:r>
          <w:r>
            <w:rPr>
              <w:noProof/>
            </w:rPr>
            <w:instrText xml:space="preserve"> PAGEREF _Toc135046983 \h </w:instrText>
          </w:r>
          <w:r>
            <w:rPr>
              <w:noProof/>
            </w:rPr>
          </w:r>
          <w:r>
            <w:rPr>
              <w:noProof/>
            </w:rPr>
            <w:fldChar w:fldCharType="separate"/>
          </w:r>
          <w:r>
            <w:rPr>
              <w:noProof/>
            </w:rPr>
            <w:t>4</w:t>
          </w:r>
          <w:r>
            <w:rPr>
              <w:noProof/>
            </w:rPr>
            <w:fldChar w:fldCharType="end"/>
          </w:r>
        </w:p>
        <w:p w14:paraId="45E21FF8" w14:textId="46720115"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4.2</w:t>
          </w:r>
          <w:r w:rsidRPr="001F7F82">
            <w:rPr>
              <w:rFonts w:asciiTheme="minorHAnsi" w:eastAsiaTheme="minorEastAsia" w:hAnsiTheme="minorHAnsi" w:cstheme="minorBidi"/>
              <w:noProof/>
              <w:kern w:val="2"/>
              <w:sz w:val="22"/>
              <w14:ligatures w14:val="standardContextual"/>
            </w:rPr>
            <w:tab/>
          </w:r>
          <w:r>
            <w:rPr>
              <w:noProof/>
            </w:rPr>
            <w:t>Odrazové sklá</w:t>
          </w:r>
          <w:r>
            <w:rPr>
              <w:noProof/>
            </w:rPr>
            <w:tab/>
          </w:r>
          <w:r>
            <w:rPr>
              <w:noProof/>
            </w:rPr>
            <w:fldChar w:fldCharType="begin"/>
          </w:r>
          <w:r>
            <w:rPr>
              <w:noProof/>
            </w:rPr>
            <w:instrText xml:space="preserve"> PAGEREF _Toc135046984 \h </w:instrText>
          </w:r>
          <w:r>
            <w:rPr>
              <w:noProof/>
            </w:rPr>
          </w:r>
          <w:r>
            <w:rPr>
              <w:noProof/>
            </w:rPr>
            <w:fldChar w:fldCharType="separate"/>
          </w:r>
          <w:r>
            <w:rPr>
              <w:noProof/>
            </w:rPr>
            <w:t>5</w:t>
          </w:r>
          <w:r>
            <w:rPr>
              <w:noProof/>
            </w:rPr>
            <w:fldChar w:fldCharType="end"/>
          </w:r>
        </w:p>
        <w:p w14:paraId="0EF135A1" w14:textId="0B07E240"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4.3</w:t>
          </w:r>
          <w:r w:rsidRPr="001F7F82">
            <w:rPr>
              <w:rFonts w:asciiTheme="minorHAnsi" w:eastAsiaTheme="minorEastAsia" w:hAnsiTheme="minorHAnsi" w:cstheme="minorBidi"/>
              <w:noProof/>
              <w:kern w:val="2"/>
              <w:sz w:val="22"/>
              <w14:ligatures w14:val="standardContextual"/>
            </w:rPr>
            <w:tab/>
          </w:r>
          <w:r>
            <w:rPr>
              <w:noProof/>
            </w:rPr>
            <w:t>Svetlá</w:t>
          </w:r>
          <w:r>
            <w:rPr>
              <w:noProof/>
            </w:rPr>
            <w:tab/>
          </w:r>
          <w:r>
            <w:rPr>
              <w:noProof/>
            </w:rPr>
            <w:fldChar w:fldCharType="begin"/>
          </w:r>
          <w:r>
            <w:rPr>
              <w:noProof/>
            </w:rPr>
            <w:instrText xml:space="preserve"> PAGEREF _Toc135046985 \h </w:instrText>
          </w:r>
          <w:r>
            <w:rPr>
              <w:noProof/>
            </w:rPr>
          </w:r>
          <w:r>
            <w:rPr>
              <w:noProof/>
            </w:rPr>
            <w:fldChar w:fldCharType="separate"/>
          </w:r>
          <w:r>
            <w:rPr>
              <w:noProof/>
            </w:rPr>
            <w:t>5</w:t>
          </w:r>
          <w:r>
            <w:rPr>
              <w:noProof/>
            </w:rPr>
            <w:fldChar w:fldCharType="end"/>
          </w:r>
        </w:p>
        <w:p w14:paraId="56A30E5F" w14:textId="59848E09"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4.4</w:t>
          </w:r>
          <w:r w:rsidRPr="001F7F82">
            <w:rPr>
              <w:rFonts w:asciiTheme="minorHAnsi" w:eastAsiaTheme="minorEastAsia" w:hAnsiTheme="minorHAnsi" w:cstheme="minorBidi"/>
              <w:noProof/>
              <w:kern w:val="2"/>
              <w:sz w:val="22"/>
              <w14:ligatures w14:val="standardContextual"/>
            </w:rPr>
            <w:tab/>
          </w:r>
          <w:r>
            <w:rPr>
              <w:noProof/>
            </w:rPr>
            <w:t>Upravené individuálne vozidlo kategórie L1e-A</w:t>
          </w:r>
          <w:r>
            <w:rPr>
              <w:noProof/>
            </w:rPr>
            <w:tab/>
          </w:r>
          <w:r>
            <w:rPr>
              <w:noProof/>
            </w:rPr>
            <w:fldChar w:fldCharType="begin"/>
          </w:r>
          <w:r>
            <w:rPr>
              <w:noProof/>
            </w:rPr>
            <w:instrText xml:space="preserve"> PAGEREF _Toc135046986 \h </w:instrText>
          </w:r>
          <w:r>
            <w:rPr>
              <w:noProof/>
            </w:rPr>
          </w:r>
          <w:r>
            <w:rPr>
              <w:noProof/>
            </w:rPr>
            <w:fldChar w:fldCharType="separate"/>
          </w:r>
          <w:r>
            <w:rPr>
              <w:noProof/>
            </w:rPr>
            <w:t>5</w:t>
          </w:r>
          <w:r>
            <w:rPr>
              <w:noProof/>
            </w:rPr>
            <w:fldChar w:fldCharType="end"/>
          </w:r>
        </w:p>
        <w:p w14:paraId="486B24C8" w14:textId="24643572" w:rsidR="001F7F82" w:rsidRPr="001F7F82" w:rsidRDefault="001F7F82">
          <w:pPr>
            <w:pStyle w:val="TOC1"/>
            <w:rPr>
              <w:rFonts w:asciiTheme="minorHAnsi" w:eastAsiaTheme="minorEastAsia" w:hAnsiTheme="minorHAnsi" w:cstheme="minorBidi"/>
              <w:kern w:val="2"/>
              <w:sz w:val="22"/>
              <w14:ligatures w14:val="standardContextual"/>
            </w:rPr>
          </w:pPr>
          <w:r>
            <w:t>5</w:t>
          </w:r>
          <w:r w:rsidRPr="001F7F82">
            <w:rPr>
              <w:rFonts w:asciiTheme="minorHAnsi" w:eastAsiaTheme="minorEastAsia" w:hAnsiTheme="minorHAnsi" w:cstheme="minorBidi"/>
              <w:kern w:val="2"/>
              <w:sz w:val="22"/>
              <w14:ligatures w14:val="standardContextual"/>
            </w:rPr>
            <w:tab/>
          </w:r>
          <w:r>
            <w:t>PRÍPOJNÉ VOZIDLÁ VOZIDIEL KATEGÓRIE L A BICYKLOV</w:t>
          </w:r>
          <w:r>
            <w:tab/>
          </w:r>
          <w:r>
            <w:fldChar w:fldCharType="begin"/>
          </w:r>
          <w:r>
            <w:instrText xml:space="preserve"> PAGEREF _Toc135046987 \h </w:instrText>
          </w:r>
          <w:r>
            <w:fldChar w:fldCharType="separate"/>
          </w:r>
          <w:r>
            <w:t>6</w:t>
          </w:r>
          <w:r>
            <w:fldChar w:fldCharType="end"/>
          </w:r>
        </w:p>
        <w:p w14:paraId="516EF76E" w14:textId="7E87078F"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5.1</w:t>
          </w:r>
          <w:r w:rsidRPr="001F7F82">
            <w:rPr>
              <w:rFonts w:asciiTheme="minorHAnsi" w:eastAsiaTheme="minorEastAsia" w:hAnsiTheme="minorHAnsi" w:cstheme="minorBidi"/>
              <w:noProof/>
              <w:kern w:val="2"/>
              <w:sz w:val="22"/>
              <w14:ligatures w14:val="standardContextual"/>
            </w:rPr>
            <w:tab/>
          </w:r>
          <w:r>
            <w:rPr>
              <w:noProof/>
            </w:rPr>
            <w:t>Pneumatiky</w:t>
          </w:r>
          <w:r>
            <w:rPr>
              <w:noProof/>
            </w:rPr>
            <w:tab/>
          </w:r>
          <w:r>
            <w:rPr>
              <w:noProof/>
            </w:rPr>
            <w:fldChar w:fldCharType="begin"/>
          </w:r>
          <w:r>
            <w:rPr>
              <w:noProof/>
            </w:rPr>
            <w:instrText xml:space="preserve"> PAGEREF _Toc135046988 \h </w:instrText>
          </w:r>
          <w:r>
            <w:rPr>
              <w:noProof/>
            </w:rPr>
          </w:r>
          <w:r>
            <w:rPr>
              <w:noProof/>
            </w:rPr>
            <w:fldChar w:fldCharType="separate"/>
          </w:r>
          <w:r>
            <w:rPr>
              <w:noProof/>
            </w:rPr>
            <w:t>6</w:t>
          </w:r>
          <w:r>
            <w:rPr>
              <w:noProof/>
            </w:rPr>
            <w:fldChar w:fldCharType="end"/>
          </w:r>
        </w:p>
        <w:p w14:paraId="29170A95" w14:textId="534EE7F7"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lastRenderedPageBreak/>
            <w:t>5.2</w:t>
          </w:r>
          <w:r w:rsidRPr="001F7F82">
            <w:rPr>
              <w:rFonts w:asciiTheme="minorHAnsi" w:eastAsiaTheme="minorEastAsia" w:hAnsiTheme="minorHAnsi" w:cstheme="minorBidi"/>
              <w:noProof/>
              <w:kern w:val="2"/>
              <w:sz w:val="22"/>
              <w14:ligatures w14:val="standardContextual"/>
            </w:rPr>
            <w:tab/>
          </w:r>
          <w:r>
            <w:rPr>
              <w:noProof/>
            </w:rPr>
            <w:t>Spojovacie zariadenia</w:t>
          </w:r>
          <w:r>
            <w:rPr>
              <w:noProof/>
            </w:rPr>
            <w:tab/>
          </w:r>
          <w:r>
            <w:rPr>
              <w:noProof/>
            </w:rPr>
            <w:fldChar w:fldCharType="begin"/>
          </w:r>
          <w:r>
            <w:rPr>
              <w:noProof/>
            </w:rPr>
            <w:instrText xml:space="preserve"> PAGEREF _Toc135046989 \h </w:instrText>
          </w:r>
          <w:r>
            <w:rPr>
              <w:noProof/>
            </w:rPr>
          </w:r>
          <w:r>
            <w:rPr>
              <w:noProof/>
            </w:rPr>
            <w:fldChar w:fldCharType="separate"/>
          </w:r>
          <w:r>
            <w:rPr>
              <w:noProof/>
            </w:rPr>
            <w:t>6</w:t>
          </w:r>
          <w:r>
            <w:rPr>
              <w:noProof/>
            </w:rPr>
            <w:fldChar w:fldCharType="end"/>
          </w:r>
        </w:p>
        <w:p w14:paraId="73FDC4E0" w14:textId="69830D0F"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5.3</w:t>
          </w:r>
          <w:r w:rsidRPr="001F7F82">
            <w:rPr>
              <w:rFonts w:asciiTheme="minorHAnsi" w:eastAsiaTheme="minorEastAsia" w:hAnsiTheme="minorHAnsi" w:cstheme="minorBidi"/>
              <w:noProof/>
              <w:kern w:val="2"/>
              <w:sz w:val="22"/>
              <w14:ligatures w14:val="standardContextual"/>
            </w:rPr>
            <w:tab/>
          </w:r>
          <w:r>
            <w:rPr>
              <w:noProof/>
            </w:rPr>
            <w:t>Svetlá a odrazové sklá</w:t>
          </w:r>
          <w:r>
            <w:rPr>
              <w:noProof/>
            </w:rPr>
            <w:tab/>
          </w:r>
          <w:r>
            <w:rPr>
              <w:noProof/>
            </w:rPr>
            <w:fldChar w:fldCharType="begin"/>
          </w:r>
          <w:r>
            <w:rPr>
              <w:noProof/>
            </w:rPr>
            <w:instrText xml:space="preserve"> PAGEREF _Toc135046990 \h </w:instrText>
          </w:r>
          <w:r>
            <w:rPr>
              <w:noProof/>
            </w:rPr>
          </w:r>
          <w:r>
            <w:rPr>
              <w:noProof/>
            </w:rPr>
            <w:fldChar w:fldCharType="separate"/>
          </w:r>
          <w:r>
            <w:rPr>
              <w:noProof/>
            </w:rPr>
            <w:t>6</w:t>
          </w:r>
          <w:r>
            <w:rPr>
              <w:noProof/>
            </w:rPr>
            <w:fldChar w:fldCharType="end"/>
          </w:r>
        </w:p>
        <w:p w14:paraId="6976C1E7" w14:textId="792CCE06" w:rsidR="001F7F82" w:rsidRPr="001F7F82" w:rsidRDefault="001F7F82">
          <w:pPr>
            <w:pStyle w:val="TOC3"/>
            <w:rPr>
              <w:rFonts w:asciiTheme="minorHAnsi" w:eastAsiaTheme="minorEastAsia" w:hAnsiTheme="minorHAnsi" w:cstheme="minorBidi"/>
              <w:noProof/>
              <w:kern w:val="2"/>
              <w:sz w:val="22"/>
              <w14:ligatures w14:val="standardContextual"/>
            </w:rPr>
          </w:pPr>
          <w:r>
            <w:rPr>
              <w:noProof/>
            </w:rPr>
            <w:t>5.3.1</w:t>
          </w:r>
          <w:r w:rsidRPr="001F7F82">
            <w:rPr>
              <w:rFonts w:asciiTheme="minorHAnsi" w:eastAsiaTheme="minorEastAsia" w:hAnsiTheme="minorHAnsi" w:cstheme="minorBidi"/>
              <w:noProof/>
              <w:kern w:val="2"/>
              <w:sz w:val="22"/>
              <w14:ligatures w14:val="standardContextual"/>
            </w:rPr>
            <w:tab/>
          </w:r>
          <w:r>
            <w:rPr>
              <w:noProof/>
            </w:rPr>
            <w:t>Smerové svetlá</w:t>
          </w:r>
          <w:r>
            <w:rPr>
              <w:noProof/>
            </w:rPr>
            <w:tab/>
          </w:r>
          <w:r>
            <w:rPr>
              <w:noProof/>
            </w:rPr>
            <w:fldChar w:fldCharType="begin"/>
          </w:r>
          <w:r>
            <w:rPr>
              <w:noProof/>
            </w:rPr>
            <w:instrText xml:space="preserve"> PAGEREF _Toc135046991 \h </w:instrText>
          </w:r>
          <w:r>
            <w:rPr>
              <w:noProof/>
            </w:rPr>
          </w:r>
          <w:r>
            <w:rPr>
              <w:noProof/>
            </w:rPr>
            <w:fldChar w:fldCharType="separate"/>
          </w:r>
          <w:r>
            <w:rPr>
              <w:noProof/>
            </w:rPr>
            <w:t>6</w:t>
          </w:r>
          <w:r>
            <w:rPr>
              <w:noProof/>
            </w:rPr>
            <w:fldChar w:fldCharType="end"/>
          </w:r>
        </w:p>
        <w:p w14:paraId="0BF9B6EE" w14:textId="6AE01E24" w:rsidR="001F7F82" w:rsidRPr="001F7F82" w:rsidRDefault="001F7F82">
          <w:pPr>
            <w:pStyle w:val="TOC3"/>
            <w:rPr>
              <w:rFonts w:asciiTheme="minorHAnsi" w:eastAsiaTheme="minorEastAsia" w:hAnsiTheme="minorHAnsi" w:cstheme="minorBidi"/>
              <w:noProof/>
              <w:kern w:val="2"/>
              <w:sz w:val="22"/>
              <w14:ligatures w14:val="standardContextual"/>
            </w:rPr>
          </w:pPr>
          <w:r>
            <w:rPr>
              <w:noProof/>
            </w:rPr>
            <w:t>5.3.2</w:t>
          </w:r>
          <w:r w:rsidRPr="001F7F82">
            <w:rPr>
              <w:rFonts w:asciiTheme="minorHAnsi" w:eastAsiaTheme="minorEastAsia" w:hAnsiTheme="minorHAnsi" w:cstheme="minorBidi"/>
              <w:noProof/>
              <w:kern w:val="2"/>
              <w:sz w:val="22"/>
              <w14:ligatures w14:val="standardContextual"/>
            </w:rPr>
            <w:tab/>
          </w:r>
          <w:r>
            <w:rPr>
              <w:noProof/>
            </w:rPr>
            <w:t>Brzdové svetlá</w:t>
          </w:r>
          <w:r>
            <w:rPr>
              <w:noProof/>
            </w:rPr>
            <w:tab/>
          </w:r>
          <w:r>
            <w:rPr>
              <w:noProof/>
            </w:rPr>
            <w:fldChar w:fldCharType="begin"/>
          </w:r>
          <w:r>
            <w:rPr>
              <w:noProof/>
            </w:rPr>
            <w:instrText xml:space="preserve"> PAGEREF _Toc135046992 \h </w:instrText>
          </w:r>
          <w:r>
            <w:rPr>
              <w:noProof/>
            </w:rPr>
          </w:r>
          <w:r>
            <w:rPr>
              <w:noProof/>
            </w:rPr>
            <w:fldChar w:fldCharType="separate"/>
          </w:r>
          <w:r>
            <w:rPr>
              <w:noProof/>
            </w:rPr>
            <w:t>6</w:t>
          </w:r>
          <w:r>
            <w:rPr>
              <w:noProof/>
            </w:rPr>
            <w:fldChar w:fldCharType="end"/>
          </w:r>
        </w:p>
        <w:p w14:paraId="05EB6D2E" w14:textId="6A8C2163" w:rsidR="001F7F82" w:rsidRPr="001F7F82" w:rsidRDefault="001F7F82">
          <w:pPr>
            <w:pStyle w:val="TOC3"/>
            <w:rPr>
              <w:rFonts w:asciiTheme="minorHAnsi" w:eastAsiaTheme="minorEastAsia" w:hAnsiTheme="minorHAnsi" w:cstheme="minorBidi"/>
              <w:noProof/>
              <w:kern w:val="2"/>
              <w:sz w:val="22"/>
              <w14:ligatures w14:val="standardContextual"/>
            </w:rPr>
          </w:pPr>
          <w:r>
            <w:rPr>
              <w:noProof/>
            </w:rPr>
            <w:t>5.3.3</w:t>
          </w:r>
          <w:r w:rsidRPr="001F7F82">
            <w:rPr>
              <w:rFonts w:asciiTheme="minorHAnsi" w:eastAsiaTheme="minorEastAsia" w:hAnsiTheme="minorHAnsi" w:cstheme="minorBidi"/>
              <w:noProof/>
              <w:kern w:val="2"/>
              <w:sz w:val="22"/>
              <w14:ligatures w14:val="standardContextual"/>
            </w:rPr>
            <w:tab/>
          </w:r>
          <w:r>
            <w:rPr>
              <w:noProof/>
            </w:rPr>
            <w:t>Zadné svetlá</w:t>
          </w:r>
          <w:r>
            <w:rPr>
              <w:noProof/>
            </w:rPr>
            <w:tab/>
          </w:r>
          <w:r>
            <w:rPr>
              <w:noProof/>
            </w:rPr>
            <w:fldChar w:fldCharType="begin"/>
          </w:r>
          <w:r>
            <w:rPr>
              <w:noProof/>
            </w:rPr>
            <w:instrText xml:space="preserve"> PAGEREF _Toc135046993 \h </w:instrText>
          </w:r>
          <w:r>
            <w:rPr>
              <w:noProof/>
            </w:rPr>
          </w:r>
          <w:r>
            <w:rPr>
              <w:noProof/>
            </w:rPr>
            <w:fldChar w:fldCharType="separate"/>
          </w:r>
          <w:r>
            <w:rPr>
              <w:noProof/>
            </w:rPr>
            <w:t>7</w:t>
          </w:r>
          <w:r>
            <w:rPr>
              <w:noProof/>
            </w:rPr>
            <w:fldChar w:fldCharType="end"/>
          </w:r>
        </w:p>
        <w:p w14:paraId="33C83156" w14:textId="4D0FBB91" w:rsidR="001F7F82" w:rsidRPr="001F7F82" w:rsidRDefault="001F7F82">
          <w:pPr>
            <w:pStyle w:val="TOC3"/>
            <w:rPr>
              <w:rFonts w:asciiTheme="minorHAnsi" w:eastAsiaTheme="minorEastAsia" w:hAnsiTheme="minorHAnsi" w:cstheme="minorBidi"/>
              <w:noProof/>
              <w:kern w:val="2"/>
              <w:sz w:val="22"/>
              <w14:ligatures w14:val="standardContextual"/>
            </w:rPr>
          </w:pPr>
          <w:r>
            <w:rPr>
              <w:noProof/>
            </w:rPr>
            <w:t>5.3.4</w:t>
          </w:r>
          <w:r w:rsidRPr="001F7F82">
            <w:rPr>
              <w:rFonts w:asciiTheme="minorHAnsi" w:eastAsiaTheme="minorEastAsia" w:hAnsiTheme="minorHAnsi" w:cstheme="minorBidi"/>
              <w:noProof/>
              <w:kern w:val="2"/>
              <w:sz w:val="22"/>
              <w14:ligatures w14:val="standardContextual"/>
            </w:rPr>
            <w:tab/>
          </w:r>
          <w:r>
            <w:rPr>
              <w:noProof/>
            </w:rPr>
            <w:t>Odrazové sklá</w:t>
          </w:r>
          <w:r>
            <w:rPr>
              <w:noProof/>
            </w:rPr>
            <w:tab/>
          </w:r>
          <w:r>
            <w:rPr>
              <w:noProof/>
            </w:rPr>
            <w:fldChar w:fldCharType="begin"/>
          </w:r>
          <w:r>
            <w:rPr>
              <w:noProof/>
            </w:rPr>
            <w:instrText xml:space="preserve"> PAGEREF _Toc135046994 \h </w:instrText>
          </w:r>
          <w:r>
            <w:rPr>
              <w:noProof/>
            </w:rPr>
          </w:r>
          <w:r>
            <w:rPr>
              <w:noProof/>
            </w:rPr>
            <w:fldChar w:fldCharType="separate"/>
          </w:r>
          <w:r>
            <w:rPr>
              <w:noProof/>
            </w:rPr>
            <w:t>7</w:t>
          </w:r>
          <w:r>
            <w:rPr>
              <w:noProof/>
            </w:rPr>
            <w:fldChar w:fldCharType="end"/>
          </w:r>
        </w:p>
        <w:p w14:paraId="22198FDA" w14:textId="3B959630"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5.4</w:t>
          </w:r>
          <w:r w:rsidRPr="001F7F82">
            <w:rPr>
              <w:rFonts w:asciiTheme="minorHAnsi" w:eastAsiaTheme="minorEastAsia" w:hAnsiTheme="minorHAnsi" w:cstheme="minorBidi"/>
              <w:noProof/>
              <w:kern w:val="2"/>
              <w:sz w:val="22"/>
              <w14:ligatures w14:val="standardContextual"/>
            </w:rPr>
            <w:tab/>
          </w:r>
          <w:r>
            <w:rPr>
              <w:noProof/>
            </w:rPr>
            <w:t>Značka pre pomalé vozidlo</w:t>
          </w:r>
          <w:r>
            <w:rPr>
              <w:noProof/>
            </w:rPr>
            <w:tab/>
          </w:r>
          <w:r>
            <w:rPr>
              <w:noProof/>
            </w:rPr>
            <w:fldChar w:fldCharType="begin"/>
          </w:r>
          <w:r>
            <w:rPr>
              <w:noProof/>
            </w:rPr>
            <w:instrText xml:space="preserve"> PAGEREF _Toc135046995 \h </w:instrText>
          </w:r>
          <w:r>
            <w:rPr>
              <w:noProof/>
            </w:rPr>
          </w:r>
          <w:r>
            <w:rPr>
              <w:noProof/>
            </w:rPr>
            <w:fldChar w:fldCharType="separate"/>
          </w:r>
          <w:r>
            <w:rPr>
              <w:noProof/>
            </w:rPr>
            <w:t>7</w:t>
          </w:r>
          <w:r>
            <w:rPr>
              <w:noProof/>
            </w:rPr>
            <w:fldChar w:fldCharType="end"/>
          </w:r>
        </w:p>
        <w:p w14:paraId="49B06F58" w14:textId="0AF35455" w:rsidR="001F7F82" w:rsidRPr="001F7F82" w:rsidRDefault="001F7F82">
          <w:pPr>
            <w:pStyle w:val="TOC2"/>
            <w:rPr>
              <w:rFonts w:asciiTheme="minorHAnsi" w:eastAsiaTheme="minorEastAsia" w:hAnsiTheme="minorHAnsi" w:cstheme="minorBidi"/>
              <w:noProof/>
              <w:kern w:val="2"/>
              <w:sz w:val="22"/>
              <w14:ligatures w14:val="standardContextual"/>
            </w:rPr>
          </w:pPr>
          <w:r w:rsidRPr="005F3111">
            <w:rPr>
              <w:rFonts w:cs="Times New Roman"/>
              <w:noProof/>
              <w14:scene3d>
                <w14:camera w14:prst="orthographicFront"/>
                <w14:lightRig w14:rig="threePt" w14:dir="t">
                  <w14:rot w14:lat="0" w14:lon="0" w14:rev="0"/>
                </w14:lightRig>
              </w14:scene3d>
            </w:rPr>
            <w:t>5.5</w:t>
          </w:r>
          <w:r w:rsidRPr="001F7F82">
            <w:rPr>
              <w:rFonts w:asciiTheme="minorHAnsi" w:eastAsiaTheme="minorEastAsia" w:hAnsiTheme="minorHAnsi" w:cstheme="minorBidi"/>
              <w:noProof/>
              <w:kern w:val="2"/>
              <w:sz w:val="22"/>
              <w14:ligatures w14:val="standardContextual"/>
            </w:rPr>
            <w:tab/>
          </w:r>
          <w:r>
            <w:rPr>
              <w:noProof/>
            </w:rPr>
            <w:t>Blatníky</w:t>
          </w:r>
          <w:r>
            <w:rPr>
              <w:noProof/>
            </w:rPr>
            <w:tab/>
          </w:r>
          <w:r>
            <w:rPr>
              <w:noProof/>
            </w:rPr>
            <w:fldChar w:fldCharType="begin"/>
          </w:r>
          <w:r>
            <w:rPr>
              <w:noProof/>
            </w:rPr>
            <w:instrText xml:space="preserve"> PAGEREF _Toc135046996 \h </w:instrText>
          </w:r>
          <w:r>
            <w:rPr>
              <w:noProof/>
            </w:rPr>
          </w:r>
          <w:r>
            <w:rPr>
              <w:noProof/>
            </w:rPr>
            <w:fldChar w:fldCharType="separate"/>
          </w:r>
          <w:r>
            <w:rPr>
              <w:noProof/>
            </w:rPr>
            <w:t>8</w:t>
          </w:r>
          <w:r>
            <w:rPr>
              <w:noProof/>
            </w:rPr>
            <w:fldChar w:fldCharType="end"/>
          </w:r>
        </w:p>
        <w:p w14:paraId="10AC51F2" w14:textId="26C6792D" w:rsidR="001F7F82" w:rsidRPr="001F7F82" w:rsidRDefault="001F7F82">
          <w:pPr>
            <w:pStyle w:val="TOC1"/>
            <w:rPr>
              <w:rFonts w:asciiTheme="minorHAnsi" w:eastAsiaTheme="minorEastAsia" w:hAnsiTheme="minorHAnsi" w:cstheme="minorBidi"/>
              <w:kern w:val="2"/>
              <w:sz w:val="22"/>
              <w14:ligatures w14:val="standardContextual"/>
            </w:rPr>
          </w:pPr>
          <w:r>
            <w:t>6</w:t>
          </w:r>
          <w:r w:rsidRPr="001F7F82">
            <w:rPr>
              <w:rFonts w:asciiTheme="minorHAnsi" w:eastAsiaTheme="minorEastAsia" w:hAnsiTheme="minorHAnsi" w:cstheme="minorBidi"/>
              <w:kern w:val="2"/>
              <w:sz w:val="22"/>
              <w14:ligatures w14:val="standardContextual"/>
            </w:rPr>
            <w:tab/>
          </w:r>
          <w:r>
            <w:t>ĽAHKÉ ELEKTRICKÉ VOZIDLO</w:t>
          </w:r>
          <w:r>
            <w:tab/>
          </w:r>
          <w:r>
            <w:fldChar w:fldCharType="begin"/>
          </w:r>
          <w:r>
            <w:instrText xml:space="preserve"> PAGEREF _Toc135046997 \h </w:instrText>
          </w:r>
          <w:r>
            <w:fldChar w:fldCharType="separate"/>
          </w:r>
          <w:r>
            <w:t>8</w:t>
          </w:r>
          <w:r>
            <w:fldChar w:fldCharType="end"/>
          </w:r>
        </w:p>
        <w:p w14:paraId="3DD075A0" w14:textId="18A48ADB" w:rsidR="001F7F82" w:rsidRPr="001F7F82" w:rsidRDefault="001F7F82">
          <w:pPr>
            <w:pStyle w:val="TOC1"/>
            <w:rPr>
              <w:rFonts w:asciiTheme="minorHAnsi" w:eastAsiaTheme="minorEastAsia" w:hAnsiTheme="minorHAnsi" w:cstheme="minorBidi"/>
              <w:kern w:val="2"/>
              <w:sz w:val="22"/>
              <w14:ligatures w14:val="standardContextual"/>
            </w:rPr>
          </w:pPr>
          <w:r>
            <w:t>7</w:t>
          </w:r>
          <w:r w:rsidRPr="001F7F82">
            <w:rPr>
              <w:rFonts w:asciiTheme="minorHAnsi" w:eastAsiaTheme="minorEastAsia" w:hAnsiTheme="minorHAnsi" w:cstheme="minorBidi"/>
              <w:kern w:val="2"/>
              <w:sz w:val="22"/>
              <w14:ligatures w14:val="standardContextual"/>
            </w:rPr>
            <w:tab/>
          </w:r>
          <w:r>
            <w:t>ĽAHKÉ AUTONÓMNE VOZIDLO NA PREPRAVU TOVARU</w:t>
          </w:r>
          <w:r>
            <w:tab/>
          </w:r>
          <w:r>
            <w:fldChar w:fldCharType="begin"/>
          </w:r>
          <w:r>
            <w:instrText xml:space="preserve"> PAGEREF _Toc135046998 \h </w:instrText>
          </w:r>
          <w:r>
            <w:fldChar w:fldCharType="separate"/>
          </w:r>
          <w:r>
            <w:t>8</w:t>
          </w:r>
          <w:r>
            <w:fldChar w:fldCharType="end"/>
          </w:r>
        </w:p>
        <w:p w14:paraId="013D4442" w14:textId="06C0C66D" w:rsidR="001F7F82" w:rsidRDefault="001F7F82">
          <w:pPr>
            <w:pStyle w:val="TOC2"/>
            <w:rPr>
              <w:rFonts w:asciiTheme="minorHAnsi" w:eastAsiaTheme="minorEastAsia" w:hAnsiTheme="minorHAnsi" w:cstheme="minorBidi"/>
              <w:noProof/>
              <w:kern w:val="2"/>
              <w:sz w:val="22"/>
              <w:lang w:val="en-US"/>
              <w14:ligatures w14:val="standardContextual"/>
            </w:rPr>
          </w:pPr>
          <w:r w:rsidRPr="005F3111">
            <w:rPr>
              <w:rFonts w:cs="Times New Roman"/>
              <w:noProof/>
              <w14:scene3d>
                <w14:camera w14:prst="orthographicFront"/>
                <w14:lightRig w14:rig="threePt" w14:dir="t">
                  <w14:rot w14:lat="0" w14:lon="0" w14:rev="0"/>
                </w14:lightRig>
              </w14:scene3d>
            </w:rPr>
            <w:t>7.1</w:t>
          </w:r>
          <w:r>
            <w:rPr>
              <w:rFonts w:asciiTheme="minorHAnsi" w:eastAsiaTheme="minorEastAsia" w:hAnsiTheme="minorHAnsi" w:cstheme="minorBidi"/>
              <w:noProof/>
              <w:kern w:val="2"/>
              <w:sz w:val="22"/>
              <w:lang w:val="en-US"/>
              <w14:ligatures w14:val="standardContextual"/>
            </w:rPr>
            <w:tab/>
          </w:r>
          <w:r>
            <w:rPr>
              <w:noProof/>
            </w:rPr>
            <w:t>Rozmery a hmotnosti</w:t>
          </w:r>
          <w:r>
            <w:rPr>
              <w:noProof/>
            </w:rPr>
            <w:tab/>
          </w:r>
          <w:r>
            <w:rPr>
              <w:noProof/>
            </w:rPr>
            <w:fldChar w:fldCharType="begin"/>
          </w:r>
          <w:r>
            <w:rPr>
              <w:noProof/>
            </w:rPr>
            <w:instrText xml:space="preserve"> PAGEREF _Toc135046999 \h </w:instrText>
          </w:r>
          <w:r>
            <w:rPr>
              <w:noProof/>
            </w:rPr>
          </w:r>
          <w:r>
            <w:rPr>
              <w:noProof/>
            </w:rPr>
            <w:fldChar w:fldCharType="separate"/>
          </w:r>
          <w:r>
            <w:rPr>
              <w:noProof/>
            </w:rPr>
            <w:t>8</w:t>
          </w:r>
          <w:r>
            <w:rPr>
              <w:noProof/>
            </w:rPr>
            <w:fldChar w:fldCharType="end"/>
          </w:r>
        </w:p>
        <w:p w14:paraId="2670563E" w14:textId="1E10DEDA" w:rsidR="001F7F82" w:rsidRDefault="001F7F82">
          <w:pPr>
            <w:pStyle w:val="TOC2"/>
            <w:rPr>
              <w:rFonts w:asciiTheme="minorHAnsi" w:eastAsiaTheme="minorEastAsia" w:hAnsiTheme="minorHAnsi" w:cstheme="minorBidi"/>
              <w:noProof/>
              <w:kern w:val="2"/>
              <w:sz w:val="22"/>
              <w:lang w:val="en-US"/>
              <w14:ligatures w14:val="standardContextual"/>
            </w:rPr>
          </w:pPr>
          <w:r w:rsidRPr="005F3111">
            <w:rPr>
              <w:rFonts w:cs="Times New Roman"/>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sz w:val="22"/>
              <w:lang w:val="en-US"/>
              <w14:ligatures w14:val="standardContextual"/>
            </w:rPr>
            <w:tab/>
          </w:r>
          <w:r>
            <w:rPr>
              <w:noProof/>
            </w:rPr>
            <w:t>Prevádzková brzda</w:t>
          </w:r>
          <w:r>
            <w:rPr>
              <w:noProof/>
            </w:rPr>
            <w:tab/>
          </w:r>
          <w:r>
            <w:rPr>
              <w:noProof/>
            </w:rPr>
            <w:fldChar w:fldCharType="begin"/>
          </w:r>
          <w:r>
            <w:rPr>
              <w:noProof/>
            </w:rPr>
            <w:instrText xml:space="preserve"> PAGEREF _Toc135047000 \h </w:instrText>
          </w:r>
          <w:r>
            <w:rPr>
              <w:noProof/>
            </w:rPr>
          </w:r>
          <w:r>
            <w:rPr>
              <w:noProof/>
            </w:rPr>
            <w:fldChar w:fldCharType="separate"/>
          </w:r>
          <w:r>
            <w:rPr>
              <w:noProof/>
            </w:rPr>
            <w:t>8</w:t>
          </w:r>
          <w:r>
            <w:rPr>
              <w:noProof/>
            </w:rPr>
            <w:fldChar w:fldCharType="end"/>
          </w:r>
        </w:p>
        <w:p w14:paraId="3EA96031" w14:textId="6A0A3183" w:rsidR="001F7F82" w:rsidRDefault="001F7F82">
          <w:pPr>
            <w:pStyle w:val="TOC2"/>
            <w:rPr>
              <w:rFonts w:asciiTheme="minorHAnsi" w:eastAsiaTheme="minorEastAsia" w:hAnsiTheme="minorHAnsi" w:cstheme="minorBidi"/>
              <w:noProof/>
              <w:kern w:val="2"/>
              <w:sz w:val="22"/>
              <w:lang w:val="en-US"/>
              <w14:ligatures w14:val="standardContextual"/>
            </w:rPr>
          </w:pPr>
          <w:r w:rsidRPr="005F3111">
            <w:rPr>
              <w:rFonts w:cs="Times New Roman"/>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sz w:val="22"/>
              <w:lang w:val="en-US"/>
              <w14:ligatures w14:val="standardContextual"/>
            </w:rPr>
            <w:tab/>
          </w:r>
          <w:r>
            <w:rPr>
              <w:noProof/>
            </w:rPr>
            <w:t>Svetlá</w:t>
          </w:r>
          <w:r>
            <w:rPr>
              <w:noProof/>
            </w:rPr>
            <w:tab/>
          </w:r>
          <w:r>
            <w:rPr>
              <w:noProof/>
            </w:rPr>
            <w:fldChar w:fldCharType="begin"/>
          </w:r>
          <w:r>
            <w:rPr>
              <w:noProof/>
            </w:rPr>
            <w:instrText xml:space="preserve"> PAGEREF _Toc135047001 \h </w:instrText>
          </w:r>
          <w:r>
            <w:rPr>
              <w:noProof/>
            </w:rPr>
          </w:r>
          <w:r>
            <w:rPr>
              <w:noProof/>
            </w:rPr>
            <w:fldChar w:fldCharType="separate"/>
          </w:r>
          <w:r>
            <w:rPr>
              <w:noProof/>
            </w:rPr>
            <w:t>9</w:t>
          </w:r>
          <w:r>
            <w:rPr>
              <w:noProof/>
            </w:rPr>
            <w:fldChar w:fldCharType="end"/>
          </w:r>
        </w:p>
        <w:p w14:paraId="02DC0AB7" w14:textId="244A3CBB" w:rsidR="001F7F82" w:rsidRDefault="001F7F82">
          <w:pPr>
            <w:pStyle w:val="TOC2"/>
            <w:rPr>
              <w:rFonts w:asciiTheme="minorHAnsi" w:eastAsiaTheme="minorEastAsia" w:hAnsiTheme="minorHAnsi" w:cstheme="minorBidi"/>
              <w:noProof/>
              <w:kern w:val="2"/>
              <w:sz w:val="22"/>
              <w:lang w:val="en-US"/>
              <w14:ligatures w14:val="standardContextual"/>
            </w:rPr>
          </w:pPr>
          <w:r w:rsidRPr="005F3111">
            <w:rPr>
              <w:rFonts w:cs="Times New Roman"/>
              <w:noProof/>
              <w14:scene3d>
                <w14:camera w14:prst="orthographicFront"/>
                <w14:lightRig w14:rig="threePt" w14:dir="t">
                  <w14:rot w14:lat="0" w14:lon="0" w14:rev="0"/>
                </w14:lightRig>
              </w14:scene3d>
            </w:rPr>
            <w:t>7.4</w:t>
          </w:r>
          <w:r>
            <w:rPr>
              <w:rFonts w:asciiTheme="minorHAnsi" w:eastAsiaTheme="minorEastAsia" w:hAnsiTheme="minorHAnsi" w:cstheme="minorBidi"/>
              <w:noProof/>
              <w:kern w:val="2"/>
              <w:sz w:val="22"/>
              <w:lang w:val="en-US"/>
              <w14:ligatures w14:val="standardContextual"/>
            </w:rPr>
            <w:tab/>
          </w:r>
          <w:r>
            <w:rPr>
              <w:noProof/>
            </w:rPr>
            <w:t>Odrazové sklá</w:t>
          </w:r>
          <w:r>
            <w:rPr>
              <w:noProof/>
            </w:rPr>
            <w:tab/>
          </w:r>
          <w:r>
            <w:rPr>
              <w:noProof/>
            </w:rPr>
            <w:fldChar w:fldCharType="begin"/>
          </w:r>
          <w:r>
            <w:rPr>
              <w:noProof/>
            </w:rPr>
            <w:instrText xml:space="preserve"> PAGEREF _Toc135047002 \h </w:instrText>
          </w:r>
          <w:r>
            <w:rPr>
              <w:noProof/>
            </w:rPr>
          </w:r>
          <w:r>
            <w:rPr>
              <w:noProof/>
            </w:rPr>
            <w:fldChar w:fldCharType="separate"/>
          </w:r>
          <w:r>
            <w:rPr>
              <w:noProof/>
            </w:rPr>
            <w:t>9</w:t>
          </w:r>
          <w:r>
            <w:rPr>
              <w:noProof/>
            </w:rPr>
            <w:fldChar w:fldCharType="end"/>
          </w:r>
        </w:p>
        <w:p w14:paraId="4E93AE40" w14:textId="191A6EF8" w:rsidR="001F7F82" w:rsidRDefault="001F7F82">
          <w:pPr>
            <w:pStyle w:val="TOC2"/>
            <w:rPr>
              <w:rFonts w:asciiTheme="minorHAnsi" w:eastAsiaTheme="minorEastAsia" w:hAnsiTheme="minorHAnsi" w:cstheme="minorBidi"/>
              <w:noProof/>
              <w:kern w:val="2"/>
              <w:sz w:val="22"/>
              <w:lang w:val="en-US"/>
              <w14:ligatures w14:val="standardContextual"/>
            </w:rPr>
          </w:pPr>
          <w:r w:rsidRPr="005F3111">
            <w:rPr>
              <w:rFonts w:cs="Times New Roman"/>
              <w:noProof/>
              <w14:scene3d>
                <w14:camera w14:prst="orthographicFront"/>
                <w14:lightRig w14:rig="threePt" w14:dir="t">
                  <w14:rot w14:lat="0" w14:lon="0" w14:rev="0"/>
                </w14:lightRig>
              </w14:scene3d>
            </w:rPr>
            <w:t>7.5</w:t>
          </w:r>
          <w:r>
            <w:rPr>
              <w:rFonts w:asciiTheme="minorHAnsi" w:eastAsiaTheme="minorEastAsia" w:hAnsiTheme="minorHAnsi" w:cstheme="minorBidi"/>
              <w:noProof/>
              <w:kern w:val="2"/>
              <w:sz w:val="22"/>
              <w:lang w:val="en-US"/>
              <w14:ligatures w14:val="standardContextual"/>
            </w:rPr>
            <w:tab/>
          </w:r>
          <w:r>
            <w:rPr>
              <w:noProof/>
            </w:rPr>
            <w:t>Zvukové výstražné zariadenie</w:t>
          </w:r>
          <w:r>
            <w:rPr>
              <w:noProof/>
            </w:rPr>
            <w:tab/>
          </w:r>
          <w:r>
            <w:rPr>
              <w:noProof/>
            </w:rPr>
            <w:fldChar w:fldCharType="begin"/>
          </w:r>
          <w:r>
            <w:rPr>
              <w:noProof/>
            </w:rPr>
            <w:instrText xml:space="preserve"> PAGEREF _Toc135047003 \h </w:instrText>
          </w:r>
          <w:r>
            <w:rPr>
              <w:noProof/>
            </w:rPr>
          </w:r>
          <w:r>
            <w:rPr>
              <w:noProof/>
            </w:rPr>
            <w:fldChar w:fldCharType="separate"/>
          </w:r>
          <w:r>
            <w:rPr>
              <w:noProof/>
            </w:rPr>
            <w:t>9</w:t>
          </w:r>
          <w:r>
            <w:rPr>
              <w:noProof/>
            </w:rPr>
            <w:fldChar w:fldCharType="end"/>
          </w:r>
        </w:p>
        <w:p w14:paraId="1290A7B2" w14:textId="2F68C9AD" w:rsidR="001F7F82" w:rsidRDefault="001F7F82">
          <w:pPr>
            <w:pStyle w:val="TOC1"/>
            <w:rPr>
              <w:rFonts w:asciiTheme="minorHAnsi" w:eastAsiaTheme="minorEastAsia" w:hAnsiTheme="minorHAnsi" w:cstheme="minorBidi"/>
              <w:kern w:val="2"/>
              <w:sz w:val="22"/>
              <w:lang w:val="en-US"/>
              <w14:ligatures w14:val="standardContextual"/>
            </w:rPr>
          </w:pPr>
          <w:r>
            <w:t>8</w:t>
          </w:r>
          <w:r>
            <w:rPr>
              <w:rFonts w:asciiTheme="minorHAnsi" w:eastAsiaTheme="minorEastAsia" w:hAnsiTheme="minorHAnsi" w:cstheme="minorBidi"/>
              <w:kern w:val="2"/>
              <w:sz w:val="22"/>
              <w:lang w:val="en-US"/>
              <w14:ligatures w14:val="standardContextual"/>
            </w:rPr>
            <w:tab/>
          </w:r>
          <w:r>
            <w:t>LIMITNÉ HODNOTY HLUKU A EMISIÍ PRE TYPOVÉ SCHVAĽOVANIE BICYKLOV A ĽAHKÝCH AUTONÓMNYCH VOZIDIEL NA PREPRAVU TOVARU, ELEKTRICKÝCH VOZIDIEL A INDIVIDUÁLNE VYRÁBANÝCH BICYKLOV VYBAVENÝCH MOTOROM</w:t>
          </w:r>
          <w:r>
            <w:tab/>
          </w:r>
          <w:r>
            <w:fldChar w:fldCharType="begin"/>
          </w:r>
          <w:r>
            <w:instrText xml:space="preserve"> PAGEREF _Toc135047004 \h </w:instrText>
          </w:r>
          <w:r>
            <w:fldChar w:fldCharType="separate"/>
          </w:r>
          <w:r>
            <w:t>10</w:t>
          </w:r>
          <w:r>
            <w:fldChar w:fldCharType="end"/>
          </w:r>
        </w:p>
        <w:p w14:paraId="527E04FF" w14:textId="44634698" w:rsidR="001F7F82" w:rsidRDefault="001F7F82">
          <w:pPr>
            <w:pStyle w:val="TOC1"/>
            <w:rPr>
              <w:rFonts w:asciiTheme="minorHAnsi" w:eastAsiaTheme="minorEastAsia" w:hAnsiTheme="minorHAnsi" w:cstheme="minorBidi"/>
              <w:kern w:val="2"/>
              <w:sz w:val="22"/>
              <w:lang w:val="en-US"/>
              <w14:ligatures w14:val="standardContextual"/>
            </w:rPr>
          </w:pPr>
          <w:r>
            <w:t>9</w:t>
          </w:r>
          <w:r>
            <w:rPr>
              <w:rFonts w:asciiTheme="minorHAnsi" w:eastAsiaTheme="minorEastAsia" w:hAnsiTheme="minorHAnsi" w:cstheme="minorBidi"/>
              <w:kern w:val="2"/>
              <w:sz w:val="22"/>
              <w:lang w:val="en-US"/>
              <w14:ligatures w14:val="standardContextual"/>
            </w:rPr>
            <w:tab/>
          </w:r>
          <w:r>
            <w:t>ZHODA PRISŤAHOVANÝCH VOZIDIEL A NIEKTORÝCH INÝCH VOZIDIEL</w:t>
          </w:r>
          <w:r>
            <w:tab/>
          </w:r>
          <w:r>
            <w:fldChar w:fldCharType="begin"/>
          </w:r>
          <w:r>
            <w:instrText xml:space="preserve"> PAGEREF _Toc135047005 \h </w:instrText>
          </w:r>
          <w:r>
            <w:fldChar w:fldCharType="separate"/>
          </w:r>
          <w:r>
            <w:t>10</w:t>
          </w:r>
          <w:r>
            <w:fldChar w:fldCharType="end"/>
          </w:r>
        </w:p>
        <w:p w14:paraId="4792805B" w14:textId="78F67390" w:rsidR="001F7F82" w:rsidRDefault="001F7F82">
          <w:pPr>
            <w:pStyle w:val="TOC1"/>
            <w:rPr>
              <w:rFonts w:asciiTheme="minorHAnsi" w:eastAsiaTheme="minorEastAsia" w:hAnsiTheme="minorHAnsi" w:cstheme="minorBidi"/>
              <w:kern w:val="2"/>
              <w:sz w:val="22"/>
              <w:lang w:val="en-US"/>
              <w14:ligatures w14:val="standardContextual"/>
            </w:rPr>
          </w:pPr>
          <w:r w:rsidRPr="001F7F82">
            <w:rPr>
              <w:color w:val="000000"/>
            </w:rPr>
            <w:t>Príloha</w:t>
          </w:r>
          <w:r w:rsidRPr="001F7F82">
            <w:rPr>
              <w:color w:val="000000"/>
            </w:rPr>
            <w:t xml:space="preserve"> </w:t>
          </w:r>
          <w:r w:rsidRPr="005F3111">
            <w:rPr>
              <w:color w:val="000000"/>
            </w:rPr>
            <w:t>1</w:t>
          </w:r>
          <w:r>
            <w:rPr>
              <w:rFonts w:asciiTheme="minorHAnsi" w:eastAsiaTheme="minorEastAsia" w:hAnsiTheme="minorHAnsi" w:cstheme="minorBidi"/>
              <w:kern w:val="2"/>
              <w:sz w:val="22"/>
              <w:lang w:val="en-US"/>
              <w14:ligatures w14:val="standardContextual"/>
            </w:rPr>
            <w:tab/>
          </w:r>
          <w:r>
            <w:t>Vnútroštátne výnimky týkajúce sa vozidiel kategórie L</w:t>
          </w:r>
          <w:r>
            <w:tab/>
          </w:r>
          <w:r>
            <w:fldChar w:fldCharType="begin"/>
          </w:r>
          <w:r>
            <w:instrText xml:space="preserve"> PAGEREF _Toc135047006 \h </w:instrText>
          </w:r>
          <w:r>
            <w:fldChar w:fldCharType="separate"/>
          </w:r>
          <w:r>
            <w:t>11</w:t>
          </w:r>
          <w:r>
            <w:fldChar w:fldCharType="end"/>
          </w:r>
        </w:p>
        <w:p w14:paraId="70E450DF" w14:textId="5A52F51B" w:rsidR="00D32EE1" w:rsidRDefault="00DC3497" w:rsidP="009A7A61">
          <w:pPr>
            <w:pStyle w:val="TOC1"/>
          </w:pPr>
          <w:r>
            <w:fldChar w:fldCharType="end"/>
          </w:r>
        </w:p>
      </w:sdtContent>
    </w:sdt>
    <w:p w14:paraId="70E450E0" w14:textId="4936EEFE" w:rsidR="006728BE" w:rsidRPr="00F21BCF" w:rsidRDefault="00767E10" w:rsidP="00767E10">
      <w:pPr>
        <w:pStyle w:val="TrafiAsiaotsikko"/>
        <w:tabs>
          <w:tab w:val="left" w:pos="3023"/>
        </w:tabs>
        <w:rPr>
          <w:b w:val="0"/>
          <w:bCs/>
          <w:noProof/>
          <w:szCs w:val="20"/>
        </w:rPr>
      </w:pPr>
      <w:r>
        <w:tab/>
      </w:r>
      <w:r>
        <w:br/>
      </w:r>
    </w:p>
    <w:p w14:paraId="70E450E1" w14:textId="78481C25" w:rsidR="007E1100" w:rsidRDefault="00B357E0" w:rsidP="004F1FFD">
      <w:pPr>
        <w:pStyle w:val="Heading1"/>
      </w:pPr>
      <w:bookmarkStart w:id="0" w:name="_Toc135046971"/>
      <w:r>
        <w:t>Všeobecné ustanovenia</w:t>
      </w:r>
      <w:bookmarkEnd w:id="0"/>
    </w:p>
    <w:p w14:paraId="14369FCD" w14:textId="7FAFA37C" w:rsidR="00B357E0" w:rsidRDefault="00B357E0" w:rsidP="00B357E0">
      <w:pPr>
        <w:pStyle w:val="Heading2"/>
      </w:pPr>
      <w:bookmarkStart w:id="1" w:name="_Toc135046972"/>
      <w:r>
        <w:t>Účel nariadenia</w:t>
      </w:r>
      <w:bookmarkEnd w:id="1"/>
    </w:p>
    <w:p w14:paraId="0E9D2F07" w14:textId="3835BB31" w:rsidR="00B357E0" w:rsidRPr="00B357E0" w:rsidRDefault="00B357E0" w:rsidP="00B357E0">
      <w:pPr>
        <w:pStyle w:val="BodyText"/>
      </w:pPr>
      <w:r>
        <w:t>Fínska agentúra pre bezpečnosť dopravy týmto nariadením v súlade so zákonom o vozidlách (82/2021) vydáva:</w:t>
      </w:r>
    </w:p>
    <w:p w14:paraId="3F21D1D2" w14:textId="7D9F07F0" w:rsidR="00B357E0" w:rsidRPr="00B357E0" w:rsidRDefault="003A0EA8" w:rsidP="003A0EA8">
      <w:pPr>
        <w:pStyle w:val="BodyText"/>
        <w:numPr>
          <w:ilvl w:val="0"/>
          <w:numId w:val="22"/>
        </w:numPr>
      </w:pPr>
      <w:r>
        <w:t>ustanovenia uvedené v oddiele 13 pododdiele 3 týkajúce sa požiadaviek na konštrukciu, vlastnosti, ovládacie zariadenia a vybavenie dvoj- a trojkolesových motorových vozidiel, štvorkoliek, ich prípojných vozidiel a ľahkých elektrických vozidiel, požiadaviek na identifikačné číslo vozidla a štítok výrobcu a systémy, komponenty, samostatné technické jednotky, časti a vybavenie;</w:t>
      </w:r>
    </w:p>
    <w:p w14:paraId="0F7B3A90" w14:textId="6E3AF6A0" w:rsidR="00B357E0" w:rsidRPr="00B357E0" w:rsidRDefault="00F21BCF" w:rsidP="003A0EA8">
      <w:pPr>
        <w:pStyle w:val="BodyText"/>
        <w:numPr>
          <w:ilvl w:val="0"/>
          <w:numId w:val="22"/>
        </w:numPr>
      </w:pPr>
      <w:r>
        <w:t>podrobnejšie ustanovenia uvedené v oddiele 16 týkajúce sa technických požiadaviek na komponenty a vlastnosti v súvislosti s obmedzením vplyvu vozidiel kategórie L na energiu a životné prostredie;</w:t>
      </w:r>
    </w:p>
    <w:p w14:paraId="05824E8E" w14:textId="12591CD2" w:rsidR="00B357E0" w:rsidRPr="00B357E0" w:rsidRDefault="008522A5" w:rsidP="003A0EA8">
      <w:pPr>
        <w:pStyle w:val="BodyText"/>
        <w:numPr>
          <w:ilvl w:val="0"/>
          <w:numId w:val="22"/>
        </w:numPr>
      </w:pPr>
      <w:r>
        <w:t>podrobnejšie ustanovenia uvedené v oddiele 49 týkajúce sa praktického vykonávania postupov, ktoré sa majú dodržiavať pri preukazovaní zhody v súvislosti s vnútroštátnymi typovými schváleniami malých sérií vozidiel kategórie L;</w:t>
      </w:r>
    </w:p>
    <w:p w14:paraId="730C3F73" w14:textId="04893C0A" w:rsidR="00B357E0" w:rsidRPr="00B357E0" w:rsidRDefault="005D7469" w:rsidP="003A0EA8">
      <w:pPr>
        <w:pStyle w:val="BodyText"/>
        <w:numPr>
          <w:ilvl w:val="0"/>
          <w:numId w:val="22"/>
        </w:numPr>
      </w:pPr>
      <w:r>
        <w:lastRenderedPageBreak/>
        <w:t>podrobnejšie ustanovenia uvedené v oddiele 139 pododdiele 5 týkajúce sa praktického vykonávania preukazovania zhody vozidla kategórie L počas kontroly pri registrácii vozidla;</w:t>
      </w:r>
    </w:p>
    <w:p w14:paraId="274EFE2E" w14:textId="77777777" w:rsidR="004E01F1" w:rsidRDefault="005D7469" w:rsidP="5803D006">
      <w:pPr>
        <w:pStyle w:val="BodyText"/>
        <w:numPr>
          <w:ilvl w:val="0"/>
          <w:numId w:val="22"/>
        </w:numPr>
      </w:pPr>
      <w:r>
        <w:t>podrobnejšie ustanovenia uvedené v oddiele 144 pododdiele 2 týkajúce sa praktického vykonávania preukazovania zhody vozidla kategórie L počas kontroly pri úprave vozidla;</w:t>
      </w:r>
    </w:p>
    <w:p w14:paraId="016CBC12" w14:textId="4C606F95" w:rsidR="00B357E0" w:rsidRPr="00B357E0" w:rsidRDefault="004E01F1" w:rsidP="004E01F1">
      <w:pPr>
        <w:pStyle w:val="BodyText"/>
        <w:numPr>
          <w:ilvl w:val="0"/>
          <w:numId w:val="22"/>
        </w:numPr>
      </w:pPr>
      <w:r>
        <w:t>podrobnejšie ustanovenia uvedené v oddiele 29 pododdiele 2 týkajúce sa rozmerov, hmotností, svetiel, odrazových skiel, zvukového výstražného zariadenia a bŕzd ľahkého autonómneho vozidla na prepravu tovaru.</w:t>
      </w:r>
    </w:p>
    <w:p w14:paraId="1BCBF1F0" w14:textId="72D69104" w:rsidR="00B357E0" w:rsidRDefault="00B357E0" w:rsidP="00B357E0">
      <w:pPr>
        <w:pStyle w:val="Heading2"/>
      </w:pPr>
      <w:bookmarkStart w:id="2" w:name="_Toc135046973"/>
      <w:r>
        <w:t>Rozsah pôsobnosti</w:t>
      </w:r>
      <w:bookmarkEnd w:id="2"/>
    </w:p>
    <w:p w14:paraId="7A0D3F14" w14:textId="40A71406" w:rsidR="00B357E0" w:rsidRDefault="00B357E0" w:rsidP="00B357E0">
      <w:pPr>
        <w:pStyle w:val="BodyText"/>
      </w:pPr>
      <w:r>
        <w:t>Toto nariadenie sa vzťahuje na vozidlá kategórie L a bicykle, ich prípojné vozidlá, ľahké elektrické vozidlá a ľahké autonómne vozidlá na prepravu tovaru.</w:t>
      </w:r>
    </w:p>
    <w:p w14:paraId="7DC83550" w14:textId="62CEBF06" w:rsidR="000A7446" w:rsidRDefault="008522A5" w:rsidP="000A7446">
      <w:pPr>
        <w:pStyle w:val="BodyText"/>
      </w:pPr>
      <w:r>
        <w:t>Toto nariadenie sa nevzťahuje na technické požiadavky a požiadavky na montáž signalizačných a výstražných svetiel, pracovných alebo pomocných svetiel, zvukových signalizačných zariadení pohotovostných vozidiel či odrazových skiel alebo označení určitých typov vozidiel. Toto nariadenie sa tiež nevzťahuje na pneumatiky s hrotmi ani na kombinované pneumatiky bez hrotov aj s hrotmi pre prípojné vozidlá vozidiel kategórie L.</w:t>
      </w:r>
    </w:p>
    <w:p w14:paraId="12DD8555" w14:textId="7D327682" w:rsidR="00B357E0" w:rsidRDefault="00B357E0" w:rsidP="00B357E0">
      <w:pPr>
        <w:pStyle w:val="Heading2"/>
      </w:pPr>
      <w:bookmarkStart w:id="3" w:name="_Toc135046974"/>
      <w:r>
        <w:t>Vymedzenie pojmov</w:t>
      </w:r>
      <w:bookmarkEnd w:id="3"/>
    </w:p>
    <w:p w14:paraId="13F955E9" w14:textId="4218C5C5" w:rsidR="009B3AE8" w:rsidRPr="009B3AE8" w:rsidRDefault="009B3AE8" w:rsidP="009B3AE8">
      <w:pPr>
        <w:pStyle w:val="BodyText"/>
      </w:pPr>
      <w:r>
        <w:t>Okrem vymedzenia pojmov uvedených v oddiele 2 zákona o vozidlách sa v tomto nariadení uplatňujú tieto vymedzenia pojmov:</w:t>
      </w:r>
    </w:p>
    <w:p w14:paraId="0FECE471" w14:textId="2F5806B9" w:rsidR="00E2317F" w:rsidRDefault="00E2317F" w:rsidP="009B3AE8">
      <w:pPr>
        <w:pStyle w:val="BodyText"/>
        <w:numPr>
          <w:ilvl w:val="0"/>
          <w:numId w:val="36"/>
        </w:numPr>
      </w:pPr>
      <w:r>
        <w:rPr>
          <w:i/>
        </w:rPr>
        <w:t xml:space="preserve">plánovaná prevádzková oblasť </w:t>
      </w:r>
      <w:r>
        <w:t>znamená prevádzkové podmienky, v ktorých je ľahké autonómne vozidlo na prepravu tovaru špeciálne navrhnuté na prevádzku a ktoré okrem iného zahŕňajú environmentálne, geografické a časové obmedzenia a/alebo vyžadujú alebo vylučujú určité dopravné alebo cestné podmienky;</w:t>
      </w:r>
    </w:p>
    <w:p w14:paraId="327470EB" w14:textId="53997B37" w:rsidR="002F6451" w:rsidRDefault="00FA7034" w:rsidP="009B3AE8">
      <w:pPr>
        <w:pStyle w:val="BodyText"/>
        <w:numPr>
          <w:ilvl w:val="0"/>
          <w:numId w:val="36"/>
        </w:numPr>
      </w:pPr>
      <w:r>
        <w:rPr>
          <w:i/>
        </w:rPr>
        <w:t xml:space="preserve">upravené individuálne vozidlo </w:t>
      </w:r>
      <w:r>
        <w:t>v zmysle oddielu 45 zákona o vozidlách znamená upravené individuálne vozidlo alebo vozidlo dovezené na účely používania v cestnej premávke.</w:t>
      </w:r>
    </w:p>
    <w:p w14:paraId="24952B8D" w14:textId="0BD15972" w:rsidR="00B357E0" w:rsidRDefault="00B357E0" w:rsidP="00B357E0">
      <w:pPr>
        <w:pStyle w:val="Heading1"/>
      </w:pPr>
      <w:bookmarkStart w:id="4" w:name="_Toc135046975"/>
      <w:r>
        <w:t>POŽIADAVKY V SÚLADE SO SMERNICAMI, NARIADENIAMI ES A EÚ, AKO AJ PREDPISMI EHK OSN</w:t>
      </w:r>
      <w:bookmarkEnd w:id="4"/>
    </w:p>
    <w:p w14:paraId="6B544EFE" w14:textId="77777777" w:rsidR="008522A5" w:rsidRDefault="00B357E0" w:rsidP="00B357E0">
      <w:pPr>
        <w:pStyle w:val="BodyText"/>
      </w:pPr>
      <w:r>
        <w:t xml:space="preserve">Vozidlá kategórie L a ich systémy, komponenty a samostatné technické jednotky musia v čase typového schválenia a pri prvom uvedení do prevádzky spĺňať požiadavky nariadenia Európskeho parlamentu a Rady (EÚ) č. 168/2013 o schvaľovaní a dohľade nad trhom dvoj- alebo trojkolesových vozidiel a štvorkoliek a požiadavky nariadení Komisie vydané na ich základe. </w:t>
      </w:r>
    </w:p>
    <w:p w14:paraId="65ABDABF" w14:textId="2B619369" w:rsidR="00B357E0" w:rsidRDefault="00B357E0" w:rsidP="00B357E0">
      <w:pPr>
        <w:pStyle w:val="BodyText"/>
      </w:pPr>
      <w:r>
        <w:t>Ak sa v smerniciach, nariadeniach ES, nariadeniach EÚ alebo predpisoch EHK OSN týkajúcich sa vozidiel kategórie L uvádza, že orgán udeľujúci typové schválenie môže udeliť výnimky z požiadaviek, rovnaké výnimky sa môžu uplatňovať aj pri kontrolách pri registrácii a pri úprave.</w:t>
      </w:r>
    </w:p>
    <w:p w14:paraId="0CF3BDBD" w14:textId="1B28AEA9" w:rsidR="00B357E0" w:rsidRDefault="00B357E0" w:rsidP="00B357E0">
      <w:pPr>
        <w:pStyle w:val="Heading1"/>
      </w:pPr>
      <w:bookmarkStart w:id="5" w:name="_Toc135046976"/>
      <w:r>
        <w:lastRenderedPageBreak/>
        <w:t>VNÚTROŠTÁTNE POŽIADAVKY TÝKAJÚCE SA VOZIDIEL KATEGÓRIE L</w:t>
      </w:r>
      <w:bookmarkEnd w:id="5"/>
    </w:p>
    <w:p w14:paraId="7DC2A1CC" w14:textId="671366D7" w:rsidR="00B357E0" w:rsidRDefault="00B357E0" w:rsidP="00B357E0">
      <w:pPr>
        <w:pStyle w:val="Heading2"/>
      </w:pPr>
      <w:bookmarkStart w:id="6" w:name="_Toc135046977"/>
      <w:r>
        <w:t>Výstražný trojuholník</w:t>
      </w:r>
      <w:bookmarkEnd w:id="6"/>
    </w:p>
    <w:p w14:paraId="2EC5FA68" w14:textId="565AD0F7" w:rsidR="00B357E0" w:rsidRDefault="00B357E0" w:rsidP="00B357E0">
      <w:pPr>
        <w:pStyle w:val="BodyText"/>
      </w:pPr>
      <w:r>
        <w:t>Výstražný trojuholník musí spĺňať požiadavky pôvodnej verzie alebo novšej série zmien predpisu EHK OSN č. 27.</w:t>
      </w:r>
    </w:p>
    <w:p w14:paraId="63782F4C" w14:textId="6E0D040F" w:rsidR="00B357E0" w:rsidRDefault="003D1B81" w:rsidP="00B357E0">
      <w:pPr>
        <w:pStyle w:val="BodyText"/>
      </w:pPr>
      <w:r>
        <w:t>Zhodu výstražného trojuholníka možno preukázať v súlade s metódou indikácie E uvedenou v prílohe 1.</w:t>
      </w:r>
    </w:p>
    <w:p w14:paraId="36349928" w14:textId="572E1A69" w:rsidR="00B357E0" w:rsidRDefault="00B357E0" w:rsidP="00B357E0">
      <w:pPr>
        <w:pStyle w:val="Heading2"/>
      </w:pPr>
      <w:bookmarkStart w:id="7" w:name="_Toc135046978"/>
      <w:r>
        <w:t>Značka pre pomalé vozidlo</w:t>
      </w:r>
      <w:bookmarkEnd w:id="7"/>
    </w:p>
    <w:p w14:paraId="1AE452C6" w14:textId="0EF39AD4" w:rsidR="00B357E0" w:rsidRDefault="00623B6F" w:rsidP="00B357E0">
      <w:pPr>
        <w:pStyle w:val="BodyText"/>
      </w:pPr>
      <w:r>
        <w:t>Značka pre pomalé vozidlo v zmysle oddielu 103 zákona o cestnej premávke (729/2018) musí byť umiestnená v strede alebo na ľavej strane pozdĺžnej osi vozidla a smerovať dozadu s odchýlkou najviac 10°. Jeden roh značky musí smerovať nahor a pri meraní od spodného okraja by značka mala byť vo výške aspoň 0,25 metra a najviac 1,50 metra od zeme. Značka nesmie horizontálne ani vertikálne presahovať vonkajšie rozmery vozidla a nesmie ani čiastočne zakrývať povinné svetlo, odrazové sklo či tabuľku s evidenčným číslom. Značka musí spĺňať požiadavky série zmien 01 alebo novšej série zmien predpisu EHK OSN č. 69.</w:t>
      </w:r>
    </w:p>
    <w:p w14:paraId="44483518" w14:textId="3CAAF1D4" w:rsidR="00B357E0" w:rsidRDefault="003D1B81" w:rsidP="00B357E0">
      <w:pPr>
        <w:pStyle w:val="BodyText"/>
      </w:pPr>
      <w:r>
        <w:t>Zhodu značky možno preukázať v súlade s metódou indikácie E uvedenou v prílohe 1.</w:t>
      </w:r>
    </w:p>
    <w:p w14:paraId="2129B848" w14:textId="6AC078AF" w:rsidR="00B357E0" w:rsidRDefault="00B357E0" w:rsidP="00B357E0">
      <w:pPr>
        <w:pStyle w:val="Heading2"/>
      </w:pPr>
      <w:bookmarkStart w:id="8" w:name="_Toc135046979"/>
      <w:r>
        <w:t>Ochranná prilba</w:t>
      </w:r>
      <w:bookmarkEnd w:id="8"/>
    </w:p>
    <w:p w14:paraId="588F5E79" w14:textId="6817DE53" w:rsidR="00B357E0" w:rsidRDefault="00B357E0" w:rsidP="00B357E0">
      <w:pPr>
        <w:pStyle w:val="BodyText"/>
      </w:pPr>
      <w:r>
        <w:t>Schválené typy ochranných prilieb uvedené v oddiele 92 zákona o cestnej premávke (729/2018) sú prilby typovo schválené v súlade so sériou zmien 04 alebo novšou sériou zmien predpisu EHK OSN č. 22, ako aj prilby, ktoré spĺňajú požiadavky normy FMVSS 218.</w:t>
      </w:r>
    </w:p>
    <w:p w14:paraId="2E3DE228" w14:textId="568FCB13" w:rsidR="00BE2AE8" w:rsidRPr="00BE2AE8" w:rsidRDefault="00BE2AE8" w:rsidP="00BE2AE8">
      <w:pPr>
        <w:pStyle w:val="Heading2"/>
        <w:ind w:left="993" w:hanging="993"/>
      </w:pPr>
      <w:bookmarkStart w:id="9" w:name="_Toc135046980"/>
      <w:r>
        <w:t>Strešné svetlo taxislužby</w:t>
      </w:r>
      <w:bookmarkEnd w:id="9"/>
    </w:p>
    <w:p w14:paraId="76B914A1" w14:textId="1719F4C5" w:rsidR="00BE2AE8" w:rsidRDefault="00BE2AE8" w:rsidP="00BE2AE8">
      <w:pPr>
        <w:pStyle w:val="BodyText"/>
      </w:pPr>
      <w:r>
        <w:t>Ustanovenia týkajúce sa strešných svetiel taxislužby vozidiel kategórie M a N stanovené v zákone o vozidlách sa vzťahujú na strešné svetlá taxislužby.</w:t>
      </w:r>
    </w:p>
    <w:p w14:paraId="6D7A80B9" w14:textId="77777777" w:rsidR="00A20326" w:rsidRDefault="00A20326" w:rsidP="008B1443">
      <w:pPr>
        <w:pStyle w:val="Heading2"/>
        <w:ind w:left="993" w:hanging="993"/>
      </w:pPr>
      <w:bookmarkStart w:id="10" w:name="_Toc135046981"/>
      <w:r>
        <w:t>Taxameter</w:t>
      </w:r>
      <w:bookmarkEnd w:id="10"/>
    </w:p>
    <w:p w14:paraId="0FA92CE6" w14:textId="77777777" w:rsidR="00A20326" w:rsidRDefault="00A20326" w:rsidP="00A20326">
      <w:pPr>
        <w:pStyle w:val="BodyText"/>
      </w:pPr>
      <w:r>
        <w:t>Na taxametre sa vzťahujú ustanovenia o taxametroch vozidiel kategórie M a N stanovené v zákone o vozidlách.</w:t>
      </w:r>
    </w:p>
    <w:p w14:paraId="1CC856F7" w14:textId="77777777" w:rsidR="00A20326" w:rsidRDefault="00A20326" w:rsidP="00B357E0">
      <w:pPr>
        <w:pStyle w:val="BodyText"/>
      </w:pPr>
    </w:p>
    <w:p w14:paraId="563DE97F" w14:textId="5407200D" w:rsidR="00B357E0" w:rsidRDefault="00B357E0" w:rsidP="00B357E0">
      <w:pPr>
        <w:pStyle w:val="Heading1"/>
      </w:pPr>
      <w:bookmarkStart w:id="11" w:name="_Toc135046982"/>
      <w:r>
        <w:t>BICYKEL</w:t>
      </w:r>
      <w:bookmarkEnd w:id="11"/>
    </w:p>
    <w:p w14:paraId="2033998F" w14:textId="03CF6D05" w:rsidR="00B357E0" w:rsidRDefault="00B357E0" w:rsidP="00B357E0">
      <w:pPr>
        <w:pStyle w:val="Heading2"/>
      </w:pPr>
      <w:bookmarkStart w:id="12" w:name="_Toc135046983"/>
      <w:r>
        <w:t>Všeobecné bezpečnostné požiadavky</w:t>
      </w:r>
      <w:bookmarkEnd w:id="12"/>
    </w:p>
    <w:p w14:paraId="239C6C2B" w14:textId="77777777" w:rsidR="00D05872" w:rsidRDefault="00B357E0" w:rsidP="00E22EFD">
      <w:pPr>
        <w:pStyle w:val="BodyText"/>
      </w:pPr>
      <w:r>
        <w:t>Pokiaľ ide o požiadavky uvedené v oddiele 13 pododdiele 1 zákona o vozidlách (82/2021), bicykel s výškou sedadla 0,635 metra, iný ako upravený alebo jednotlivo dovezený, musí spĺňať požiadavky európskych noriem pre výrobky vypracovaných na podporu smernice 2001/95/ES Európskeho parlamentu a Rady o všeobecnej bezpečnosti výrobkov.</w:t>
      </w:r>
    </w:p>
    <w:p w14:paraId="5FB42BFE" w14:textId="506AA7EC" w:rsidR="00E22EFD" w:rsidRDefault="00E22EFD" w:rsidP="00E22EFD">
      <w:pPr>
        <w:pStyle w:val="BodyText"/>
      </w:pPr>
      <w:r>
        <w:t>Odchylne od vyššie uvedených noriem však jednorýchlostný bicykel, ktorý nie je určený na prepravu spolujazdca alebo ťahanie prípojného vozidla, nemusí byť vybavený viac ako jedným brzdovým zariadením.</w:t>
      </w:r>
    </w:p>
    <w:p w14:paraId="629DE0D8" w14:textId="1BC8685E" w:rsidR="00B357E0" w:rsidRDefault="00B357E0" w:rsidP="00B357E0">
      <w:pPr>
        <w:pStyle w:val="Heading2"/>
      </w:pPr>
      <w:bookmarkStart w:id="13" w:name="_Toc135046984"/>
      <w:r>
        <w:lastRenderedPageBreak/>
        <w:t>Odrazové sklá</w:t>
      </w:r>
      <w:bookmarkEnd w:id="13"/>
    </w:p>
    <w:p w14:paraId="52E5E14D" w14:textId="6FEB214A" w:rsidR="00E808E0" w:rsidRDefault="00B357E0" w:rsidP="00B357E0">
      <w:pPr>
        <w:pStyle w:val="BodyText"/>
      </w:pPr>
      <w:r>
        <w:t>Bicykel musí mať predné a zadné odrazové sklá, ako aj bočné odrazové sklá. Bočné odrazové sklá musia byť na oboch stranách prednej aj zadnej časti bicykla.</w:t>
      </w:r>
    </w:p>
    <w:p w14:paraId="4D72BD23" w14:textId="4D716288" w:rsidR="00B357E0" w:rsidRDefault="00B357E0" w:rsidP="00B357E0">
      <w:pPr>
        <w:pStyle w:val="BodyText"/>
      </w:pPr>
      <w:r>
        <w:t>Predné odrazové sklá musia byť biele, zadné odrazové sklá červené a bočné odrazové sklá by mali byť biele alebo oranžové.</w:t>
      </w:r>
    </w:p>
    <w:p w14:paraId="7CC08C53" w14:textId="1C053F24" w:rsidR="009D0431" w:rsidRDefault="00B357E0" w:rsidP="009D0431">
      <w:pPr>
        <w:pStyle w:val="BodyText"/>
      </w:pPr>
      <w:r>
        <w:t>Predné a zadné odrazové sklá musia byť vo výške aspoň 0,30 metra a najviac 1,20 metra od vozovky.</w:t>
      </w:r>
    </w:p>
    <w:p w14:paraId="781FB8E9" w14:textId="6B745346" w:rsidR="00A7590C" w:rsidRDefault="00B357E0" w:rsidP="00B357E0">
      <w:pPr>
        <w:pStyle w:val="BodyText"/>
      </w:pPr>
      <w:r>
        <w:t>Predné, bočné a zadné odrazové sklá musia spĺňať buď požiadavky smernice 76/757/EHS zmenenej smernicou 97/29/ES pre triedy IA, IB alebo IV A, požiadavky série zmien 02 alebo novšej série zmien predpisu EHK OSN č. 3, alebo požiadavky normy SFS ISO 6742-2 alebo jej následnej verzie platnej v čase nadobudnutia účinnosti tohto nariadenia.</w:t>
      </w:r>
    </w:p>
    <w:p w14:paraId="3DA4786B" w14:textId="0617B832" w:rsidR="00B357E0" w:rsidRDefault="00B357E0" w:rsidP="00B357E0">
      <w:pPr>
        <w:pStyle w:val="BodyText"/>
      </w:pPr>
      <w:r>
        <w:t>Bočným odrazovým sklom môže byť tiež retroreflexívna pneumatika s farbou a odrazivosťou, ktoré spĺňajú požiadavky predpisu EHK OSN č. 88, alebo namontované odrazové sklo typu 3, ktoré spĺňa normu SFS-EN 13356:2001. Bicykel môže byť vybavený oranžovými pedálovými odrazovými sklami.</w:t>
      </w:r>
    </w:p>
    <w:p w14:paraId="69AC82CD" w14:textId="68B256FA" w:rsidR="00B357E0" w:rsidRDefault="00B357E0" w:rsidP="00B357E0">
      <w:pPr>
        <w:pStyle w:val="BodyText"/>
      </w:pPr>
      <w:r>
        <w:t>Bicykel môže byť vybavený ďalšími odrazovými sklami a reflexnými prvkami, pokiaľ neznižujú účinnosť povinných a signalizačných svetiel.</w:t>
      </w:r>
    </w:p>
    <w:p w14:paraId="1A22DBD3" w14:textId="78395933" w:rsidR="00B357E0" w:rsidRDefault="00B357E0" w:rsidP="00B357E0">
      <w:pPr>
        <w:pStyle w:val="BodyText"/>
      </w:pPr>
      <w:r>
        <w:t>Pokiaľ ide o odrazové sklá na bicykli a ich montáž, môžu sa alternatívne použiť aj požiadavky na moped alebo bicykel vybavený motorom kategórie L1e–A.</w:t>
      </w:r>
    </w:p>
    <w:p w14:paraId="4657EFF7" w14:textId="7FE2CA40" w:rsidR="00B357E0" w:rsidRDefault="00B357E0" w:rsidP="00B357E0">
      <w:pPr>
        <w:pStyle w:val="Heading2"/>
      </w:pPr>
      <w:bookmarkStart w:id="14" w:name="_Toc135046985"/>
      <w:r>
        <w:t>Svetlá</w:t>
      </w:r>
      <w:bookmarkEnd w:id="14"/>
    </w:p>
    <w:p w14:paraId="004DEC31" w14:textId="23459541" w:rsidR="006C5F64" w:rsidRDefault="00F92942" w:rsidP="006C5F64">
      <w:pPr>
        <w:pStyle w:val="BodyText"/>
      </w:pPr>
      <w:r>
        <w:t>Bicykel môže byť vybavený bielym alebo žltým svetlom smerujúcim dopredu. Môže sa použiť viacero týchto svetiel.</w:t>
      </w:r>
    </w:p>
    <w:p w14:paraId="591E9322" w14:textId="191827A5" w:rsidR="00B357E0" w:rsidRDefault="00B357E0" w:rsidP="00B357E0">
      <w:pPr>
        <w:pStyle w:val="BodyText"/>
      </w:pPr>
      <w:r>
        <w:t>Bicykel môže byť vybavený jedným alebo viacerými červenými svetlami smerujúcimi dozadu. Umiestnenie týchto svetiel sa môže laterálne odchyľovať od osi bicykla.</w:t>
      </w:r>
    </w:p>
    <w:p w14:paraId="7E02F8FC" w14:textId="5CD37392" w:rsidR="00B357E0" w:rsidRDefault="00B357E0" w:rsidP="00B357E0">
      <w:pPr>
        <w:pStyle w:val="BodyText"/>
      </w:pPr>
      <w:r>
        <w:t>Bicykel môže byť vybavený dvomi žltými alebo oranžovými smerovými svetlami. Tieto smerové svetlá musia byť blikajúceho typu a namontované symetricky vzhľadom na pozdĺžnu os bicykla. Na bicykli môžu byť tiež namontované ďalšie dvojice žltých alebo oranžových bočných svetiel.</w:t>
      </w:r>
    </w:p>
    <w:p w14:paraId="5316C81E" w14:textId="61B1F130" w:rsidR="00B357E0" w:rsidRDefault="00B357E0" w:rsidP="00B357E0">
      <w:pPr>
        <w:pStyle w:val="BodyText"/>
      </w:pPr>
      <w:r>
        <w:t>Svetlá možno nahradiť svetlami, ktoré majú zodpovedajúce vlastnosti a pripevňujú sa na cyklistu.</w:t>
      </w:r>
    </w:p>
    <w:p w14:paraId="2C080862" w14:textId="1F0F41FE" w:rsidR="00B357E0" w:rsidRDefault="00B357E0" w:rsidP="00B357E0">
      <w:pPr>
        <w:pStyle w:val="BodyText"/>
      </w:pPr>
      <w:r>
        <w:t>Pokiaľ ide o svetlá na bicykli a ich montáž, môžu sa alternatívne použiť aj požiadavky na moped alebo bicykel vybavený motorom kategórie L1e-A.</w:t>
      </w:r>
    </w:p>
    <w:p w14:paraId="27637090" w14:textId="2DFDBB36" w:rsidR="003B6173" w:rsidRDefault="003B6173" w:rsidP="00FF25B6">
      <w:pPr>
        <w:pStyle w:val="Heading2"/>
      </w:pPr>
      <w:bookmarkStart w:id="15" w:name="_Toc135046986"/>
      <w:r>
        <w:t>Upravené individuálne vozidlo kategórie L1e-A</w:t>
      </w:r>
      <w:bookmarkEnd w:id="15"/>
    </w:p>
    <w:p w14:paraId="5C886238" w14:textId="19EBBCCB" w:rsidR="002F6DB4" w:rsidRPr="00CA13C1" w:rsidRDefault="002F6DB4">
      <w:pPr>
        <w:pStyle w:val="BodyText"/>
        <w:rPr>
          <w:rFonts w:cs="Verdana"/>
        </w:rPr>
      </w:pPr>
      <w:r>
        <w:t>Pri uvedení do prevádzky motorizovaného elektronického upraveného individuálneho bicykla triedy L1e-A alebo pri prestavbe iného vozidla na vozidlo triedy L1e-A je povolená možnosť, aby vozidlo spĺňalo požiadavky na bicykle. Odchylne od požiadaviek pre bicykel však musia mať vozidlá kategórie L1e-A vždy aspoň dve brzdové zariadenia, kombinovaný trvalý menovitý výkon elektromotorov nesmie celkovo presiahnuť 1 kW a elektromotory môžu bežať aj mimo pedálovania. Elektromotory sa vypnú pri dosiahnutí rýchlosti 25 km/h.</w:t>
      </w:r>
    </w:p>
    <w:p w14:paraId="4B365724" w14:textId="7ECCC0D8" w:rsidR="00B357E0" w:rsidRDefault="00B357E0" w:rsidP="00327422">
      <w:pPr>
        <w:pStyle w:val="Heading1"/>
      </w:pPr>
      <w:bookmarkStart w:id="16" w:name="_Toc135046987"/>
      <w:r>
        <w:lastRenderedPageBreak/>
        <w:t>PRÍPOJNÉ VOZIDLÁ VOZIDIEL KATEGÓRIE L A BICYKLOV</w:t>
      </w:r>
      <w:bookmarkEnd w:id="16"/>
    </w:p>
    <w:p w14:paraId="7EB9DB1D" w14:textId="71B54AFB" w:rsidR="00B357E0" w:rsidRDefault="00B357E0" w:rsidP="00327422">
      <w:pPr>
        <w:pStyle w:val="Heading2"/>
      </w:pPr>
      <w:bookmarkStart w:id="17" w:name="_Toc135046988"/>
      <w:r>
        <w:t>Pneumatiky</w:t>
      </w:r>
      <w:bookmarkEnd w:id="17"/>
    </w:p>
    <w:p w14:paraId="3B17DBF9" w14:textId="52159851" w:rsidR="00B357E0" w:rsidRDefault="00B357E0" w:rsidP="00B357E0">
      <w:pPr>
        <w:pStyle w:val="BodyText"/>
      </w:pPr>
      <w:r>
        <w:t>Pneumatiky prípojných vozidiel pre motocykle, trojkolky a štvorkolky, okrem protektorovaných pneumatík a pneumatík s hrotmi, musia byť typovo schválené v súlade so smernicou 92/23/EHS, sériou zmien 02 alebo novšou sériou zmien predpisu EHK OSN č. 30, alebo pôvodnou verziou či novšou sériou zmien predpisu EHK OSN č. 75, alebo musia spĺňať požiadavky normy FMVSS č. 109.</w:t>
      </w:r>
    </w:p>
    <w:p w14:paraId="1D5EC3CA" w14:textId="7520747D" w:rsidR="00B357E0" w:rsidRDefault="00B357E0" w:rsidP="00327422">
      <w:pPr>
        <w:pStyle w:val="Heading2"/>
      </w:pPr>
      <w:bookmarkStart w:id="18" w:name="_Toc135046989"/>
      <w:r>
        <w:t>Spojovacie zariadenia</w:t>
      </w:r>
      <w:bookmarkEnd w:id="18"/>
    </w:p>
    <w:p w14:paraId="5789D82D" w14:textId="1AB42642" w:rsidR="00B357E0" w:rsidRDefault="00B357E0" w:rsidP="00B357E0">
      <w:pPr>
        <w:pStyle w:val="BodyText"/>
      </w:pPr>
      <w:r>
        <w:t>Spojovacie zariadenia pre prípojné vozidlá vozidiel kategórie L a bicyklov musia byť odolné a primerané. Spojenie musí byť zaistené zariadením, ktorým sa zabraňuje náhodnému odpojeniu.</w:t>
      </w:r>
    </w:p>
    <w:p w14:paraId="5E370E3D" w14:textId="6BC744A6" w:rsidR="00B357E0" w:rsidRDefault="00B357E0" w:rsidP="00327422">
      <w:pPr>
        <w:pStyle w:val="Heading2"/>
      </w:pPr>
      <w:bookmarkStart w:id="19" w:name="_Toc135046990"/>
      <w:r>
        <w:t>Svetlá a odrazové sklá</w:t>
      </w:r>
      <w:bookmarkEnd w:id="19"/>
    </w:p>
    <w:p w14:paraId="012A167A" w14:textId="43C9FCB7" w:rsidR="00B357E0" w:rsidRDefault="00B357E0" w:rsidP="00B357E0">
      <w:pPr>
        <w:pStyle w:val="BodyText"/>
      </w:pPr>
      <w:r>
        <w:t>Prípojné vozidlá vozidiel kategórie L alebo bicyklov musia byť vybavené prednými, bočnými a zadnými odrazovými sklami. Prípojné vozidlá motocyklov, trojkoliek, štvorkoliek alebo ľahkých štvorkoliek musia byť okrem toho vybavené smerovými, zadnými a brzdovými svetlami. Ak šírka prípojného vozidla bicykla nepresahuje 0,50 m, nemusí mať predné odrazové sklo.</w:t>
      </w:r>
    </w:p>
    <w:p w14:paraId="27E1919D" w14:textId="77777777" w:rsidR="00F779A8" w:rsidRDefault="00F779A8" w:rsidP="00F779A8">
      <w:pPr>
        <w:pStyle w:val="BodyText"/>
      </w:pPr>
      <w:r>
        <w:t>Predné odrazové sklá musia byť biele, zadné odrazové sklá červené a bočné odrazové sklá by mali byť biele alebo oranžové.</w:t>
      </w:r>
    </w:p>
    <w:p w14:paraId="46ACF167" w14:textId="0B259920" w:rsidR="00B357E0" w:rsidRDefault="00B357E0" w:rsidP="00B357E0">
      <w:pPr>
        <w:pStyle w:val="BodyText"/>
      </w:pPr>
      <w:r>
        <w:t>Prípojné vozidlo vozidla kategórie L a bicykla môže byť vybavené prednými, brzdovými, smerovými, zadnými a obrysovými svetlami.</w:t>
      </w:r>
    </w:p>
    <w:p w14:paraId="73B5E744" w14:textId="79A270A3" w:rsidR="00B357E0" w:rsidRDefault="00B357E0" w:rsidP="00B357E0">
      <w:pPr>
        <w:pStyle w:val="BodyText"/>
      </w:pPr>
      <w:r>
        <w:t>Svetlá a odrazové sklá musia byť umiestnené v pároch a symetricky k pozdĺžnej stredovej čiare prípojného vozidla. V prípade prípojných vozidiel so šírkou maximálne 0,8 metra sa však vyžaduje iba jedno brzdové svetlo, zadné svetlo a zadné odrazové sklo.</w:t>
      </w:r>
    </w:p>
    <w:p w14:paraId="247601C2" w14:textId="0426953F" w:rsidR="00B357E0" w:rsidRDefault="00B357E0" w:rsidP="00B357E0">
      <w:pPr>
        <w:pStyle w:val="BodyText"/>
      </w:pPr>
      <w:r>
        <w:t>Odrazové sklá a svetlá smerujúce dopredu alebo dozadu, ak sú umiestnené po dvoch, sa na prípojné vozidlá vozidiel kategórie L alebo bicyklov umiestňujú vo vzdialenosti najviac 0,15 metra od boku prípojného vozidla a vo výške najmenej 0,25 metra. Svetlá sa môžu umiestniť vo výške najviac 1,20 metra a predné a zadné odrazové sklá sa môžu umiestniť vo výške najviac 0,90 metra.</w:t>
      </w:r>
    </w:p>
    <w:p w14:paraId="57383F38" w14:textId="766ED984" w:rsidR="009A1022" w:rsidRDefault="009A1022" w:rsidP="00B357E0">
      <w:pPr>
        <w:pStyle w:val="BodyText"/>
      </w:pPr>
      <w:r>
        <w:t>Prípojné vozidlo bicykla môže byť vybavené ďalšími odrazovými sklami a reflexnými prvkami, pokiaľ neznižujú účinnosť povinných a signalizačných svetiel.</w:t>
      </w:r>
    </w:p>
    <w:p w14:paraId="5E2E323C" w14:textId="0814A574" w:rsidR="00B357E0" w:rsidRDefault="00B357E0" w:rsidP="00B357E0">
      <w:pPr>
        <w:pStyle w:val="BodyText"/>
      </w:pPr>
      <w:r>
        <w:t>Pokiaľ ide o svetlá a odrazové sklá na prípojných vozidlách vozidiel kategórie L a bicyklov a ich montáž, môžu sa alternatívne použiť aj požiadavky na svetlá a odrazové sklá prípojných vozidiel kategórie O.</w:t>
      </w:r>
    </w:p>
    <w:p w14:paraId="2D4A21EE" w14:textId="6509A52A" w:rsidR="00B357E0" w:rsidRDefault="00B357E0" w:rsidP="00327422">
      <w:pPr>
        <w:pStyle w:val="Heading3"/>
      </w:pPr>
      <w:bookmarkStart w:id="20" w:name="_Toc135046991"/>
      <w:r>
        <w:t>Smerové svetlá</w:t>
      </w:r>
      <w:bookmarkEnd w:id="20"/>
    </w:p>
    <w:p w14:paraId="10048427" w14:textId="533F3F43" w:rsidR="00B357E0" w:rsidRDefault="00B357E0" w:rsidP="00B357E0">
      <w:pPr>
        <w:pStyle w:val="BodyText"/>
      </w:pPr>
      <w:r>
        <w:t>Smerové svetlá musia vydávať blikajúce svetlo oranžovej farby.</w:t>
      </w:r>
    </w:p>
    <w:p w14:paraId="184E73BC" w14:textId="74F44E27" w:rsidR="00B357E0" w:rsidRDefault="00146FBD" w:rsidP="00B357E0">
      <w:pPr>
        <w:pStyle w:val="BodyText"/>
      </w:pPr>
      <w:r>
        <w:t>Povinné smerové svetlá musia byť od seba vzdialené najmenej 150 mm na bokoch vozidla.  Povinné smerové svetlá nesmú byť od zadnej časti prípojného vozidla vzdialené v pozdĺžnom smere viac ako 0,30 metra.</w:t>
      </w:r>
    </w:p>
    <w:p w14:paraId="14BAA32E" w14:textId="59AE3EF9" w:rsidR="00B357E0" w:rsidRDefault="00B357E0" w:rsidP="00327422">
      <w:pPr>
        <w:pStyle w:val="Heading3"/>
      </w:pPr>
      <w:bookmarkStart w:id="21" w:name="_Toc135046992"/>
      <w:r>
        <w:t>Brzdové svetlá</w:t>
      </w:r>
      <w:bookmarkEnd w:id="21"/>
    </w:p>
    <w:p w14:paraId="05F4958A" w14:textId="7AFB98EE" w:rsidR="00B357E0" w:rsidRDefault="00B357E0" w:rsidP="00B357E0">
      <w:pPr>
        <w:pStyle w:val="BodyText"/>
      </w:pPr>
      <w:r>
        <w:t xml:space="preserve">Brzdové svetlá prípojných vozidiel motocyklov, trojkoliek, štvorkoliek alebo ľahkých štvorkoliek musia vydávať červené svetlo smerujúce dozadu. Svetlo sa musí </w:t>
      </w:r>
      <w:r>
        <w:lastRenderedPageBreak/>
        <w:t>rozsvietiť pri použití niektorej z prevádzkových bŕzd vozidla. Intenzita brzdového svetla musí byť výrazne vyššia ako intenzita zadného svetla.</w:t>
      </w:r>
    </w:p>
    <w:p w14:paraId="1E1D4C3A" w14:textId="13EB8DC7" w:rsidR="00327422" w:rsidRDefault="00327422" w:rsidP="00327422">
      <w:pPr>
        <w:pStyle w:val="BodyText"/>
      </w:pPr>
      <w:r>
        <w:t>Brzdové svetlá nesmú byť od zadnej časti prípojného vozidla vzdialené v pozdĺžnom smere viac ako 1,0 metra.</w:t>
      </w:r>
    </w:p>
    <w:p w14:paraId="65021680" w14:textId="6C8AD4E9" w:rsidR="00327422" w:rsidRDefault="00327422" w:rsidP="00327422">
      <w:pPr>
        <w:pStyle w:val="Heading3"/>
      </w:pPr>
      <w:bookmarkStart w:id="22" w:name="_Toc135046993"/>
      <w:r>
        <w:t>Zadné svetlá</w:t>
      </w:r>
      <w:bookmarkEnd w:id="22"/>
    </w:p>
    <w:p w14:paraId="1C2606A4" w14:textId="75A7E07A" w:rsidR="00327422" w:rsidRDefault="00327422" w:rsidP="00327422">
      <w:pPr>
        <w:pStyle w:val="BodyText"/>
      </w:pPr>
      <w:r>
        <w:t>Zadné svetlá prípojných vozidiel motocyklov, trojkoliek, štvorkoliek alebo ľahkých štvorkoliek musia vydávať červené svetlo smerujúce dozadu. Zadné obrysové svetlá musia byť spojené tak, aby svietili súčasne s prednými obrysovými svetlami, stretávacími svetlometmi a diaľkovými svetlometmi ťažného vozidla.</w:t>
      </w:r>
    </w:p>
    <w:p w14:paraId="79D988C2" w14:textId="5E6BD98E" w:rsidR="00327422" w:rsidRDefault="00327422" w:rsidP="00327422">
      <w:pPr>
        <w:pStyle w:val="BodyText"/>
      </w:pPr>
      <w:r>
        <w:t>Zadné svetlá nesmú byť od zadnej časti prípojného vozidla vzdialené v pozdĺžnom smere viac ako 1,0 metra.</w:t>
      </w:r>
    </w:p>
    <w:p w14:paraId="296069BF" w14:textId="5AFAA6F3" w:rsidR="00327422" w:rsidRDefault="00327422" w:rsidP="00327422">
      <w:pPr>
        <w:pStyle w:val="Heading3"/>
      </w:pPr>
      <w:bookmarkStart w:id="23" w:name="_Toc135046994"/>
      <w:r>
        <w:t>Odrazové sklá</w:t>
      </w:r>
      <w:bookmarkEnd w:id="23"/>
    </w:p>
    <w:p w14:paraId="72C5942F" w14:textId="586577A7" w:rsidR="00327422" w:rsidRDefault="00327422" w:rsidP="00327422">
      <w:pPr>
        <w:pStyle w:val="BodyText"/>
      </w:pPr>
      <w:r>
        <w:t>Predné odrazové sklá na prípojných vozidlách vozidiel kategórie L alebo bicyklov musia byť biele, zadné odrazové sklá musia byť červené a bočné odrazové sklá musia byť oranžové alebo biele. Zadné odrazové sklá na prípojných vozidlách vozidiel kategórie L musia mať tvar trojuholníka a musia byť namontované tak, aby jeden hrot trojuholníka smeroval nahor. V prípade prípojných vozidiel bicyklov nie sú stanovené žiadne požiadavky na tvar zadných odrazových skiel. Iné odrazové sklá nesmú mať tvar trojuholníka.</w:t>
      </w:r>
    </w:p>
    <w:p w14:paraId="20D2BA13" w14:textId="1670EBC0" w:rsidR="00327422" w:rsidRDefault="00327422" w:rsidP="00F62D16">
      <w:pPr>
        <w:pStyle w:val="BodyText"/>
      </w:pPr>
      <w:r>
        <w:t>Predné a zadné odrazové sklá musia byť namontované s odchýlkou najviac 10° a musia smerovať priamo dopredu alebo priamo dozadu. Ak konštrukcia prípojného vozidla so šírkou menšou ako 0,80 m neumožňuje montáž predného odrazového svetla tak, ako je opísané vyššie, horizontálna odchýlka nesmie presiahnuť 30° smerom von z vozidla a vertikálna odchýlka nesmie byť väčšia ako 30° smerom nahor. Zadné odrazové sklá nesmú byť od zadnej časti prípojného vozidla vzdialené v pozdĺžnom smere viac ako 1,0 metra. Bočné odrazové sklá musia smerovať do strany.</w:t>
      </w:r>
    </w:p>
    <w:p w14:paraId="3332B564" w14:textId="77777777" w:rsidR="007328A5" w:rsidRDefault="00327422" w:rsidP="00327422">
      <w:pPr>
        <w:pStyle w:val="BodyText"/>
      </w:pPr>
      <w:r>
        <w:t>Odrazové sklá musia spĺňať požiadavky smernice 76/757/EHS, zmenenej smernicou 97/29/ES alebo musia byť v súlade so sériou zmien 02 alebo novšou sériou zmien predpisu EHK OSN č. 3. Zadné odrazové sklo na prípojnom vozidle bicykla môže byť vyrobené aj z reflexného materiálu triedy C, ktorý je v súlade s predpisom EHK OSN č. 104. Povrch reflexného materiálu musí byť najmenej 0,25 cm</w:t>
      </w:r>
      <w:r>
        <w:rPr>
          <w:vertAlign w:val="superscript"/>
        </w:rPr>
        <w:t>2</w:t>
      </w:r>
      <w:r>
        <w:t xml:space="preserve">. </w:t>
      </w:r>
    </w:p>
    <w:p w14:paraId="4F392D10" w14:textId="6654FEE3" w:rsidR="00327422" w:rsidRDefault="00327422" w:rsidP="007328A5">
      <w:pPr>
        <w:pStyle w:val="BodyText"/>
      </w:pPr>
      <w:r>
        <w:t xml:space="preserve">Retroreflexívne pneumatiky, ktoré spĺňajú požiadavky predpisu EHK OSN č. 88, a namontované odrazové sklá typu 3, ktoré spĺňajú normu SFS-EN 13356:2001, sú tiež akceptované ako bočné odrazové sklá pre prípojné vozidlá bicyklov. </w:t>
      </w:r>
    </w:p>
    <w:p w14:paraId="5F82A790" w14:textId="3DB477DA" w:rsidR="00327422" w:rsidRDefault="00327422" w:rsidP="00327422">
      <w:pPr>
        <w:pStyle w:val="Heading2"/>
      </w:pPr>
      <w:bookmarkStart w:id="24" w:name="_Toc135046995"/>
      <w:r>
        <w:t>Značka pre pomalé vozidlo</w:t>
      </w:r>
      <w:bookmarkEnd w:id="24"/>
    </w:p>
    <w:p w14:paraId="3263169B" w14:textId="0B34E7BA" w:rsidR="00327422" w:rsidRDefault="00256CE9" w:rsidP="00327422">
      <w:pPr>
        <w:pStyle w:val="BodyText"/>
      </w:pPr>
      <w:r>
        <w:t>Značka pre pomalé vozidlo v zmysle oddielu 103 zákona o cestnej premávke (729/2018) sa musí umiestniť do stredu alebo na ľavú stranu stredovej osi trojkolesového mopedu alebo prípojného vozidla ľahkej štvorkolky a musí smerovať dozadu s odchýlkou najviac 10°. Jeden roh značky musí smerovať nahor a pri meraní od spodného okraja by značka mala byť vo výške aspoň 0,25 metra a najviac 1,50 metra od zeme. Značka nesmie horizontálne ani vertikálne presahovať vonkajšie rozmery prípojného vozidla a nesmie ani čiastočne zakrývať povinné alebo odrazové sklá. Značka musí spĺňať požiadavky série zmien 01 alebo novšej série zmien predpisu EHK OSN č. 69.</w:t>
      </w:r>
    </w:p>
    <w:p w14:paraId="1E67033D" w14:textId="396C20A9" w:rsidR="00327422" w:rsidRDefault="00327422" w:rsidP="00327422">
      <w:pPr>
        <w:pStyle w:val="Heading2"/>
      </w:pPr>
      <w:bookmarkStart w:id="25" w:name="_Toc135046996"/>
      <w:r>
        <w:lastRenderedPageBreak/>
        <w:t>Blatníky</w:t>
      </w:r>
      <w:bookmarkEnd w:id="25"/>
    </w:p>
    <w:p w14:paraId="70F40736" w14:textId="462B9638" w:rsidR="00327422" w:rsidRDefault="00327422" w:rsidP="00327422">
      <w:pPr>
        <w:pStyle w:val="BodyText"/>
      </w:pPr>
      <w:r>
        <w:t>Pokiaľ ide o ich požadovanú dĺžku, dĺžka blatníkov prípojných vozidiel motocyklov, trojkoliek, štvorkoliek alebo ľahkých štvorkoliek sa musí minimálne rovnať šírke pneumatík a musí zasahovať aspoň 60° smerom do prednej časti vertikálnej roviny prechádzajúcej osou kolesa a aspoň 90° smerom k jej zadnej časti, keď je prípojné vozidlo prázdne. Ostatné konštrukcie vozidla môžu čiastočne alebo úplne fungovať ako blatník, ak je koleso zakryté v súlade s uvedenými požiadavkami.</w:t>
      </w:r>
    </w:p>
    <w:p w14:paraId="5CC58A77" w14:textId="675154A1" w:rsidR="00327422" w:rsidRDefault="00327422" w:rsidP="00327422">
      <w:pPr>
        <w:pStyle w:val="Heading1"/>
      </w:pPr>
      <w:bookmarkStart w:id="26" w:name="_Toc135046997"/>
      <w:r>
        <w:t>ĽAHKÉ ELEKTRICKÉ VOZIDLO</w:t>
      </w:r>
      <w:bookmarkEnd w:id="26"/>
    </w:p>
    <w:p w14:paraId="215DEE25" w14:textId="1FB2B413" w:rsidR="00327422" w:rsidRDefault="00A93B23" w:rsidP="00327422">
      <w:pPr>
        <w:pStyle w:val="BodyText"/>
      </w:pPr>
      <w:r>
        <w:t>Ľahké elektrické vozidlo určené na jazdu v podmienkach uvedených v oddiele 49 pododdiele 2 zákona o cestnej premávke (729/2018) musí byť vybavené dopredu smerujúcim svetlom vyžarujúcim biele alebo svetložlté svetlo a dozadu smerujúcim svetlom vyžarujúcim červené svetlo a viditeľným odrazovým sklom. Na montáž svetla sa vzťahujú požiadavky na bicykel uvedené v oddiele 4.3. Odrazové sklo môže byť pripevnené aj na vodiča ľahkého elektrického vozidla.</w:t>
      </w:r>
    </w:p>
    <w:p w14:paraId="787F41DF" w14:textId="43F8C6FE" w:rsidR="00327422" w:rsidRDefault="00327422" w:rsidP="00327422">
      <w:pPr>
        <w:pStyle w:val="BodyText"/>
      </w:pPr>
      <w:r>
        <w:t xml:space="preserve">Ľahké elektrické vozidlo môže byť vybavené aj ďalšími svetlami alebo odrazovými sklami, ktoré sú povolené pre bicykle alebo vozidlá kategórie L. </w:t>
      </w:r>
    </w:p>
    <w:p w14:paraId="4FD1933C" w14:textId="28AD7503" w:rsidR="004D36AA" w:rsidRDefault="004D36AA" w:rsidP="00327422">
      <w:pPr>
        <w:pStyle w:val="BodyText"/>
      </w:pPr>
      <w:r>
        <w:t>Uvedené ustanovenia kapitoly 5 týkajúce sa svetiel a odrazových skiel prípojných vozidiel bicyklov sa vzťahujú na prípojné vozidlo ľahkého elektrického vozidla.</w:t>
      </w:r>
    </w:p>
    <w:p w14:paraId="2413F29D" w14:textId="774B9E9C" w:rsidR="00F10304" w:rsidRDefault="007B196E" w:rsidP="00F10304">
      <w:pPr>
        <w:pStyle w:val="Heading1"/>
      </w:pPr>
      <w:bookmarkStart w:id="27" w:name="_Toc62646006"/>
      <w:bookmarkStart w:id="28" w:name="_Toc62647533"/>
      <w:bookmarkStart w:id="29" w:name="_Toc135046998"/>
      <w:bookmarkEnd w:id="27"/>
      <w:bookmarkEnd w:id="28"/>
      <w:r>
        <w:t>ĽAHKÉ AUTONÓMNE VOZIDLO NA PREPRAVU TOVARU</w:t>
      </w:r>
      <w:bookmarkEnd w:id="29"/>
    </w:p>
    <w:p w14:paraId="5FEB48D7" w14:textId="22D63578" w:rsidR="0070300E" w:rsidRDefault="0070300E" w:rsidP="5803D006">
      <w:pPr>
        <w:pStyle w:val="Heading2"/>
      </w:pPr>
      <w:bookmarkStart w:id="30" w:name="_Toc135046999"/>
      <w:r>
        <w:t>Rozmery a hmotnosti</w:t>
      </w:r>
      <w:bookmarkEnd w:id="30"/>
    </w:p>
    <w:p w14:paraId="1B363885" w14:textId="67E93E67" w:rsidR="00594A1C" w:rsidRDefault="0070300E" w:rsidP="650F2FCD">
      <w:pPr>
        <w:pStyle w:val="BodyText"/>
      </w:pPr>
      <w:r>
        <w:t xml:space="preserve">Maximálna povolená šírka ľahkého autonómneho vozidla na prepravu tovaru je 80,0 cm, maximálna povolená výška je 80,0 cm a maximálna povolená dĺžka je 100,0 cm. </w:t>
      </w:r>
    </w:p>
    <w:p w14:paraId="202B9771" w14:textId="4FE552B1" w:rsidR="0070300E" w:rsidRDefault="00C73C57" w:rsidP="650F2FCD">
      <w:pPr>
        <w:pStyle w:val="BodyText"/>
      </w:pPr>
      <w:r>
        <w:t xml:space="preserve">Ľahké autonómne vozidlo na prepravu tovaru môže mať ohybnú alebo kĺbovú zvislú tyč na montáž svetiel, odrazových skiel a bezpečnostnej vlajky so šírkou najviac 3,0 cm. Tyč a svetlá, odrazové sklá a/alebo bezpečnostná vlajka, ktoré sú k nej pripevnené, sa neberú do úvahy pri určovaní maximálnej výšky. Maximálna výška horného konca tyče meraná nad zemou však musí byť menšia ako 150,0 cm a maximálna plocha bezpečnostnej vlajky musí byť 375,0 cm². </w:t>
      </w:r>
    </w:p>
    <w:p w14:paraId="03E19CA2" w14:textId="6E0F8301" w:rsidR="00F448C0" w:rsidRDefault="005B4609" w:rsidP="45722854">
      <w:pPr>
        <w:pStyle w:val="BodyText"/>
      </w:pPr>
      <w:r>
        <w:t>Maximálna povolená hmotnosť ľahkého autonómneho vozidla na prepravu tovaru s konštrukčnou rýchlosťou maximálne 6 km/h je 200,0 kg.</w:t>
      </w:r>
    </w:p>
    <w:p w14:paraId="712A4B01" w14:textId="006C60C2" w:rsidR="00954A4A" w:rsidRDefault="00954A4A" w:rsidP="45722854">
      <w:pPr>
        <w:pStyle w:val="BodyText"/>
      </w:pPr>
      <w:r>
        <w:t>Maximálna povolená hmotnosť ľahkého autonómneho vozidla na prepravu tovaru s konštrukčnou rýchlosťou presahujúcou 6 km/h je 50,0 kg.</w:t>
      </w:r>
    </w:p>
    <w:p w14:paraId="5B3DE996" w14:textId="24DD0F51" w:rsidR="00F448C0" w:rsidRDefault="00F448C0" w:rsidP="00F448C0">
      <w:pPr>
        <w:pStyle w:val="Heading2"/>
      </w:pPr>
      <w:r>
        <w:t xml:space="preserve"> </w:t>
      </w:r>
      <w:bookmarkStart w:id="31" w:name="_Toc135047000"/>
      <w:r>
        <w:t>Prevádzková brzda</w:t>
      </w:r>
      <w:bookmarkEnd w:id="31"/>
    </w:p>
    <w:p w14:paraId="71370099" w14:textId="48245D4D" w:rsidR="00F448C0" w:rsidRDefault="00F448C0" w:rsidP="00F448C0">
      <w:pPr>
        <w:pStyle w:val="BodyText"/>
      </w:pPr>
      <w:r>
        <w:t>Elektromotor určený na zabezpečenie dostatočného spomalenia a stability vozidla sa akceptuje aj ako prevádzková brzda na ľahkom autonómnom vozidle na prepravu tovaru.</w:t>
      </w:r>
    </w:p>
    <w:p w14:paraId="3DE37034" w14:textId="39A5EFFC" w:rsidR="00D93A51" w:rsidRDefault="005F5A46" w:rsidP="00C418CB">
      <w:pPr>
        <w:pStyle w:val="BodyText"/>
      </w:pPr>
      <w:r>
        <w:t>Ľahké autonómne vozidlo na prepravu tovaru, ktoré sa pohybuje bez vodiča, musí byť vybavené zariadeniami, ktoré mu umožňujú automaticky a okamžite zastaviť a zostať stáť na mieste:</w:t>
      </w:r>
    </w:p>
    <w:p w14:paraId="7B49A1EF" w14:textId="1BA8C742" w:rsidR="00D93A51" w:rsidRDefault="0092590C" w:rsidP="0092590C">
      <w:pPr>
        <w:pStyle w:val="BodyText"/>
        <w:numPr>
          <w:ilvl w:val="0"/>
          <w:numId w:val="35"/>
        </w:numPr>
      </w:pPr>
      <w:r>
        <w:t>ak sa ľahké autonómne vozidlo na prepravu tovaru nenachádza v plánovanej prevádzkovej oblasti;</w:t>
      </w:r>
    </w:p>
    <w:p w14:paraId="2446A80C" w14:textId="13396A73" w:rsidR="00D93A51" w:rsidRDefault="00D93A51" w:rsidP="00D93A51">
      <w:pPr>
        <w:pStyle w:val="BodyText"/>
        <w:numPr>
          <w:ilvl w:val="0"/>
          <w:numId w:val="35"/>
        </w:numPr>
      </w:pPr>
      <w:r>
        <w:lastRenderedPageBreak/>
        <w:t>ak sa zistí chyba alebo porucha súvisiaca s bezpečnosťou riadiaceho systému;</w:t>
      </w:r>
    </w:p>
    <w:p w14:paraId="39387EE7" w14:textId="753F71B2" w:rsidR="00100203" w:rsidRDefault="00D93A51" w:rsidP="00D93A51">
      <w:pPr>
        <w:pStyle w:val="BodyText"/>
        <w:numPr>
          <w:ilvl w:val="0"/>
          <w:numId w:val="35"/>
        </w:numPr>
      </w:pPr>
      <w:r>
        <w:t>ak dostane signál na zastavenie.</w:t>
      </w:r>
    </w:p>
    <w:p w14:paraId="67138BA1" w14:textId="0CBBD519" w:rsidR="00ED7BEC" w:rsidRDefault="00250C67" w:rsidP="00ED7BEC">
      <w:pPr>
        <w:pStyle w:val="BodyText"/>
      </w:pPr>
      <w:r>
        <w:t>Ľahké autonómne vozidlo na prepravu tovaru s konštrukčnou rýchlosťou presahujúcou 6 km/h musí byť vybavené núdzovým brzdovým systémom na spomalenie, zastavenie a státie, aby sa zaistila bezpečná prevádzka v prípade poruchy prevádzkovej brzdy alebo prerušenia jej dodávky energie.</w:t>
      </w:r>
    </w:p>
    <w:p w14:paraId="243BC27B" w14:textId="19CD1616" w:rsidR="002535A9" w:rsidRDefault="002535A9" w:rsidP="002535A9">
      <w:pPr>
        <w:pStyle w:val="BodyText"/>
      </w:pPr>
      <w:r>
        <w:t>Prevádzková brzda alebo núdzový brzdový systém nesmie pôsobiť len na kolesá alebo pásy v zadnej časti priečnej osi vozidla.</w:t>
      </w:r>
    </w:p>
    <w:p w14:paraId="3040FA50" w14:textId="58246AAF" w:rsidR="00802F1C" w:rsidRDefault="00802F1C" w:rsidP="5803D006">
      <w:pPr>
        <w:pStyle w:val="Heading2"/>
      </w:pPr>
      <w:bookmarkStart w:id="32" w:name="_Toc135047001"/>
      <w:r>
        <w:t>Svetlá</w:t>
      </w:r>
      <w:bookmarkEnd w:id="32"/>
    </w:p>
    <w:p w14:paraId="70D35D36" w14:textId="1CEAC77F" w:rsidR="00802F1C" w:rsidRDefault="00802F1C" w:rsidP="5803D006">
      <w:pPr>
        <w:pStyle w:val="BodyText"/>
      </w:pPr>
      <w:r>
        <w:t xml:space="preserve">Ľahké autonómne vozidlo na prepravu tovaru musí byť vybavené dopredu smerujúcim svetlom vyžarujúcim biele alebo svetložlté svetlo a dozadu smerujúcim svetlom vyžarujúcim červené svetlo. Môže sa použiť viacero týchto svetiel. Svetlá musia vyžarovať nepretržité svetlo. </w:t>
      </w:r>
    </w:p>
    <w:p w14:paraId="653808C2" w14:textId="76B5487C" w:rsidR="00F21AC9" w:rsidRDefault="00F21AC9" w:rsidP="5803D006">
      <w:pPr>
        <w:pStyle w:val="BodyText"/>
      </w:pPr>
      <w:r>
        <w:t>Ľahké autonómne vozidlo na prepravu tovaru môže byť vybavené svetlometom.</w:t>
      </w:r>
    </w:p>
    <w:p w14:paraId="28817816" w14:textId="683738E3" w:rsidR="00802F1C" w:rsidRDefault="001D47A5" w:rsidP="5803D006">
      <w:pPr>
        <w:pStyle w:val="BodyText"/>
      </w:pPr>
      <w:r>
        <w:t xml:space="preserve">Predné a zadné obrysové svetlá musia byť namontované vo výške najmenej 0,15 m nad zemou. </w:t>
      </w:r>
    </w:p>
    <w:p w14:paraId="09001271" w14:textId="1C6B3741" w:rsidR="001D47A5" w:rsidRDefault="001D47A5" w:rsidP="5803D006">
      <w:pPr>
        <w:pStyle w:val="BodyText"/>
      </w:pPr>
      <w:r>
        <w:t xml:space="preserve">Ľahké autonómne vozidlo na prepravu tovaru musí mať párny počet žltých alebo oranžových smerových svetiel. Tieto smerové svetlá musia byť typu, ktorý bliká, a musia byť namontované symetricky vzhľadom na pozdĺžnu os ľahkého autonómneho vozidla na prepravu tovaru. </w:t>
      </w:r>
    </w:p>
    <w:p w14:paraId="0AF14321" w14:textId="7E1D0FAA" w:rsidR="001D47A5" w:rsidRDefault="001D47A5" w:rsidP="5803D006">
      <w:pPr>
        <w:pStyle w:val="BodyText"/>
      </w:pPr>
      <w:r>
        <w:t>Ľahké autonómne vozidlo na prepravu tovaru môže byť vybavené párnym počtom iných bočných žltých alebo oranžových svetiel.</w:t>
      </w:r>
    </w:p>
    <w:p w14:paraId="5A8B86BE" w14:textId="7B93BF22" w:rsidR="001D47A5" w:rsidRDefault="001D47A5" w:rsidP="5803D006">
      <w:pPr>
        <w:pStyle w:val="Heading2"/>
      </w:pPr>
      <w:bookmarkStart w:id="33" w:name="_Toc135047002"/>
      <w:r>
        <w:t>Odrazové sklá</w:t>
      </w:r>
      <w:bookmarkEnd w:id="33"/>
    </w:p>
    <w:p w14:paraId="1401E675" w14:textId="4C1FE1B0" w:rsidR="001D47A5" w:rsidRDefault="001D47A5" w:rsidP="5803D006">
      <w:pPr>
        <w:pStyle w:val="BodyText"/>
      </w:pPr>
      <w:r>
        <w:t>Ľahké autonómne vozidlo na prepravu tovaru musí mať predné, bočné a zadné odrazové sklá. Predné a bočné odrazové sklá môžu byť biele alebo oranžové. Zadné odrazové sklo môže byť oranžové alebo červené. Zadné odrazové sklo nesmie mať tvar trojuholníka.</w:t>
      </w:r>
    </w:p>
    <w:p w14:paraId="27F2DE10" w14:textId="78B6D8F9" w:rsidR="001D47A5" w:rsidRDefault="001D47A5" w:rsidP="5803D006">
      <w:pPr>
        <w:pStyle w:val="BodyText"/>
      </w:pPr>
      <w:r>
        <w:t xml:space="preserve">Odrazové sklá musia byť namontované vo výške najmenej 0,15 m nad zemou. </w:t>
      </w:r>
    </w:p>
    <w:p w14:paraId="262D7633" w14:textId="1ECB307F" w:rsidR="006C5F64" w:rsidRDefault="006C5F64" w:rsidP="006C5F64">
      <w:pPr>
        <w:pStyle w:val="BodyText"/>
      </w:pPr>
      <w:r>
        <w:t>Ľahké autonómne vozidlo na prepravu tovaru môže byť vybavené ďalšími odrazovými sklami a reflexnými prvkami, pokiaľ neznižujú účinnosť povinných a signalizačných svetiel.</w:t>
      </w:r>
    </w:p>
    <w:p w14:paraId="351E7840" w14:textId="0F03DDC0" w:rsidR="00C32C28" w:rsidRDefault="00C32C28" w:rsidP="0079432B">
      <w:pPr>
        <w:pStyle w:val="Heading2"/>
      </w:pPr>
      <w:bookmarkStart w:id="34" w:name="_Toc135047003"/>
      <w:r>
        <w:t>Zvukové výstražné zariadenie</w:t>
      </w:r>
      <w:bookmarkEnd w:id="34"/>
    </w:p>
    <w:p w14:paraId="128B0BF5" w14:textId="4B1967C9" w:rsidR="007B196E" w:rsidRDefault="00C32C28" w:rsidP="0084615D">
      <w:pPr>
        <w:pStyle w:val="BodyText"/>
      </w:pPr>
      <w:r>
        <w:t>Ľahké autonómne vozidlo na prepravu tovaru môže byť vybavené zvukovým výstražným zariadením. Maximálna hladina hluku zvukového výstražného zariadenia vo vzdialenosti 2,0 m a výške 1,0 m nad vozidlom pri použití rýchlej časovej konštanty nesmie byť väčšia ako 75 dB(A).</w:t>
      </w:r>
    </w:p>
    <w:p w14:paraId="2D197D16" w14:textId="2D64AB51" w:rsidR="00AD70E0" w:rsidRDefault="00AD70E0" w:rsidP="001F7F82">
      <w:pPr>
        <w:pStyle w:val="Heading1"/>
        <w:keepLines/>
      </w:pPr>
      <w:bookmarkStart w:id="35" w:name="_Toc135047004"/>
      <w:r>
        <w:t xml:space="preserve">LIMITNÉ HODNOTY HLUKU A EMISIÍ PRE TYPOVÉ SCHVAĽOVANIE BICYKLOV A ĽAHKÝCH AUTONÓMNYCH VOZIDIEL NA PREPRAVU </w:t>
      </w:r>
      <w:r>
        <w:lastRenderedPageBreak/>
        <w:t>TOVARU, ELEKTRICKÝCH VOZIDIEL A INDIVIDUÁLNE VYRÁBANÝCH BICYKLOV VYBAVENÝCH MOTOROM</w:t>
      </w:r>
      <w:bookmarkEnd w:id="35"/>
    </w:p>
    <w:p w14:paraId="45E08B62" w14:textId="15B279E3" w:rsidR="00AD70E0" w:rsidRDefault="00AD70E0" w:rsidP="00AD70E0">
      <w:pPr>
        <w:pStyle w:val="BodyText"/>
      </w:pPr>
      <w:r>
        <w:t>Bicykle, individuálne vyrábané bicykle vybavené motorom, ľahké autonómne vozidlá na prepravu tovaru a ľahké elektrické vozidlá alebo ich zásobník energie nesmú pri používaní spôsobovať emisie spôsobené spaľovaním alebo vyparovaním ani hluk výrazne väčší ako hluk valenia.</w:t>
      </w:r>
    </w:p>
    <w:p w14:paraId="63621E11" w14:textId="2217CA6B" w:rsidR="00327422" w:rsidRDefault="00327422" w:rsidP="00327422">
      <w:pPr>
        <w:pStyle w:val="Heading1"/>
      </w:pPr>
      <w:bookmarkStart w:id="36" w:name="_Toc135047005"/>
      <w:r>
        <w:t>ZHODA PRISŤAHOVANÝCH VOZIDIEL A NIEKTORÝCH INÝCH VOZIDIEL</w:t>
      </w:r>
      <w:bookmarkEnd w:id="36"/>
    </w:p>
    <w:p w14:paraId="462869B0" w14:textId="0F454EA7" w:rsidR="00327422" w:rsidRDefault="00327422" w:rsidP="00327422">
      <w:pPr>
        <w:pStyle w:val="BodyText"/>
      </w:pPr>
      <w:r>
        <w:t>Svetlá vozidiel kategórie L dovezených ako prisťahovaný tovar, ktoré aktuálne vlastní alebo predtým vlastnil člen zahraničného zastúpenia alebo diplomatického zboru a ktoré boli získané zo zahraničia ako dedičstvo alebo na základe závetu, alebo boli získané prostredníctvom colnej aukcie Fínskeho colného úradu alebo inej štátom organizovanej aukcie, nemusia spĺňať požiadavky uvedené v kapitole 2. Počet svetiel, farba svetla vyžarovaného svetlami a smer stretávacích svetiel musia spĺňať požiadavky, ktoré boli platné vo Fínsku v čase prvého uvedenia vozidla do prevádzky alebo neskôr. Zadné smerové svetlá však môžu vydávať blikajúce svetlo červenej farby.</w:t>
      </w:r>
    </w:p>
    <w:p w14:paraId="1BFCA9C8" w14:textId="1A7E2BA0" w:rsidR="00064E7C" w:rsidRDefault="00327422" w:rsidP="00064E7C">
      <w:pPr>
        <w:pStyle w:val="BodyText"/>
      </w:pPr>
      <w:r>
        <w:t>Vozidlo kategórie L vyrábané vo veľkých sériách pre trhy v krajinách EHP, ktoré je konštrukčne neupravené a ktoré bolo dovezené ako ojazdené vozidlo a v čase jeho prvého uvedenia do prevádzky nepodliehalo požiadavkám na typové schválenie ES alebo EÚ, nemusí spĺňať požiadavky uvedené v kapitole 2 vyššie, ak vozidlo spĺňa požiadavky na povinné vybavenie a prevádzkové požiadavky uvedené v oddiele 12 zákona o vozidlách (82/2021).</w:t>
      </w:r>
    </w:p>
    <w:p w14:paraId="755C5BA9" w14:textId="6D279297" w:rsidR="00064E7C" w:rsidRDefault="00064E7C" w:rsidP="00064E7C">
      <w:pPr>
        <w:pStyle w:val="BodyText"/>
      </w:pPr>
    </w:p>
    <w:p w14:paraId="743A8F7E" w14:textId="77777777" w:rsidR="00064E7C" w:rsidRDefault="00064E7C" w:rsidP="00064E7C">
      <w:pPr>
        <w:pStyle w:val="BodyText"/>
      </w:pPr>
    </w:p>
    <w:p w14:paraId="5715D45D" w14:textId="77777777" w:rsidR="00064E7C" w:rsidRDefault="00064E7C" w:rsidP="00064E7C">
      <w:pPr>
        <w:pStyle w:val="BodyText"/>
      </w:pPr>
    </w:p>
    <w:p w14:paraId="0A6B1239" w14:textId="66013331" w:rsidR="00064E7C" w:rsidRPr="00FA6C1E" w:rsidRDefault="00064E7C" w:rsidP="00064E7C">
      <w:pPr>
        <w:pStyle w:val="BodyText"/>
      </w:pPr>
      <w:r>
        <w:t xml:space="preserve">Kirsi Karlamaa </w:t>
      </w:r>
    </w:p>
    <w:p w14:paraId="48A6BBF8" w14:textId="77777777" w:rsidR="00064E7C" w:rsidRPr="00FA6C1E" w:rsidRDefault="00064E7C" w:rsidP="00064E7C">
      <w:pPr>
        <w:pStyle w:val="BodyText"/>
      </w:pPr>
      <w:r>
        <w:t xml:space="preserve">Generálna riaditeľka </w:t>
      </w:r>
    </w:p>
    <w:p w14:paraId="3F860554" w14:textId="77777777" w:rsidR="00064E7C" w:rsidRPr="00FA6C1E" w:rsidRDefault="00064E7C" w:rsidP="00064E7C">
      <w:pPr>
        <w:pStyle w:val="BodyText"/>
        <w:rPr>
          <w:lang w:val="de-DE"/>
        </w:rPr>
      </w:pPr>
    </w:p>
    <w:p w14:paraId="13873CC9" w14:textId="77777777" w:rsidR="00064E7C" w:rsidRPr="00FA6C1E" w:rsidRDefault="00064E7C" w:rsidP="00064E7C">
      <w:pPr>
        <w:pStyle w:val="BodyText"/>
      </w:pPr>
      <w:r>
        <w:t xml:space="preserve">Kati Heikkinen </w:t>
      </w:r>
    </w:p>
    <w:p w14:paraId="4633B99F" w14:textId="77777777" w:rsidR="00064E7C" w:rsidRPr="000E4458" w:rsidRDefault="00064E7C" w:rsidP="00064E7C">
      <w:pPr>
        <w:pStyle w:val="BodyText"/>
      </w:pPr>
      <w:r>
        <w:t>Zástupkyňa generálnej riaditeľky</w:t>
      </w:r>
    </w:p>
    <w:p w14:paraId="222FAA63" w14:textId="77777777" w:rsidR="00064E7C" w:rsidRDefault="00064E7C" w:rsidP="00064E7C">
      <w:pPr>
        <w:pStyle w:val="BodyText"/>
      </w:pPr>
    </w:p>
    <w:p w14:paraId="7CD8095C" w14:textId="5BE43B4A" w:rsidR="00491E0F" w:rsidRDefault="00491E0F" w:rsidP="008909CE">
      <w:pPr>
        <w:pStyle w:val="BodyText"/>
      </w:pPr>
    </w:p>
    <w:p w14:paraId="5DC3790C" w14:textId="77777777" w:rsidR="00864197" w:rsidRDefault="00864197" w:rsidP="008909CE">
      <w:pPr>
        <w:pStyle w:val="BodyText"/>
      </w:pPr>
    </w:p>
    <w:p w14:paraId="75921B3E" w14:textId="48D4C28C" w:rsidR="008909CE" w:rsidRDefault="008909CE" w:rsidP="008909CE">
      <w:pPr>
        <w:pStyle w:val="BodyText"/>
      </w:pPr>
    </w:p>
    <w:p w14:paraId="053AC006" w14:textId="491B9DB3" w:rsidR="00E03BA0" w:rsidRDefault="00802AAB" w:rsidP="008909CE">
      <w:pPr>
        <w:pStyle w:val="BodyText"/>
      </w:pPr>
      <w:r>
        <w:br w:type="column"/>
      </w:r>
    </w:p>
    <w:p w14:paraId="00598929" w14:textId="31876A4C" w:rsidR="0056458C" w:rsidRDefault="001F7F82" w:rsidP="001F7F82">
      <w:pPr>
        <w:pStyle w:val="Liiteotsikko"/>
        <w:numPr>
          <w:ilvl w:val="0"/>
          <w:numId w:val="0"/>
        </w:numPr>
        <w:ind w:left="993" w:hanging="993"/>
      </w:pPr>
      <w:bookmarkStart w:id="37" w:name="_Toc135047006"/>
      <w:r w:rsidRPr="001F7F82">
        <w:t>Príloha</w:t>
      </w:r>
      <w:r w:rsidRPr="001F7F82">
        <w:t xml:space="preserve"> </w:t>
      </w:r>
      <w:r>
        <w:t>1</w:t>
      </w:r>
      <w:r>
        <w:tab/>
      </w:r>
      <w:r w:rsidR="0056458C">
        <w:t>Vnútroštátne výnimky týkajúce sa vozidiel kategórie L</w:t>
      </w:r>
      <w:bookmarkEnd w:id="37"/>
      <w:r w:rsidR="0056458C">
        <w:t xml:space="preserve"> </w:t>
      </w:r>
    </w:p>
    <w:p w14:paraId="55729C58" w14:textId="4D8DF58E" w:rsidR="00725023" w:rsidRDefault="00725023" w:rsidP="00725023">
      <w:pPr>
        <w:pStyle w:val="BodyText"/>
        <w:rPr>
          <w:szCs w:val="20"/>
        </w:rPr>
      </w:pPr>
      <w:r>
        <w:t xml:space="preserve">Zhoda vozidla typovo schváleného v malých sériách, upraveného individuálneho vozidla alebo dovezeného vozidla a individuálne vyrobeného vozidla kategórie L3e, L4e a L5e sa môže preukázať pri kontrolách pri registrácii a pri úprave v súlade s tabuľkou 1. Tabuľka sa vzťahuje aj na vnútroštátne typové schválenie malých sérií. Požiadavky v smerniciach a nariadeniach EÚ uvedených v tabuľke sa uplatňujú v znení platnom v čase prvého uvedenia vozidla do prevádzky alebo neskôr, pokiaľ nie je v tabuľke stanovené inak. Metódy preukazovania zhody stanovené vo vysvetlivke k tejto tabuľke sa môžu uplatňovať aj pri dodržiavaní požiadaviek smerníc a nariadení EÚ pri kontrolách pri úprave alebo pri registrácii vozidla upraveného z vozidla s typovým schválením ES alebo EÚ, pokiaľ nie je v ustanovení o úprave konštrukcie vozidla kategórie L stanovené inak. </w:t>
      </w:r>
    </w:p>
    <w:p w14:paraId="569B3861" w14:textId="789C1523" w:rsidR="0056458C" w:rsidRDefault="0056458C" w:rsidP="00873774">
      <w:pPr>
        <w:pStyle w:val="BodyText"/>
      </w:pPr>
      <w:r>
        <w:t>Výnimky z technickej realizácie preukazovania zhody uvedené v tabuľke 1 sa môžu uplatňovať pri vnútroštátnych typových schváleniach malých sérií, kontrolách pri úprave, kontrolách pri registrácii iných vozidiel, ako sú vozidlá s typovým schválením ES alebo EÚ, ktoré boli uvedené do prevádzky po prvýkrát, a pri kontrolách pri registrácii iných vozidiel, ako sú vozidlá s typovým schválením ES alebo EÚ.</w:t>
      </w:r>
    </w:p>
    <w:p w14:paraId="16E3DB33" w14:textId="77777777" w:rsidR="00BF1E97" w:rsidRPr="0056458C" w:rsidRDefault="00BF1E97" w:rsidP="00873774">
      <w:pPr>
        <w:pStyle w:val="BodyText"/>
      </w:pPr>
    </w:p>
    <w:p w14:paraId="6C005F79" w14:textId="3D3488DC" w:rsidR="00F40F33" w:rsidRDefault="00F40F33" w:rsidP="00F65A42">
      <w:pPr>
        <w:pStyle w:val="BodyText"/>
        <w:ind w:left="0"/>
        <w:rPr>
          <w:szCs w:val="20"/>
        </w:rPr>
      </w:pPr>
      <w:r>
        <w:t>Tabuľka 1</w:t>
      </w:r>
    </w:p>
    <w:p w14:paraId="23732562" w14:textId="77777777" w:rsidR="00BF1E97" w:rsidRDefault="00BF1E97" w:rsidP="00F65A42">
      <w:pPr>
        <w:pStyle w:val="BodyText"/>
        <w:ind w:left="0"/>
        <w:rPr>
          <w:szCs w:val="20"/>
        </w:rPr>
      </w:pPr>
    </w:p>
    <w:tbl>
      <w:tblPr>
        <w:tblW w:w="101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95"/>
        <w:gridCol w:w="2380"/>
        <w:gridCol w:w="1488"/>
        <w:gridCol w:w="1950"/>
        <w:gridCol w:w="1843"/>
        <w:gridCol w:w="1758"/>
      </w:tblGrid>
      <w:tr w:rsidR="006410E1" w14:paraId="4368BC06" w14:textId="77777777" w:rsidTr="00FA6C1E">
        <w:trPr>
          <w:cantSplit/>
          <w:trHeight w:val="510"/>
          <w:tblHeader/>
          <w:jc w:val="center"/>
        </w:trPr>
        <w:tc>
          <w:tcPr>
            <w:tcW w:w="695" w:type="dxa"/>
            <w:tcBorders>
              <w:top w:val="single" w:sz="6" w:space="0" w:color="auto"/>
              <w:left w:val="single" w:sz="6" w:space="0" w:color="auto"/>
              <w:bottom w:val="single" w:sz="6" w:space="0" w:color="auto"/>
            </w:tcBorders>
            <w:shd w:val="clear" w:color="auto" w:fill="FFFFFF" w:themeFill="background1"/>
          </w:tcPr>
          <w:p w14:paraId="6F5BA603" w14:textId="77777777" w:rsidR="006410E1" w:rsidRPr="00FE7FBF" w:rsidRDefault="006410E1" w:rsidP="00995BE6">
            <w:pPr>
              <w:spacing w:before="120" w:after="120"/>
              <w:rPr>
                <w:b/>
                <w:sz w:val="16"/>
                <w:szCs w:val="16"/>
              </w:rPr>
            </w:pPr>
            <w:r>
              <w:rPr>
                <w:b/>
                <w:sz w:val="16"/>
              </w:rPr>
              <w:t>Bod</w:t>
            </w:r>
          </w:p>
        </w:tc>
        <w:tc>
          <w:tcPr>
            <w:tcW w:w="2380" w:type="dxa"/>
            <w:tcBorders>
              <w:top w:val="single" w:sz="6" w:space="0" w:color="auto"/>
              <w:bottom w:val="single" w:sz="6" w:space="0" w:color="auto"/>
            </w:tcBorders>
            <w:shd w:val="clear" w:color="auto" w:fill="FFFFFF" w:themeFill="background1"/>
          </w:tcPr>
          <w:p w14:paraId="29FCB382" w14:textId="77777777" w:rsidR="006410E1" w:rsidRPr="00FE7FBF" w:rsidRDefault="006410E1" w:rsidP="00995BE6">
            <w:pPr>
              <w:pStyle w:val="Fichefinanciretextetable"/>
              <w:spacing w:before="120" w:after="120"/>
              <w:rPr>
                <w:rFonts w:ascii="Verdana" w:hAnsi="Verdana"/>
                <w:b/>
                <w:sz w:val="16"/>
                <w:szCs w:val="16"/>
              </w:rPr>
            </w:pPr>
            <w:r>
              <w:rPr>
                <w:rFonts w:ascii="Verdana" w:hAnsi="Verdana"/>
                <w:b/>
                <w:sz w:val="16"/>
              </w:rPr>
              <w:t>Predmet</w:t>
            </w:r>
          </w:p>
        </w:tc>
        <w:tc>
          <w:tcPr>
            <w:tcW w:w="1488" w:type="dxa"/>
            <w:tcBorders>
              <w:top w:val="single" w:sz="6" w:space="0" w:color="auto"/>
              <w:bottom w:val="single" w:sz="6" w:space="0" w:color="auto"/>
            </w:tcBorders>
            <w:shd w:val="clear" w:color="auto" w:fill="FFFFFF" w:themeFill="background1"/>
          </w:tcPr>
          <w:p w14:paraId="5E7F43CA" w14:textId="77777777" w:rsidR="006410E1" w:rsidRPr="00FE7FBF" w:rsidRDefault="006410E1" w:rsidP="00995BE6">
            <w:pPr>
              <w:spacing w:before="120" w:after="120"/>
              <w:rPr>
                <w:b/>
                <w:sz w:val="16"/>
                <w:szCs w:val="16"/>
              </w:rPr>
            </w:pPr>
            <w:r>
              <w:rPr>
                <w:b/>
                <w:sz w:val="16"/>
              </w:rPr>
              <w:t>Číslo smernice alebo nariadenia EÚ</w:t>
            </w:r>
          </w:p>
        </w:tc>
        <w:tc>
          <w:tcPr>
            <w:tcW w:w="1950" w:type="dxa"/>
            <w:tcBorders>
              <w:top w:val="single" w:sz="6" w:space="0" w:color="auto"/>
              <w:bottom w:val="single" w:sz="6" w:space="0" w:color="auto"/>
            </w:tcBorders>
            <w:shd w:val="clear" w:color="auto" w:fill="FFFFFF" w:themeFill="background1"/>
          </w:tcPr>
          <w:p w14:paraId="535873C0" w14:textId="77777777" w:rsidR="006410E1" w:rsidRPr="00FE7FBF" w:rsidRDefault="006410E1" w:rsidP="00995BE6">
            <w:pPr>
              <w:spacing w:before="120" w:after="120"/>
              <w:jc w:val="center"/>
              <w:rPr>
                <w:b/>
                <w:sz w:val="16"/>
                <w:szCs w:val="16"/>
              </w:rPr>
            </w:pPr>
            <w:r>
              <w:rPr>
                <w:b/>
                <w:sz w:val="16"/>
              </w:rPr>
              <w:t>Typové schválenie malých sérií</w:t>
            </w:r>
          </w:p>
        </w:tc>
        <w:tc>
          <w:tcPr>
            <w:tcW w:w="1843" w:type="dxa"/>
            <w:tcBorders>
              <w:top w:val="single" w:sz="6" w:space="0" w:color="auto"/>
              <w:bottom w:val="single" w:sz="6" w:space="0" w:color="auto"/>
              <w:right w:val="single" w:sz="6" w:space="0" w:color="auto"/>
            </w:tcBorders>
            <w:shd w:val="clear" w:color="auto" w:fill="FFFFFF" w:themeFill="background1"/>
          </w:tcPr>
          <w:p w14:paraId="035D5EA7" w14:textId="62EB4A0D" w:rsidR="006410E1" w:rsidRPr="00FE7FBF" w:rsidRDefault="006410E1" w:rsidP="0079432B">
            <w:pPr>
              <w:spacing w:before="120" w:after="120"/>
              <w:jc w:val="center"/>
              <w:rPr>
                <w:b/>
                <w:sz w:val="16"/>
                <w:szCs w:val="16"/>
              </w:rPr>
            </w:pPr>
            <w:r>
              <w:rPr>
                <w:b/>
                <w:sz w:val="16"/>
              </w:rPr>
              <w:t>Kontrola pri registrácii a kontrola pri úprave vozidiel typovo schválených v malých sériách a upravených individuálnych vozidiel alebo dovezených upravených vozidiel</w:t>
            </w:r>
          </w:p>
        </w:tc>
        <w:tc>
          <w:tcPr>
            <w:tcW w:w="1758" w:type="dxa"/>
            <w:tcBorders>
              <w:top w:val="single" w:sz="6" w:space="0" w:color="auto"/>
              <w:bottom w:val="single" w:sz="6" w:space="0" w:color="auto"/>
              <w:right w:val="single" w:sz="6" w:space="0" w:color="auto"/>
            </w:tcBorders>
            <w:shd w:val="clear" w:color="auto" w:fill="FFFFFF" w:themeFill="background1"/>
          </w:tcPr>
          <w:p w14:paraId="3004CE3D" w14:textId="77777777" w:rsidR="006410E1" w:rsidRPr="007F024C" w:rsidRDefault="006410E1" w:rsidP="00995BE6">
            <w:pPr>
              <w:spacing w:before="120" w:after="120"/>
              <w:jc w:val="center"/>
              <w:rPr>
                <w:b/>
                <w:sz w:val="16"/>
                <w:szCs w:val="16"/>
              </w:rPr>
            </w:pPr>
            <w:r>
              <w:rPr>
                <w:b/>
                <w:sz w:val="16"/>
              </w:rPr>
              <w:t>Kontrola pri registrácii a kontrola pri úprave upraveného individuálneho vozidla kategórie L3e, L4e a L5e</w:t>
            </w:r>
          </w:p>
        </w:tc>
      </w:tr>
      <w:tr w:rsidR="006410E1" w14:paraId="05B8D91F" w14:textId="77777777" w:rsidTr="00FA6C1E">
        <w:trPr>
          <w:cantSplit/>
          <w:trHeight w:val="510"/>
          <w:jc w:val="center"/>
        </w:trPr>
        <w:tc>
          <w:tcPr>
            <w:tcW w:w="695" w:type="dxa"/>
            <w:tcBorders>
              <w:top w:val="nil"/>
            </w:tcBorders>
          </w:tcPr>
          <w:p w14:paraId="2401FF0F" w14:textId="77777777" w:rsidR="006410E1" w:rsidRPr="00FE7FBF" w:rsidRDefault="006410E1" w:rsidP="00995BE6">
            <w:pPr>
              <w:spacing w:before="120" w:after="120"/>
              <w:rPr>
                <w:sz w:val="16"/>
                <w:szCs w:val="16"/>
              </w:rPr>
            </w:pPr>
            <w:r>
              <w:rPr>
                <w:sz w:val="16"/>
              </w:rPr>
              <w:t>18</w:t>
            </w:r>
          </w:p>
        </w:tc>
        <w:tc>
          <w:tcPr>
            <w:tcW w:w="2380" w:type="dxa"/>
            <w:tcBorders>
              <w:top w:val="nil"/>
            </w:tcBorders>
          </w:tcPr>
          <w:p w14:paraId="7BA2A3DC" w14:textId="77777777" w:rsidR="006410E1" w:rsidRPr="00FE7FBF" w:rsidRDefault="006410E1" w:rsidP="00995BE6">
            <w:pPr>
              <w:spacing w:before="120" w:after="120"/>
              <w:rPr>
                <w:sz w:val="16"/>
                <w:szCs w:val="16"/>
              </w:rPr>
            </w:pPr>
            <w:r>
              <w:rPr>
                <w:sz w:val="16"/>
              </w:rPr>
              <w:t>Maximálny krútiaci moment a maximálny čistý výkon motora</w:t>
            </w:r>
          </w:p>
        </w:tc>
        <w:tc>
          <w:tcPr>
            <w:tcW w:w="1488" w:type="dxa"/>
            <w:tcBorders>
              <w:top w:val="nil"/>
            </w:tcBorders>
          </w:tcPr>
          <w:p w14:paraId="29751EB7" w14:textId="77777777" w:rsidR="006410E1" w:rsidRDefault="006410E1" w:rsidP="00995BE6">
            <w:pPr>
              <w:spacing w:before="120" w:after="120"/>
              <w:rPr>
                <w:sz w:val="16"/>
                <w:szCs w:val="16"/>
              </w:rPr>
            </w:pPr>
            <w:r>
              <w:rPr>
                <w:sz w:val="16"/>
              </w:rPr>
              <w:t>95/1/ES</w:t>
            </w:r>
          </w:p>
          <w:p w14:paraId="0D282C9F" w14:textId="3577FCBB" w:rsidR="006410E1" w:rsidRPr="00FE7FBF" w:rsidRDefault="006410E1" w:rsidP="00995BE6">
            <w:pPr>
              <w:spacing w:before="120" w:after="120"/>
              <w:rPr>
                <w:sz w:val="16"/>
                <w:szCs w:val="16"/>
              </w:rPr>
            </w:pPr>
            <w:r>
              <w:rPr>
                <w:sz w:val="16"/>
              </w:rPr>
              <w:t>(EÚ) č. 134/2014</w:t>
            </w:r>
          </w:p>
        </w:tc>
        <w:tc>
          <w:tcPr>
            <w:tcW w:w="1950" w:type="dxa"/>
            <w:tcBorders>
              <w:top w:val="nil"/>
            </w:tcBorders>
          </w:tcPr>
          <w:p w14:paraId="594496F1" w14:textId="77777777" w:rsidR="006410E1" w:rsidRPr="00FE7FBF" w:rsidRDefault="006410E1" w:rsidP="00995BE6">
            <w:pPr>
              <w:spacing w:before="120" w:after="120"/>
              <w:jc w:val="center"/>
              <w:rPr>
                <w:sz w:val="16"/>
                <w:szCs w:val="16"/>
              </w:rPr>
            </w:pPr>
            <w:r>
              <w:rPr>
                <w:sz w:val="16"/>
              </w:rPr>
              <w:t>C</w:t>
            </w:r>
          </w:p>
        </w:tc>
        <w:tc>
          <w:tcPr>
            <w:tcW w:w="1843" w:type="dxa"/>
            <w:tcBorders>
              <w:top w:val="nil"/>
            </w:tcBorders>
          </w:tcPr>
          <w:p w14:paraId="375F8AD2" w14:textId="77777777" w:rsidR="006410E1" w:rsidRPr="0061701C" w:rsidRDefault="006410E1" w:rsidP="00995BE6">
            <w:pPr>
              <w:spacing w:before="120" w:after="120"/>
              <w:jc w:val="center"/>
              <w:rPr>
                <w:sz w:val="16"/>
                <w:szCs w:val="16"/>
              </w:rPr>
            </w:pPr>
            <w:r>
              <w:rPr>
                <w:sz w:val="16"/>
              </w:rPr>
              <w:t>E</w:t>
            </w:r>
          </w:p>
        </w:tc>
        <w:tc>
          <w:tcPr>
            <w:tcW w:w="1758" w:type="dxa"/>
            <w:tcBorders>
              <w:top w:val="nil"/>
            </w:tcBorders>
          </w:tcPr>
          <w:p w14:paraId="675D6A03" w14:textId="0DF24B2C" w:rsidR="006410E1" w:rsidRPr="0061701C" w:rsidRDefault="006410E1" w:rsidP="00995BE6">
            <w:pPr>
              <w:spacing w:before="120" w:after="120"/>
              <w:jc w:val="center"/>
              <w:rPr>
                <w:sz w:val="16"/>
                <w:szCs w:val="16"/>
              </w:rPr>
            </w:pPr>
            <w:r>
              <w:rPr>
                <w:sz w:val="16"/>
              </w:rPr>
              <w:t>E</w:t>
            </w:r>
            <w:r>
              <w:rPr>
                <w:sz w:val="16"/>
                <w:vertAlign w:val="superscript"/>
              </w:rPr>
              <w:t>xx</w:t>
            </w:r>
          </w:p>
        </w:tc>
      </w:tr>
      <w:tr w:rsidR="006410E1" w14:paraId="66061761" w14:textId="77777777" w:rsidTr="00FA6C1E">
        <w:trPr>
          <w:cantSplit/>
          <w:trHeight w:val="510"/>
          <w:jc w:val="center"/>
        </w:trPr>
        <w:tc>
          <w:tcPr>
            <w:tcW w:w="695" w:type="dxa"/>
          </w:tcPr>
          <w:p w14:paraId="1F6E408C" w14:textId="77777777" w:rsidR="006410E1" w:rsidRPr="00FE7FBF" w:rsidRDefault="006410E1" w:rsidP="00995BE6">
            <w:pPr>
              <w:spacing w:before="120" w:after="120"/>
              <w:rPr>
                <w:sz w:val="16"/>
                <w:szCs w:val="16"/>
              </w:rPr>
            </w:pPr>
            <w:r>
              <w:rPr>
                <w:sz w:val="16"/>
              </w:rPr>
              <w:t>19</w:t>
            </w:r>
          </w:p>
        </w:tc>
        <w:tc>
          <w:tcPr>
            <w:tcW w:w="2380" w:type="dxa"/>
          </w:tcPr>
          <w:p w14:paraId="63AEFCDF" w14:textId="77777777" w:rsidR="006410E1" w:rsidRPr="00FE7FBF" w:rsidRDefault="006410E1" w:rsidP="00995BE6">
            <w:pPr>
              <w:spacing w:before="120" w:after="120"/>
              <w:rPr>
                <w:sz w:val="16"/>
                <w:szCs w:val="16"/>
              </w:rPr>
            </w:pPr>
            <w:r>
              <w:rPr>
                <w:sz w:val="16"/>
              </w:rPr>
              <w:t>Zabránenie zvyšovaniu výkonu mopedov a motocyklov</w:t>
            </w:r>
          </w:p>
        </w:tc>
        <w:tc>
          <w:tcPr>
            <w:tcW w:w="1488" w:type="dxa"/>
          </w:tcPr>
          <w:p w14:paraId="4B27D1D3" w14:textId="77777777" w:rsidR="006410E1" w:rsidRPr="00B911CF" w:rsidRDefault="006410E1" w:rsidP="00995BE6">
            <w:pPr>
              <w:spacing w:before="120" w:after="120"/>
              <w:rPr>
                <w:sz w:val="16"/>
                <w:szCs w:val="16"/>
              </w:rPr>
            </w:pPr>
            <w:r>
              <w:rPr>
                <w:sz w:val="16"/>
              </w:rPr>
              <w:t>97/24/ES</w:t>
            </w:r>
            <w:r>
              <w:rPr>
                <w:sz w:val="16"/>
              </w:rPr>
              <w:br/>
              <w:t>KAPITOLA 7</w:t>
            </w:r>
          </w:p>
          <w:p w14:paraId="51A96B2F" w14:textId="77777777" w:rsidR="006410E1" w:rsidRPr="00B911CF" w:rsidRDefault="006410E1" w:rsidP="00995BE6">
            <w:pPr>
              <w:spacing w:before="120" w:after="120"/>
              <w:rPr>
                <w:sz w:val="16"/>
                <w:szCs w:val="16"/>
              </w:rPr>
            </w:pPr>
            <w:r>
              <w:rPr>
                <w:sz w:val="16"/>
              </w:rPr>
              <w:t>(EÚ) č. 44/2014</w:t>
            </w:r>
          </w:p>
        </w:tc>
        <w:tc>
          <w:tcPr>
            <w:tcW w:w="1950" w:type="dxa"/>
          </w:tcPr>
          <w:p w14:paraId="6B81DA9D" w14:textId="77777777" w:rsidR="006410E1" w:rsidRPr="00FE7FBF" w:rsidRDefault="006410E1" w:rsidP="00995BE6">
            <w:pPr>
              <w:spacing w:before="120" w:after="120"/>
              <w:jc w:val="center"/>
              <w:rPr>
                <w:sz w:val="16"/>
                <w:szCs w:val="16"/>
              </w:rPr>
            </w:pPr>
            <w:r>
              <w:rPr>
                <w:sz w:val="16"/>
              </w:rPr>
              <w:t>A</w:t>
            </w:r>
          </w:p>
        </w:tc>
        <w:tc>
          <w:tcPr>
            <w:tcW w:w="1843" w:type="dxa"/>
          </w:tcPr>
          <w:p w14:paraId="6FACB27E" w14:textId="77777777" w:rsidR="006410E1" w:rsidRDefault="006410E1" w:rsidP="00995BE6">
            <w:pPr>
              <w:spacing w:before="120" w:after="120"/>
              <w:jc w:val="center"/>
              <w:rPr>
                <w:sz w:val="16"/>
                <w:szCs w:val="16"/>
              </w:rPr>
            </w:pPr>
            <w:r>
              <w:rPr>
                <w:sz w:val="16"/>
              </w:rPr>
              <w:t>H (mopedy)</w:t>
            </w:r>
          </w:p>
          <w:p w14:paraId="4F48768C" w14:textId="77777777" w:rsidR="006410E1" w:rsidRDefault="006410E1" w:rsidP="00995BE6">
            <w:pPr>
              <w:spacing w:before="120" w:after="120"/>
              <w:jc w:val="center"/>
              <w:rPr>
                <w:sz w:val="16"/>
                <w:szCs w:val="16"/>
              </w:rPr>
            </w:pPr>
            <w:r>
              <w:rPr>
                <w:sz w:val="16"/>
              </w:rPr>
              <w:t>C (motocykle)</w:t>
            </w:r>
          </w:p>
          <w:p w14:paraId="29F8AC8E" w14:textId="77777777" w:rsidR="006410E1" w:rsidRPr="00FE7FBF" w:rsidRDefault="006410E1" w:rsidP="00995BE6">
            <w:pPr>
              <w:spacing w:before="120" w:after="120"/>
              <w:jc w:val="center"/>
              <w:rPr>
                <w:sz w:val="16"/>
                <w:szCs w:val="16"/>
              </w:rPr>
            </w:pPr>
          </w:p>
        </w:tc>
        <w:tc>
          <w:tcPr>
            <w:tcW w:w="1758" w:type="dxa"/>
          </w:tcPr>
          <w:p w14:paraId="4400994E" w14:textId="77777777" w:rsidR="006410E1" w:rsidRDefault="006410E1" w:rsidP="00995BE6">
            <w:pPr>
              <w:spacing w:before="120" w:after="120"/>
              <w:jc w:val="center"/>
              <w:rPr>
                <w:sz w:val="16"/>
                <w:szCs w:val="16"/>
              </w:rPr>
            </w:pPr>
            <w:r>
              <w:rPr>
                <w:sz w:val="16"/>
              </w:rPr>
              <w:t>C</w:t>
            </w:r>
          </w:p>
        </w:tc>
      </w:tr>
      <w:tr w:rsidR="006410E1" w14:paraId="2619FCC1" w14:textId="77777777" w:rsidTr="00FA6C1E">
        <w:trPr>
          <w:cantSplit/>
          <w:trHeight w:val="510"/>
          <w:jc w:val="center"/>
        </w:trPr>
        <w:tc>
          <w:tcPr>
            <w:tcW w:w="695" w:type="dxa"/>
          </w:tcPr>
          <w:p w14:paraId="12BBE079" w14:textId="77777777" w:rsidR="006410E1" w:rsidRPr="00FE7FBF" w:rsidRDefault="006410E1" w:rsidP="00995BE6">
            <w:pPr>
              <w:spacing w:before="120" w:after="120"/>
              <w:rPr>
                <w:sz w:val="16"/>
                <w:szCs w:val="16"/>
              </w:rPr>
            </w:pPr>
            <w:r>
              <w:rPr>
                <w:sz w:val="16"/>
              </w:rPr>
              <w:t>20</w:t>
            </w:r>
          </w:p>
        </w:tc>
        <w:tc>
          <w:tcPr>
            <w:tcW w:w="2380" w:type="dxa"/>
          </w:tcPr>
          <w:p w14:paraId="4C9F3B94" w14:textId="77777777" w:rsidR="006410E1" w:rsidRPr="00FE7FBF" w:rsidRDefault="006410E1" w:rsidP="00995BE6">
            <w:pPr>
              <w:spacing w:before="120" w:after="120"/>
              <w:rPr>
                <w:sz w:val="16"/>
                <w:szCs w:val="16"/>
              </w:rPr>
            </w:pPr>
            <w:r>
              <w:rPr>
                <w:sz w:val="16"/>
              </w:rPr>
              <w:t>Palivová nádrž</w:t>
            </w:r>
          </w:p>
        </w:tc>
        <w:tc>
          <w:tcPr>
            <w:tcW w:w="1488" w:type="dxa"/>
          </w:tcPr>
          <w:p w14:paraId="13BD6A65" w14:textId="77777777" w:rsidR="006410E1" w:rsidRPr="00B911CF" w:rsidRDefault="006410E1" w:rsidP="00995BE6">
            <w:pPr>
              <w:spacing w:before="120" w:after="120"/>
              <w:rPr>
                <w:sz w:val="16"/>
                <w:szCs w:val="16"/>
              </w:rPr>
            </w:pPr>
            <w:r>
              <w:rPr>
                <w:sz w:val="16"/>
              </w:rPr>
              <w:t>97/24/ES</w:t>
            </w:r>
            <w:r>
              <w:rPr>
                <w:sz w:val="16"/>
              </w:rPr>
              <w:br/>
              <w:t>KAPITOLA 6</w:t>
            </w:r>
          </w:p>
          <w:p w14:paraId="64A75F0F" w14:textId="77777777" w:rsidR="006410E1" w:rsidRPr="00B911CF" w:rsidRDefault="006410E1" w:rsidP="00995BE6">
            <w:pPr>
              <w:spacing w:before="120" w:after="120"/>
              <w:rPr>
                <w:sz w:val="16"/>
                <w:szCs w:val="16"/>
              </w:rPr>
            </w:pPr>
            <w:r>
              <w:rPr>
                <w:sz w:val="16"/>
              </w:rPr>
              <w:t>(EÚ) č. 44/2014</w:t>
            </w:r>
          </w:p>
        </w:tc>
        <w:tc>
          <w:tcPr>
            <w:tcW w:w="1950" w:type="dxa"/>
          </w:tcPr>
          <w:p w14:paraId="03F6AF66" w14:textId="77777777" w:rsidR="006410E1" w:rsidRPr="00FE7FBF" w:rsidRDefault="006410E1" w:rsidP="00995BE6">
            <w:pPr>
              <w:spacing w:before="120" w:after="120"/>
              <w:jc w:val="center"/>
              <w:rPr>
                <w:sz w:val="16"/>
                <w:szCs w:val="16"/>
              </w:rPr>
            </w:pPr>
            <w:r>
              <w:rPr>
                <w:sz w:val="16"/>
              </w:rPr>
              <w:t>B</w:t>
            </w:r>
          </w:p>
        </w:tc>
        <w:tc>
          <w:tcPr>
            <w:tcW w:w="1843" w:type="dxa"/>
          </w:tcPr>
          <w:p w14:paraId="29B39394" w14:textId="77777777" w:rsidR="006410E1" w:rsidRPr="00FE7FBF" w:rsidRDefault="006410E1" w:rsidP="00995BE6">
            <w:pPr>
              <w:spacing w:before="120" w:after="120"/>
              <w:jc w:val="center"/>
              <w:rPr>
                <w:sz w:val="16"/>
                <w:szCs w:val="16"/>
              </w:rPr>
            </w:pPr>
            <w:r>
              <w:rPr>
                <w:sz w:val="16"/>
              </w:rPr>
              <w:t>B</w:t>
            </w:r>
            <w:r>
              <w:rPr>
                <w:rStyle w:val="EndnoteReference"/>
                <w:sz w:val="16"/>
                <w:szCs w:val="16"/>
              </w:rPr>
              <w:endnoteReference w:id="2"/>
            </w:r>
            <w:r>
              <w:rPr>
                <w:sz w:val="16"/>
              </w:rPr>
              <w:t>/I/E</w:t>
            </w:r>
            <w:r w:rsidRPr="003854EA">
              <w:rPr>
                <w:rStyle w:val="EndnoteReference"/>
                <w:sz w:val="16"/>
                <w:szCs w:val="16"/>
              </w:rPr>
              <w:endnoteReference w:id="3"/>
            </w:r>
          </w:p>
        </w:tc>
        <w:tc>
          <w:tcPr>
            <w:tcW w:w="1758" w:type="dxa"/>
          </w:tcPr>
          <w:p w14:paraId="69315F18" w14:textId="77777777" w:rsidR="006410E1" w:rsidRPr="0002054B" w:rsidRDefault="006410E1" w:rsidP="00995BE6">
            <w:pPr>
              <w:spacing w:before="120" w:after="120"/>
              <w:jc w:val="center"/>
              <w:rPr>
                <w:sz w:val="16"/>
                <w:szCs w:val="16"/>
              </w:rPr>
            </w:pPr>
            <w:r>
              <w:rPr>
                <w:sz w:val="16"/>
              </w:rPr>
              <w:t>B</w:t>
            </w:r>
            <w:r>
              <w:rPr>
                <w:sz w:val="16"/>
                <w:vertAlign w:val="superscript"/>
              </w:rPr>
              <w:t>i</w:t>
            </w:r>
            <w:r>
              <w:rPr>
                <w:sz w:val="16"/>
              </w:rPr>
              <w:t>/I/E</w:t>
            </w:r>
            <w:r>
              <w:rPr>
                <w:sz w:val="16"/>
                <w:vertAlign w:val="superscript"/>
              </w:rPr>
              <w:t>ii</w:t>
            </w:r>
          </w:p>
        </w:tc>
      </w:tr>
      <w:tr w:rsidR="006410E1" w14:paraId="5A892014" w14:textId="77777777" w:rsidTr="00FA6C1E">
        <w:trPr>
          <w:cantSplit/>
          <w:trHeight w:val="510"/>
          <w:jc w:val="center"/>
        </w:trPr>
        <w:tc>
          <w:tcPr>
            <w:tcW w:w="695" w:type="dxa"/>
          </w:tcPr>
          <w:p w14:paraId="4E023435" w14:textId="77777777" w:rsidR="006410E1" w:rsidRPr="00FE7FBF" w:rsidRDefault="006410E1" w:rsidP="00995BE6">
            <w:pPr>
              <w:spacing w:before="120" w:after="120"/>
              <w:rPr>
                <w:sz w:val="16"/>
                <w:szCs w:val="16"/>
              </w:rPr>
            </w:pPr>
            <w:r>
              <w:rPr>
                <w:sz w:val="16"/>
              </w:rPr>
              <w:lastRenderedPageBreak/>
              <w:t>25</w:t>
            </w:r>
          </w:p>
        </w:tc>
        <w:tc>
          <w:tcPr>
            <w:tcW w:w="2380" w:type="dxa"/>
          </w:tcPr>
          <w:p w14:paraId="4599A2A8" w14:textId="77777777" w:rsidR="006410E1" w:rsidRPr="00FE7FBF" w:rsidRDefault="006410E1" w:rsidP="00995BE6">
            <w:pPr>
              <w:spacing w:before="120" w:after="120"/>
              <w:rPr>
                <w:sz w:val="16"/>
                <w:szCs w:val="16"/>
              </w:rPr>
            </w:pPr>
            <w:r>
              <w:rPr>
                <w:sz w:val="16"/>
              </w:rPr>
              <w:t>Najvyššia konštrukčná rýchlosť</w:t>
            </w:r>
          </w:p>
        </w:tc>
        <w:tc>
          <w:tcPr>
            <w:tcW w:w="1488" w:type="dxa"/>
          </w:tcPr>
          <w:p w14:paraId="3201D2DC" w14:textId="77777777" w:rsidR="006410E1" w:rsidRDefault="006410E1" w:rsidP="00995BE6">
            <w:pPr>
              <w:spacing w:before="120" w:after="120"/>
              <w:rPr>
                <w:sz w:val="16"/>
                <w:szCs w:val="16"/>
              </w:rPr>
            </w:pPr>
            <w:r>
              <w:rPr>
                <w:sz w:val="16"/>
              </w:rPr>
              <w:t>95/1/ES</w:t>
            </w:r>
          </w:p>
          <w:p w14:paraId="0B0314DF" w14:textId="77777777" w:rsidR="006410E1" w:rsidRPr="00FE7FBF" w:rsidRDefault="006410E1" w:rsidP="00995BE6">
            <w:pPr>
              <w:spacing w:before="120" w:after="120"/>
              <w:rPr>
                <w:sz w:val="16"/>
                <w:szCs w:val="16"/>
              </w:rPr>
            </w:pPr>
            <w:r>
              <w:rPr>
                <w:sz w:val="16"/>
              </w:rPr>
              <w:t>(EÚ) č. 3/2014</w:t>
            </w:r>
          </w:p>
        </w:tc>
        <w:tc>
          <w:tcPr>
            <w:tcW w:w="1950" w:type="dxa"/>
          </w:tcPr>
          <w:p w14:paraId="1044656A" w14:textId="77777777" w:rsidR="006410E1" w:rsidRDefault="006410E1" w:rsidP="00995BE6">
            <w:pPr>
              <w:spacing w:before="120" w:after="120"/>
              <w:jc w:val="center"/>
              <w:rPr>
                <w:sz w:val="16"/>
                <w:szCs w:val="16"/>
              </w:rPr>
            </w:pPr>
            <w:r>
              <w:rPr>
                <w:sz w:val="16"/>
              </w:rPr>
              <w:t>A obmedzená rýchlosť</w:t>
            </w:r>
          </w:p>
          <w:p w14:paraId="2AF3420A" w14:textId="77777777" w:rsidR="006410E1" w:rsidRPr="00FE7FBF" w:rsidRDefault="006410E1" w:rsidP="00995BE6">
            <w:pPr>
              <w:spacing w:before="120" w:after="120"/>
              <w:jc w:val="center"/>
              <w:rPr>
                <w:sz w:val="16"/>
                <w:szCs w:val="16"/>
              </w:rPr>
            </w:pPr>
            <w:r>
              <w:rPr>
                <w:sz w:val="16"/>
              </w:rPr>
              <w:t>C neobmedzená rýchlosť</w:t>
            </w:r>
          </w:p>
        </w:tc>
        <w:tc>
          <w:tcPr>
            <w:tcW w:w="1843" w:type="dxa"/>
          </w:tcPr>
          <w:p w14:paraId="51394BC1" w14:textId="77777777" w:rsidR="006410E1" w:rsidRDefault="006410E1" w:rsidP="00995BE6">
            <w:pPr>
              <w:spacing w:before="120" w:after="120"/>
              <w:jc w:val="center"/>
              <w:rPr>
                <w:sz w:val="16"/>
                <w:szCs w:val="16"/>
              </w:rPr>
            </w:pPr>
            <w:r>
              <w:rPr>
                <w:sz w:val="16"/>
              </w:rPr>
              <w:t>H obmedzená rýchlosť</w:t>
            </w:r>
          </w:p>
          <w:p w14:paraId="1E1C07F4" w14:textId="77777777" w:rsidR="006410E1" w:rsidRPr="00FE7FBF" w:rsidRDefault="006410E1" w:rsidP="00995BE6">
            <w:pPr>
              <w:spacing w:before="120" w:after="120"/>
              <w:jc w:val="center"/>
              <w:rPr>
                <w:sz w:val="16"/>
                <w:szCs w:val="16"/>
              </w:rPr>
            </w:pPr>
            <w:r>
              <w:rPr>
                <w:sz w:val="16"/>
              </w:rPr>
              <w:t>neuplatňuje sa, ak rýchlosť nie je obmedzená</w:t>
            </w:r>
          </w:p>
        </w:tc>
        <w:tc>
          <w:tcPr>
            <w:tcW w:w="1758" w:type="dxa"/>
          </w:tcPr>
          <w:p w14:paraId="3469D124" w14:textId="77777777" w:rsidR="006410E1" w:rsidRPr="008A60D7" w:rsidRDefault="006410E1" w:rsidP="00995BE6">
            <w:pPr>
              <w:spacing w:before="120" w:after="120"/>
              <w:jc w:val="center"/>
              <w:rPr>
                <w:sz w:val="16"/>
                <w:szCs w:val="16"/>
              </w:rPr>
            </w:pPr>
            <w:r>
              <w:rPr>
                <w:sz w:val="16"/>
              </w:rPr>
              <w:t>neuplatňuje sa</w:t>
            </w:r>
          </w:p>
        </w:tc>
      </w:tr>
      <w:tr w:rsidR="006410E1" w14:paraId="5C48D62D" w14:textId="77777777" w:rsidTr="00FA6C1E">
        <w:trPr>
          <w:cantSplit/>
          <w:trHeight w:val="510"/>
          <w:jc w:val="center"/>
        </w:trPr>
        <w:tc>
          <w:tcPr>
            <w:tcW w:w="695" w:type="dxa"/>
          </w:tcPr>
          <w:p w14:paraId="59A07C7A" w14:textId="77777777" w:rsidR="006410E1" w:rsidRPr="00EA1E21" w:rsidRDefault="006410E1" w:rsidP="00995BE6">
            <w:pPr>
              <w:spacing w:before="120" w:after="120"/>
              <w:rPr>
                <w:sz w:val="16"/>
                <w:szCs w:val="16"/>
              </w:rPr>
            </w:pPr>
            <w:r>
              <w:rPr>
                <w:sz w:val="16"/>
              </w:rPr>
              <w:t>26</w:t>
            </w:r>
          </w:p>
        </w:tc>
        <w:tc>
          <w:tcPr>
            <w:tcW w:w="2380" w:type="dxa"/>
          </w:tcPr>
          <w:p w14:paraId="7CD42CA8" w14:textId="77777777" w:rsidR="006410E1" w:rsidRPr="00FE7FBF" w:rsidRDefault="006410E1" w:rsidP="00995BE6">
            <w:pPr>
              <w:spacing w:before="120" w:after="120"/>
              <w:rPr>
                <w:sz w:val="16"/>
                <w:szCs w:val="16"/>
              </w:rPr>
            </w:pPr>
            <w:r>
              <w:rPr>
                <w:sz w:val="16"/>
              </w:rPr>
              <w:t>Hmotnosti a rozmery</w:t>
            </w:r>
          </w:p>
        </w:tc>
        <w:tc>
          <w:tcPr>
            <w:tcW w:w="1488" w:type="dxa"/>
          </w:tcPr>
          <w:p w14:paraId="72C22F26" w14:textId="77777777" w:rsidR="006410E1" w:rsidRDefault="006410E1" w:rsidP="00995BE6">
            <w:pPr>
              <w:spacing w:before="120" w:after="120"/>
              <w:rPr>
                <w:sz w:val="16"/>
                <w:szCs w:val="16"/>
              </w:rPr>
            </w:pPr>
            <w:r>
              <w:rPr>
                <w:sz w:val="16"/>
              </w:rPr>
              <w:t>93/93/EHS</w:t>
            </w:r>
          </w:p>
          <w:p w14:paraId="1E97CA67" w14:textId="77777777" w:rsidR="006410E1" w:rsidRPr="00FE7FBF" w:rsidRDefault="006410E1" w:rsidP="00995BE6">
            <w:pPr>
              <w:spacing w:before="120" w:after="120"/>
              <w:rPr>
                <w:sz w:val="16"/>
                <w:szCs w:val="16"/>
              </w:rPr>
            </w:pPr>
            <w:r>
              <w:rPr>
                <w:sz w:val="16"/>
              </w:rPr>
              <w:t>(EÚ) č. 44/2014</w:t>
            </w:r>
          </w:p>
        </w:tc>
        <w:tc>
          <w:tcPr>
            <w:tcW w:w="1950" w:type="dxa"/>
          </w:tcPr>
          <w:p w14:paraId="403CA62A" w14:textId="77777777" w:rsidR="006410E1" w:rsidRPr="00FE7FBF" w:rsidRDefault="006410E1" w:rsidP="00995BE6">
            <w:pPr>
              <w:spacing w:before="120" w:after="120"/>
              <w:jc w:val="center"/>
              <w:rPr>
                <w:sz w:val="16"/>
                <w:szCs w:val="16"/>
              </w:rPr>
            </w:pPr>
            <w:r>
              <w:rPr>
                <w:sz w:val="16"/>
              </w:rPr>
              <w:t>C</w:t>
            </w:r>
          </w:p>
        </w:tc>
        <w:tc>
          <w:tcPr>
            <w:tcW w:w="1843" w:type="dxa"/>
          </w:tcPr>
          <w:p w14:paraId="71BF5D71" w14:textId="77777777" w:rsidR="006410E1" w:rsidRPr="00FE7FBF" w:rsidRDefault="006410E1" w:rsidP="00995BE6">
            <w:pPr>
              <w:spacing w:before="120" w:after="120"/>
              <w:jc w:val="center"/>
              <w:rPr>
                <w:sz w:val="16"/>
                <w:szCs w:val="16"/>
              </w:rPr>
            </w:pPr>
            <w:r>
              <w:rPr>
                <w:sz w:val="16"/>
              </w:rPr>
              <w:t>C</w:t>
            </w:r>
            <w:r>
              <w:rPr>
                <w:rStyle w:val="EndnoteReference"/>
                <w:sz w:val="16"/>
                <w:szCs w:val="16"/>
              </w:rPr>
              <w:endnoteReference w:id="4"/>
            </w:r>
          </w:p>
        </w:tc>
        <w:tc>
          <w:tcPr>
            <w:tcW w:w="1758" w:type="dxa"/>
          </w:tcPr>
          <w:p w14:paraId="55709D21" w14:textId="77777777" w:rsidR="006410E1" w:rsidRPr="001A4A7D" w:rsidRDefault="006410E1" w:rsidP="00995BE6">
            <w:pPr>
              <w:spacing w:before="120" w:after="120"/>
              <w:jc w:val="center"/>
              <w:rPr>
                <w:sz w:val="16"/>
                <w:szCs w:val="16"/>
                <w:vertAlign w:val="superscript"/>
              </w:rPr>
            </w:pPr>
            <w:r>
              <w:rPr>
                <w:sz w:val="16"/>
              </w:rPr>
              <w:t>C</w:t>
            </w:r>
            <w:r>
              <w:rPr>
                <w:sz w:val="16"/>
                <w:vertAlign w:val="superscript"/>
              </w:rPr>
              <w:t>iii</w:t>
            </w:r>
          </w:p>
        </w:tc>
      </w:tr>
      <w:tr w:rsidR="006410E1" w14:paraId="140DE906" w14:textId="77777777" w:rsidTr="00FA6C1E">
        <w:trPr>
          <w:cantSplit/>
          <w:trHeight w:val="510"/>
          <w:jc w:val="center"/>
        </w:trPr>
        <w:tc>
          <w:tcPr>
            <w:tcW w:w="695" w:type="dxa"/>
          </w:tcPr>
          <w:p w14:paraId="714D585B" w14:textId="77777777" w:rsidR="006410E1" w:rsidRPr="00FE7FBF" w:rsidRDefault="006410E1" w:rsidP="00995BE6">
            <w:pPr>
              <w:spacing w:before="120" w:after="120"/>
              <w:rPr>
                <w:sz w:val="16"/>
                <w:szCs w:val="16"/>
              </w:rPr>
            </w:pPr>
            <w:r>
              <w:rPr>
                <w:sz w:val="16"/>
              </w:rPr>
              <w:t>27</w:t>
            </w:r>
          </w:p>
        </w:tc>
        <w:tc>
          <w:tcPr>
            <w:tcW w:w="2380" w:type="dxa"/>
          </w:tcPr>
          <w:p w14:paraId="3F439D5C" w14:textId="77777777" w:rsidR="006410E1" w:rsidRPr="00FE7FBF" w:rsidRDefault="006410E1" w:rsidP="00995BE6">
            <w:pPr>
              <w:spacing w:before="120" w:after="120"/>
              <w:rPr>
                <w:sz w:val="16"/>
                <w:szCs w:val="16"/>
              </w:rPr>
            </w:pPr>
            <w:r>
              <w:rPr>
                <w:sz w:val="16"/>
              </w:rPr>
              <w:t>Spojovacie a prídavné zariadenia</w:t>
            </w:r>
          </w:p>
        </w:tc>
        <w:tc>
          <w:tcPr>
            <w:tcW w:w="1488" w:type="dxa"/>
          </w:tcPr>
          <w:p w14:paraId="1FF8A778" w14:textId="77777777" w:rsidR="006410E1" w:rsidRPr="00B911CF" w:rsidRDefault="006410E1" w:rsidP="00995BE6">
            <w:pPr>
              <w:spacing w:before="120" w:after="120"/>
              <w:rPr>
                <w:sz w:val="16"/>
                <w:szCs w:val="16"/>
              </w:rPr>
            </w:pPr>
            <w:r>
              <w:rPr>
                <w:sz w:val="16"/>
              </w:rPr>
              <w:t>97/24/ES</w:t>
            </w:r>
            <w:r>
              <w:rPr>
                <w:sz w:val="16"/>
              </w:rPr>
              <w:br/>
              <w:t>KAPITOLA 10</w:t>
            </w:r>
          </w:p>
          <w:p w14:paraId="213D604A" w14:textId="77777777" w:rsidR="006410E1" w:rsidRPr="00B911CF" w:rsidRDefault="006410E1" w:rsidP="00995BE6">
            <w:pPr>
              <w:spacing w:before="120" w:after="120"/>
              <w:rPr>
                <w:sz w:val="16"/>
                <w:szCs w:val="16"/>
              </w:rPr>
            </w:pPr>
            <w:r>
              <w:rPr>
                <w:sz w:val="16"/>
              </w:rPr>
              <w:t>(EÚ) č. 44/2014</w:t>
            </w:r>
          </w:p>
        </w:tc>
        <w:tc>
          <w:tcPr>
            <w:tcW w:w="1950" w:type="dxa"/>
          </w:tcPr>
          <w:p w14:paraId="4AA3CB7A" w14:textId="77777777" w:rsidR="006410E1" w:rsidRPr="00FE7FBF" w:rsidRDefault="006410E1" w:rsidP="00995BE6">
            <w:pPr>
              <w:spacing w:before="120" w:after="120"/>
              <w:jc w:val="center"/>
              <w:rPr>
                <w:sz w:val="16"/>
                <w:szCs w:val="16"/>
              </w:rPr>
            </w:pPr>
            <w:r>
              <w:rPr>
                <w:sz w:val="16"/>
              </w:rPr>
              <w:t>B</w:t>
            </w:r>
          </w:p>
        </w:tc>
        <w:tc>
          <w:tcPr>
            <w:tcW w:w="1843" w:type="dxa"/>
          </w:tcPr>
          <w:p w14:paraId="08C1E3EF" w14:textId="77777777" w:rsidR="006410E1" w:rsidRPr="00FE7FBF" w:rsidRDefault="006410E1" w:rsidP="00995BE6">
            <w:pPr>
              <w:spacing w:before="120" w:after="120"/>
              <w:jc w:val="center"/>
              <w:rPr>
                <w:sz w:val="16"/>
                <w:szCs w:val="16"/>
              </w:rPr>
            </w:pPr>
            <w:r>
              <w:rPr>
                <w:sz w:val="16"/>
              </w:rPr>
              <w:t>B/I</w:t>
            </w:r>
          </w:p>
        </w:tc>
        <w:tc>
          <w:tcPr>
            <w:tcW w:w="1758" w:type="dxa"/>
          </w:tcPr>
          <w:p w14:paraId="11520EC9" w14:textId="77777777" w:rsidR="006410E1" w:rsidRPr="00FE7FBF" w:rsidRDefault="006410E1" w:rsidP="00995BE6">
            <w:pPr>
              <w:spacing w:before="120" w:after="120"/>
              <w:jc w:val="center"/>
              <w:rPr>
                <w:sz w:val="16"/>
                <w:szCs w:val="16"/>
              </w:rPr>
            </w:pPr>
            <w:r>
              <w:rPr>
                <w:sz w:val="16"/>
              </w:rPr>
              <w:t>C</w:t>
            </w:r>
          </w:p>
        </w:tc>
      </w:tr>
      <w:tr w:rsidR="006410E1" w14:paraId="2E0C8232" w14:textId="77777777" w:rsidTr="00FA6C1E">
        <w:trPr>
          <w:cantSplit/>
          <w:trHeight w:val="510"/>
          <w:jc w:val="center"/>
        </w:trPr>
        <w:tc>
          <w:tcPr>
            <w:tcW w:w="695" w:type="dxa"/>
          </w:tcPr>
          <w:p w14:paraId="74B140E6" w14:textId="77777777" w:rsidR="006410E1" w:rsidRPr="00EA1E21" w:rsidRDefault="006410E1" w:rsidP="00995BE6">
            <w:pPr>
              <w:spacing w:before="120" w:after="120"/>
              <w:rPr>
                <w:sz w:val="16"/>
                <w:szCs w:val="16"/>
              </w:rPr>
            </w:pPr>
            <w:r>
              <w:rPr>
                <w:sz w:val="16"/>
              </w:rPr>
              <w:t>28</w:t>
            </w:r>
          </w:p>
        </w:tc>
        <w:tc>
          <w:tcPr>
            <w:tcW w:w="2380" w:type="dxa"/>
          </w:tcPr>
          <w:p w14:paraId="4F13C0D3" w14:textId="77777777" w:rsidR="006410E1" w:rsidRPr="00FE7FBF" w:rsidRDefault="006410E1" w:rsidP="00995BE6">
            <w:pPr>
              <w:spacing w:before="120" w:after="120"/>
              <w:rPr>
                <w:sz w:val="16"/>
                <w:szCs w:val="16"/>
              </w:rPr>
            </w:pPr>
            <w:r>
              <w:rPr>
                <w:sz w:val="16"/>
              </w:rPr>
              <w:t>Opatrenia proti znečisťovaniu ovzdušia</w:t>
            </w:r>
          </w:p>
        </w:tc>
        <w:tc>
          <w:tcPr>
            <w:tcW w:w="1488" w:type="dxa"/>
          </w:tcPr>
          <w:p w14:paraId="43D92F80" w14:textId="77777777" w:rsidR="006410E1" w:rsidRPr="00FE7FBF" w:rsidRDefault="006410E1" w:rsidP="00995BE6">
            <w:pPr>
              <w:spacing w:before="120" w:after="120"/>
              <w:rPr>
                <w:bCs/>
                <w:sz w:val="16"/>
                <w:szCs w:val="16"/>
              </w:rPr>
            </w:pPr>
            <w:r>
              <w:rPr>
                <w:sz w:val="16"/>
              </w:rPr>
              <w:t>97/24/ES</w:t>
            </w:r>
            <w:r>
              <w:rPr>
                <w:sz w:val="16"/>
              </w:rPr>
              <w:br/>
              <w:t>KAPITOLA 5</w:t>
            </w:r>
          </w:p>
          <w:p w14:paraId="7E001AF6" w14:textId="77777777" w:rsidR="006410E1" w:rsidRPr="00FE7FBF" w:rsidRDefault="006410E1" w:rsidP="00995BE6">
            <w:pPr>
              <w:spacing w:before="120" w:after="120"/>
              <w:rPr>
                <w:bCs/>
                <w:sz w:val="16"/>
                <w:szCs w:val="16"/>
              </w:rPr>
            </w:pPr>
            <w:r>
              <w:rPr>
                <w:sz w:val="16"/>
              </w:rPr>
              <w:t>- 2002/51/ES</w:t>
            </w:r>
          </w:p>
          <w:p w14:paraId="65174AEC" w14:textId="77777777" w:rsidR="006410E1" w:rsidRPr="00FE7FBF" w:rsidRDefault="006410E1" w:rsidP="00995BE6">
            <w:pPr>
              <w:spacing w:before="120" w:after="120"/>
              <w:rPr>
                <w:bCs/>
                <w:sz w:val="16"/>
                <w:szCs w:val="16"/>
              </w:rPr>
            </w:pPr>
            <w:r>
              <w:rPr>
                <w:sz w:val="16"/>
              </w:rPr>
              <w:t>- 2003/77/ES</w:t>
            </w:r>
          </w:p>
          <w:p w14:paraId="49A22DCE" w14:textId="77777777" w:rsidR="006410E1" w:rsidRPr="00FE7FBF" w:rsidRDefault="006410E1" w:rsidP="00995BE6">
            <w:pPr>
              <w:spacing w:before="120" w:after="120"/>
              <w:rPr>
                <w:bCs/>
                <w:sz w:val="16"/>
                <w:szCs w:val="16"/>
              </w:rPr>
            </w:pPr>
            <w:r>
              <w:rPr>
                <w:sz w:val="16"/>
              </w:rPr>
              <w:t>- 2005/30/ES</w:t>
            </w:r>
            <w:r>
              <w:rPr>
                <w:sz w:val="16"/>
                <w:vertAlign w:val="superscript"/>
              </w:rPr>
              <w:t>4a</w:t>
            </w:r>
          </w:p>
          <w:p w14:paraId="6DC40B27" w14:textId="77777777" w:rsidR="006410E1" w:rsidRPr="00FE7FBF" w:rsidRDefault="006410E1" w:rsidP="00995BE6">
            <w:pPr>
              <w:autoSpaceDE w:val="0"/>
              <w:autoSpaceDN w:val="0"/>
              <w:adjustRightInd w:val="0"/>
              <w:spacing w:before="120" w:after="120"/>
              <w:rPr>
                <w:bCs/>
                <w:sz w:val="16"/>
                <w:szCs w:val="16"/>
                <w:vertAlign w:val="superscript"/>
              </w:rPr>
            </w:pPr>
            <w:r>
              <w:rPr>
                <w:sz w:val="16"/>
              </w:rPr>
              <w:t>- 2006/120/ES</w:t>
            </w:r>
            <w:r>
              <w:rPr>
                <w:sz w:val="16"/>
                <w:vertAlign w:val="superscript"/>
              </w:rPr>
              <w:t>4a</w:t>
            </w:r>
          </w:p>
          <w:p w14:paraId="14ECD6C6" w14:textId="77777777" w:rsidR="006410E1" w:rsidRDefault="006410E1" w:rsidP="00995BE6">
            <w:pPr>
              <w:autoSpaceDE w:val="0"/>
              <w:autoSpaceDN w:val="0"/>
              <w:adjustRightInd w:val="0"/>
              <w:spacing w:before="120" w:after="120"/>
              <w:rPr>
                <w:sz w:val="16"/>
                <w:szCs w:val="16"/>
              </w:rPr>
            </w:pPr>
            <w:r>
              <w:rPr>
                <w:sz w:val="16"/>
              </w:rPr>
              <w:t>- 2009/108/ES</w:t>
            </w:r>
          </w:p>
          <w:p w14:paraId="5CF82A4B" w14:textId="77777777" w:rsidR="006410E1" w:rsidRPr="00FE7FBF" w:rsidRDefault="006410E1" w:rsidP="00995BE6">
            <w:pPr>
              <w:autoSpaceDE w:val="0"/>
              <w:autoSpaceDN w:val="0"/>
              <w:adjustRightInd w:val="0"/>
              <w:spacing w:before="120" w:after="120"/>
              <w:rPr>
                <w:sz w:val="16"/>
                <w:szCs w:val="16"/>
              </w:rPr>
            </w:pPr>
            <w:r>
              <w:rPr>
                <w:sz w:val="16"/>
              </w:rPr>
              <w:t>(EÚ) č. 134/2014</w:t>
            </w:r>
          </w:p>
        </w:tc>
        <w:tc>
          <w:tcPr>
            <w:tcW w:w="1950" w:type="dxa"/>
          </w:tcPr>
          <w:p w14:paraId="377B5A36" w14:textId="77777777" w:rsidR="006410E1" w:rsidRPr="00FE7FBF" w:rsidRDefault="006410E1" w:rsidP="00995BE6">
            <w:pPr>
              <w:spacing w:before="120" w:after="120"/>
              <w:jc w:val="center"/>
              <w:rPr>
                <w:sz w:val="16"/>
                <w:szCs w:val="16"/>
              </w:rPr>
            </w:pPr>
            <w:r>
              <w:rPr>
                <w:sz w:val="16"/>
              </w:rPr>
              <w:t>A</w:t>
            </w:r>
          </w:p>
        </w:tc>
        <w:tc>
          <w:tcPr>
            <w:tcW w:w="1843" w:type="dxa"/>
          </w:tcPr>
          <w:p w14:paraId="124090BA" w14:textId="77777777" w:rsidR="006410E1" w:rsidRPr="00FE7FBF" w:rsidRDefault="006410E1" w:rsidP="00995BE6">
            <w:pPr>
              <w:spacing w:before="120" w:after="120"/>
              <w:jc w:val="center"/>
              <w:rPr>
                <w:sz w:val="16"/>
                <w:szCs w:val="16"/>
              </w:rPr>
            </w:pPr>
            <w:r>
              <w:rPr>
                <w:sz w:val="16"/>
              </w:rPr>
              <w:t>H/E</w:t>
            </w:r>
            <w:r w:rsidRPr="003854EA">
              <w:rPr>
                <w:rStyle w:val="EndnoteReference"/>
                <w:sz w:val="16"/>
                <w:szCs w:val="16"/>
              </w:rPr>
              <w:endnoteReference w:id="5"/>
            </w:r>
            <w:r>
              <w:rPr>
                <w:sz w:val="16"/>
              </w:rPr>
              <w:t>/I/B</w:t>
            </w:r>
            <w:r>
              <w:rPr>
                <w:rStyle w:val="EndnoteReference"/>
                <w:sz w:val="16"/>
                <w:szCs w:val="16"/>
              </w:rPr>
              <w:endnoteReference w:id="6"/>
            </w:r>
          </w:p>
          <w:p w14:paraId="51FCF182"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7"/>
            </w:r>
          </w:p>
        </w:tc>
        <w:tc>
          <w:tcPr>
            <w:tcW w:w="1758" w:type="dxa"/>
          </w:tcPr>
          <w:p w14:paraId="6FC9DC12" w14:textId="52A9BADD" w:rsidR="006410E1" w:rsidRPr="00B1392B" w:rsidRDefault="006410E1" w:rsidP="006A609B">
            <w:pPr>
              <w:spacing w:before="120" w:after="120"/>
              <w:jc w:val="center"/>
              <w:rPr>
                <w:sz w:val="16"/>
                <w:szCs w:val="16"/>
                <w:vertAlign w:val="superscript"/>
              </w:rPr>
            </w:pPr>
            <w:r>
              <w:rPr>
                <w:sz w:val="16"/>
              </w:rPr>
              <w:t>E</w:t>
            </w:r>
            <w:r>
              <w:rPr>
                <w:sz w:val="16"/>
                <w:vertAlign w:val="superscript"/>
              </w:rPr>
              <w:t>iv,</w:t>
            </w:r>
            <w:r w:rsidRPr="003854EA">
              <w:rPr>
                <w:rStyle w:val="EndnoteReference"/>
                <w:sz w:val="16"/>
                <w:szCs w:val="16"/>
              </w:rPr>
              <w:endnoteReference w:id="8"/>
            </w:r>
          </w:p>
        </w:tc>
      </w:tr>
      <w:tr w:rsidR="006410E1" w14:paraId="4251ADDA" w14:textId="77777777" w:rsidTr="00FA6C1E">
        <w:trPr>
          <w:cantSplit/>
          <w:trHeight w:val="510"/>
          <w:jc w:val="center"/>
        </w:trPr>
        <w:tc>
          <w:tcPr>
            <w:tcW w:w="695" w:type="dxa"/>
          </w:tcPr>
          <w:p w14:paraId="30EB821F" w14:textId="77777777" w:rsidR="006410E1" w:rsidRPr="00FE7FBF" w:rsidRDefault="006410E1" w:rsidP="00995BE6">
            <w:pPr>
              <w:spacing w:before="120" w:after="120"/>
              <w:rPr>
                <w:sz w:val="16"/>
                <w:szCs w:val="16"/>
              </w:rPr>
            </w:pPr>
            <w:r>
              <w:rPr>
                <w:sz w:val="16"/>
              </w:rPr>
              <w:t>29</w:t>
            </w:r>
          </w:p>
        </w:tc>
        <w:tc>
          <w:tcPr>
            <w:tcW w:w="2380" w:type="dxa"/>
          </w:tcPr>
          <w:p w14:paraId="55EB9D74" w14:textId="77777777" w:rsidR="006410E1" w:rsidRPr="00FE7FBF" w:rsidRDefault="006410E1" w:rsidP="00995BE6">
            <w:pPr>
              <w:spacing w:before="120" w:after="120"/>
              <w:rPr>
                <w:sz w:val="16"/>
                <w:szCs w:val="16"/>
              </w:rPr>
            </w:pPr>
            <w:r>
              <w:rPr>
                <w:sz w:val="16"/>
              </w:rPr>
              <w:t>Pneumatiky</w:t>
            </w:r>
          </w:p>
        </w:tc>
        <w:tc>
          <w:tcPr>
            <w:tcW w:w="1488" w:type="dxa"/>
          </w:tcPr>
          <w:p w14:paraId="4B043BD7" w14:textId="77777777" w:rsidR="006410E1" w:rsidRPr="00B911CF" w:rsidRDefault="006410E1" w:rsidP="00995BE6">
            <w:pPr>
              <w:spacing w:before="120" w:after="120"/>
              <w:rPr>
                <w:sz w:val="16"/>
                <w:szCs w:val="16"/>
              </w:rPr>
            </w:pPr>
            <w:r>
              <w:rPr>
                <w:sz w:val="16"/>
              </w:rPr>
              <w:t>97/24/ES</w:t>
            </w:r>
            <w:r>
              <w:rPr>
                <w:sz w:val="16"/>
              </w:rPr>
              <w:br/>
              <w:t>KAPITOLA 1</w:t>
            </w:r>
          </w:p>
          <w:p w14:paraId="7C7872A1" w14:textId="77777777" w:rsidR="006410E1" w:rsidRPr="00B911CF" w:rsidRDefault="006410E1" w:rsidP="00995BE6">
            <w:pPr>
              <w:spacing w:before="120" w:after="120"/>
              <w:rPr>
                <w:sz w:val="16"/>
                <w:szCs w:val="16"/>
              </w:rPr>
            </w:pPr>
            <w:r>
              <w:rPr>
                <w:sz w:val="16"/>
              </w:rPr>
              <w:t>(EÚ) č. 3/2014</w:t>
            </w:r>
          </w:p>
        </w:tc>
        <w:tc>
          <w:tcPr>
            <w:tcW w:w="1950" w:type="dxa"/>
          </w:tcPr>
          <w:p w14:paraId="33D28E4A" w14:textId="77777777" w:rsidR="006410E1" w:rsidRDefault="006410E1" w:rsidP="00995BE6">
            <w:pPr>
              <w:spacing w:before="120" w:after="120"/>
              <w:jc w:val="center"/>
              <w:rPr>
                <w:sz w:val="16"/>
                <w:szCs w:val="16"/>
              </w:rPr>
            </w:pPr>
            <w:r>
              <w:rPr>
                <w:sz w:val="16"/>
              </w:rPr>
              <w:t>B montáž</w:t>
            </w:r>
          </w:p>
          <w:p w14:paraId="2FA973D7" w14:textId="77777777" w:rsidR="006410E1" w:rsidRPr="00FE7FBF" w:rsidRDefault="006410E1" w:rsidP="00995BE6">
            <w:pPr>
              <w:spacing w:before="120" w:after="120"/>
              <w:jc w:val="center"/>
              <w:rPr>
                <w:sz w:val="16"/>
                <w:szCs w:val="16"/>
              </w:rPr>
            </w:pPr>
            <w:r>
              <w:rPr>
                <w:sz w:val="16"/>
              </w:rPr>
              <w:t>X komponenty</w:t>
            </w:r>
          </w:p>
        </w:tc>
        <w:tc>
          <w:tcPr>
            <w:tcW w:w="1843" w:type="dxa"/>
          </w:tcPr>
          <w:p w14:paraId="12CDD979" w14:textId="77777777" w:rsidR="006410E1" w:rsidRDefault="006410E1" w:rsidP="00995BE6">
            <w:pPr>
              <w:spacing w:before="120" w:after="120"/>
              <w:jc w:val="center"/>
              <w:rPr>
                <w:sz w:val="16"/>
                <w:szCs w:val="16"/>
              </w:rPr>
            </w:pPr>
            <w:r>
              <w:rPr>
                <w:sz w:val="16"/>
              </w:rPr>
              <w:t>E montáž</w:t>
            </w:r>
          </w:p>
          <w:p w14:paraId="7E1CACAD" w14:textId="77777777" w:rsidR="006410E1" w:rsidRPr="00FE7FBF" w:rsidRDefault="006410E1" w:rsidP="00995BE6">
            <w:pPr>
              <w:spacing w:before="120" w:after="120"/>
              <w:jc w:val="center"/>
              <w:rPr>
                <w:sz w:val="16"/>
                <w:szCs w:val="16"/>
              </w:rPr>
            </w:pPr>
            <w:r>
              <w:rPr>
                <w:sz w:val="16"/>
              </w:rPr>
              <w:t>X komponenty</w:t>
            </w:r>
          </w:p>
        </w:tc>
        <w:tc>
          <w:tcPr>
            <w:tcW w:w="1758" w:type="dxa"/>
          </w:tcPr>
          <w:p w14:paraId="2D19721E" w14:textId="77777777" w:rsidR="006410E1" w:rsidRPr="003854EA" w:rsidRDefault="006410E1" w:rsidP="00995BE6">
            <w:pPr>
              <w:spacing w:before="120" w:after="120"/>
              <w:jc w:val="center"/>
              <w:rPr>
                <w:sz w:val="16"/>
                <w:szCs w:val="16"/>
              </w:rPr>
            </w:pPr>
            <w:r>
              <w:rPr>
                <w:sz w:val="16"/>
              </w:rPr>
              <w:t>E montáž</w:t>
            </w:r>
          </w:p>
          <w:p w14:paraId="443BB9BF" w14:textId="77777777" w:rsidR="006410E1" w:rsidRDefault="006410E1" w:rsidP="00995BE6">
            <w:pPr>
              <w:spacing w:before="120" w:after="120"/>
              <w:jc w:val="center"/>
              <w:rPr>
                <w:sz w:val="16"/>
                <w:szCs w:val="16"/>
              </w:rPr>
            </w:pPr>
            <w:r>
              <w:rPr>
                <w:sz w:val="16"/>
              </w:rPr>
              <w:t>X komponenty</w:t>
            </w:r>
          </w:p>
        </w:tc>
      </w:tr>
      <w:tr w:rsidR="006410E1" w14:paraId="2CC3C9EA" w14:textId="77777777" w:rsidTr="00FA6C1E">
        <w:trPr>
          <w:cantSplit/>
          <w:trHeight w:val="510"/>
          <w:jc w:val="center"/>
        </w:trPr>
        <w:tc>
          <w:tcPr>
            <w:tcW w:w="695" w:type="dxa"/>
          </w:tcPr>
          <w:p w14:paraId="52875963" w14:textId="77777777" w:rsidR="006410E1" w:rsidRPr="00FE7FBF" w:rsidRDefault="006410E1" w:rsidP="00995BE6">
            <w:pPr>
              <w:spacing w:before="120" w:after="120"/>
              <w:rPr>
                <w:sz w:val="16"/>
                <w:szCs w:val="16"/>
              </w:rPr>
            </w:pPr>
            <w:r>
              <w:rPr>
                <w:sz w:val="16"/>
              </w:rPr>
              <w:t>31</w:t>
            </w:r>
          </w:p>
        </w:tc>
        <w:tc>
          <w:tcPr>
            <w:tcW w:w="2380" w:type="dxa"/>
          </w:tcPr>
          <w:p w14:paraId="2D7D18F6" w14:textId="77777777" w:rsidR="006410E1" w:rsidRPr="00FE7FBF" w:rsidRDefault="006410E1" w:rsidP="00995BE6">
            <w:pPr>
              <w:spacing w:before="120" w:after="120"/>
              <w:rPr>
                <w:sz w:val="16"/>
                <w:szCs w:val="16"/>
              </w:rPr>
            </w:pPr>
            <w:r>
              <w:rPr>
                <w:sz w:val="16"/>
              </w:rPr>
              <w:t>Brzdový systém</w:t>
            </w:r>
          </w:p>
        </w:tc>
        <w:tc>
          <w:tcPr>
            <w:tcW w:w="1488" w:type="dxa"/>
          </w:tcPr>
          <w:p w14:paraId="333361B8" w14:textId="77777777" w:rsidR="006410E1" w:rsidRDefault="006410E1" w:rsidP="00995BE6">
            <w:pPr>
              <w:spacing w:before="120" w:after="120"/>
              <w:rPr>
                <w:sz w:val="16"/>
                <w:szCs w:val="16"/>
              </w:rPr>
            </w:pPr>
            <w:r>
              <w:rPr>
                <w:sz w:val="16"/>
              </w:rPr>
              <w:t>93/14/EHS</w:t>
            </w:r>
          </w:p>
          <w:p w14:paraId="5538AD34" w14:textId="77777777" w:rsidR="006410E1" w:rsidRPr="00FE7FBF" w:rsidRDefault="006410E1" w:rsidP="00995BE6">
            <w:pPr>
              <w:spacing w:before="120" w:after="120"/>
              <w:rPr>
                <w:sz w:val="16"/>
                <w:szCs w:val="16"/>
              </w:rPr>
            </w:pPr>
            <w:r>
              <w:rPr>
                <w:sz w:val="16"/>
              </w:rPr>
              <w:t>(EÚ) č. 3/2014</w:t>
            </w:r>
          </w:p>
        </w:tc>
        <w:tc>
          <w:tcPr>
            <w:tcW w:w="1950" w:type="dxa"/>
          </w:tcPr>
          <w:p w14:paraId="7A598A2A" w14:textId="77777777" w:rsidR="006410E1" w:rsidRPr="00FE7FBF" w:rsidRDefault="006410E1" w:rsidP="00995BE6">
            <w:pPr>
              <w:spacing w:before="120" w:after="120"/>
              <w:jc w:val="center"/>
              <w:rPr>
                <w:sz w:val="16"/>
                <w:szCs w:val="16"/>
              </w:rPr>
            </w:pPr>
            <w:r>
              <w:rPr>
                <w:sz w:val="16"/>
              </w:rPr>
              <w:t>A</w:t>
            </w:r>
          </w:p>
        </w:tc>
        <w:tc>
          <w:tcPr>
            <w:tcW w:w="1843" w:type="dxa"/>
          </w:tcPr>
          <w:p w14:paraId="58166B23"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9"/>
            </w:r>
            <w:r>
              <w:rPr>
                <w:sz w:val="16"/>
              </w:rPr>
              <w:t>/I</w:t>
            </w:r>
            <w:r>
              <w:rPr>
                <w:rStyle w:val="EndnoteReference"/>
                <w:sz w:val="16"/>
                <w:szCs w:val="16"/>
              </w:rPr>
              <w:endnoteReference w:id="10"/>
            </w:r>
          </w:p>
        </w:tc>
        <w:tc>
          <w:tcPr>
            <w:tcW w:w="1758" w:type="dxa"/>
          </w:tcPr>
          <w:p w14:paraId="6F18FD8C" w14:textId="77777777" w:rsidR="006410E1" w:rsidRPr="00CE7C25" w:rsidRDefault="006410E1" w:rsidP="00995BE6">
            <w:pPr>
              <w:spacing w:before="120" w:after="120"/>
              <w:jc w:val="center"/>
              <w:rPr>
                <w:sz w:val="16"/>
                <w:szCs w:val="16"/>
              </w:rPr>
            </w:pPr>
            <w:r>
              <w:rPr>
                <w:sz w:val="16"/>
              </w:rPr>
              <w:t>H</w:t>
            </w:r>
            <w:r>
              <w:rPr>
                <w:sz w:val="16"/>
                <w:vertAlign w:val="superscript"/>
              </w:rPr>
              <w:t>viii</w:t>
            </w:r>
          </w:p>
        </w:tc>
      </w:tr>
      <w:tr w:rsidR="006410E1" w14:paraId="1BA85B8C" w14:textId="77777777" w:rsidTr="00FA6C1E">
        <w:trPr>
          <w:cantSplit/>
          <w:trHeight w:val="510"/>
          <w:jc w:val="center"/>
        </w:trPr>
        <w:tc>
          <w:tcPr>
            <w:tcW w:w="695" w:type="dxa"/>
          </w:tcPr>
          <w:p w14:paraId="6E25D8C4" w14:textId="77777777" w:rsidR="006410E1" w:rsidRPr="00FE7FBF" w:rsidRDefault="006410E1" w:rsidP="00995BE6">
            <w:pPr>
              <w:spacing w:before="120" w:after="120"/>
              <w:rPr>
                <w:sz w:val="16"/>
                <w:szCs w:val="16"/>
              </w:rPr>
            </w:pPr>
            <w:r>
              <w:rPr>
                <w:sz w:val="16"/>
              </w:rPr>
              <w:t>32</w:t>
            </w:r>
          </w:p>
        </w:tc>
        <w:tc>
          <w:tcPr>
            <w:tcW w:w="2380" w:type="dxa"/>
          </w:tcPr>
          <w:p w14:paraId="3CF9D156" w14:textId="77777777" w:rsidR="006410E1" w:rsidRPr="00FE7FBF" w:rsidRDefault="006410E1" w:rsidP="00995BE6">
            <w:pPr>
              <w:spacing w:before="120" w:after="120"/>
              <w:rPr>
                <w:sz w:val="16"/>
                <w:szCs w:val="16"/>
              </w:rPr>
            </w:pPr>
            <w:r>
              <w:rPr>
                <w:sz w:val="16"/>
              </w:rPr>
              <w:t>Montáž svetiel a signalizačných svetiel na vozidlo</w:t>
            </w:r>
          </w:p>
        </w:tc>
        <w:tc>
          <w:tcPr>
            <w:tcW w:w="1488" w:type="dxa"/>
          </w:tcPr>
          <w:p w14:paraId="56E0AD14" w14:textId="77777777" w:rsidR="006410E1" w:rsidRDefault="006410E1" w:rsidP="00995BE6">
            <w:pPr>
              <w:spacing w:before="120" w:after="120"/>
              <w:rPr>
                <w:sz w:val="16"/>
                <w:szCs w:val="16"/>
              </w:rPr>
            </w:pPr>
            <w:r>
              <w:rPr>
                <w:sz w:val="16"/>
              </w:rPr>
              <w:t>2009/67/ES</w:t>
            </w:r>
          </w:p>
          <w:p w14:paraId="045CB422" w14:textId="77777777" w:rsidR="006410E1" w:rsidRPr="00FE7FBF" w:rsidRDefault="006410E1" w:rsidP="00995BE6">
            <w:pPr>
              <w:spacing w:before="120" w:after="120"/>
              <w:rPr>
                <w:sz w:val="16"/>
                <w:szCs w:val="16"/>
              </w:rPr>
            </w:pPr>
            <w:r>
              <w:rPr>
                <w:sz w:val="16"/>
              </w:rPr>
              <w:t>(EÚ) č. 3/2014</w:t>
            </w:r>
          </w:p>
        </w:tc>
        <w:tc>
          <w:tcPr>
            <w:tcW w:w="1950" w:type="dxa"/>
          </w:tcPr>
          <w:p w14:paraId="737723FC" w14:textId="77777777" w:rsidR="006410E1" w:rsidRDefault="006410E1" w:rsidP="00995BE6">
            <w:pPr>
              <w:spacing w:before="120" w:after="120"/>
              <w:jc w:val="center"/>
              <w:rPr>
                <w:sz w:val="16"/>
                <w:szCs w:val="16"/>
              </w:rPr>
            </w:pPr>
            <w:r>
              <w:rPr>
                <w:sz w:val="16"/>
              </w:rPr>
              <w:t>B montáž</w:t>
            </w:r>
          </w:p>
          <w:p w14:paraId="3CAC7E1F" w14:textId="77777777" w:rsidR="006410E1" w:rsidRPr="00FE7FBF" w:rsidRDefault="006410E1" w:rsidP="00995BE6">
            <w:pPr>
              <w:spacing w:before="120" w:after="120"/>
              <w:jc w:val="center"/>
              <w:rPr>
                <w:sz w:val="16"/>
                <w:szCs w:val="16"/>
              </w:rPr>
            </w:pPr>
            <w:r>
              <w:rPr>
                <w:sz w:val="16"/>
              </w:rPr>
              <w:t>X komponenty</w:t>
            </w:r>
          </w:p>
        </w:tc>
        <w:tc>
          <w:tcPr>
            <w:tcW w:w="1843" w:type="dxa"/>
          </w:tcPr>
          <w:p w14:paraId="406F439A" w14:textId="77777777" w:rsidR="006410E1" w:rsidRDefault="006410E1" w:rsidP="00995BE6">
            <w:pPr>
              <w:spacing w:before="120" w:after="120"/>
              <w:jc w:val="center"/>
              <w:rPr>
                <w:sz w:val="16"/>
                <w:szCs w:val="16"/>
              </w:rPr>
            </w:pPr>
            <w:r>
              <w:rPr>
                <w:sz w:val="16"/>
              </w:rPr>
              <w:t>E/I montáž</w:t>
            </w:r>
            <w:r w:rsidRPr="005F4BCE">
              <w:rPr>
                <w:rStyle w:val="EndnoteReference"/>
                <w:sz w:val="16"/>
                <w:szCs w:val="16"/>
              </w:rPr>
              <w:endnoteReference w:id="11"/>
            </w:r>
          </w:p>
          <w:p w14:paraId="07814AB5" w14:textId="77777777" w:rsidR="006410E1" w:rsidRPr="00FE7FBF" w:rsidRDefault="006410E1" w:rsidP="00995BE6">
            <w:pPr>
              <w:spacing w:before="120" w:after="120"/>
              <w:jc w:val="center"/>
              <w:rPr>
                <w:sz w:val="16"/>
                <w:szCs w:val="16"/>
              </w:rPr>
            </w:pPr>
            <w:r>
              <w:rPr>
                <w:sz w:val="16"/>
              </w:rPr>
              <w:t>X/I komponenty</w:t>
            </w:r>
          </w:p>
        </w:tc>
        <w:tc>
          <w:tcPr>
            <w:tcW w:w="1758" w:type="dxa"/>
          </w:tcPr>
          <w:p w14:paraId="061BBA7A" w14:textId="77777777" w:rsidR="006410E1" w:rsidRPr="003854EA" w:rsidRDefault="006410E1" w:rsidP="00995BE6">
            <w:pPr>
              <w:spacing w:before="120" w:after="120"/>
              <w:jc w:val="center"/>
              <w:rPr>
                <w:sz w:val="16"/>
                <w:szCs w:val="16"/>
              </w:rPr>
            </w:pPr>
            <w:r>
              <w:rPr>
                <w:sz w:val="16"/>
              </w:rPr>
              <w:t>E montáž</w:t>
            </w:r>
            <w:r w:rsidRPr="003854EA">
              <w:rPr>
                <w:rStyle w:val="EndnoteReference"/>
                <w:sz w:val="16"/>
                <w:szCs w:val="16"/>
              </w:rPr>
              <w:endnoteReference w:id="12"/>
            </w:r>
          </w:p>
          <w:p w14:paraId="70CDA10D" w14:textId="77777777" w:rsidR="006410E1" w:rsidRPr="004654B9" w:rsidRDefault="006410E1" w:rsidP="00995BE6">
            <w:pPr>
              <w:spacing w:before="120" w:after="120"/>
              <w:jc w:val="center"/>
              <w:rPr>
                <w:sz w:val="16"/>
                <w:szCs w:val="16"/>
                <w:vertAlign w:val="superscript"/>
              </w:rPr>
            </w:pPr>
            <w:r>
              <w:rPr>
                <w:sz w:val="16"/>
              </w:rPr>
              <w:t>X/I komponenty</w:t>
            </w:r>
          </w:p>
        </w:tc>
      </w:tr>
      <w:tr w:rsidR="006410E1" w14:paraId="7629A463" w14:textId="77777777" w:rsidTr="00FA6C1E">
        <w:trPr>
          <w:cantSplit/>
          <w:trHeight w:val="510"/>
          <w:jc w:val="center"/>
        </w:trPr>
        <w:tc>
          <w:tcPr>
            <w:tcW w:w="695" w:type="dxa"/>
          </w:tcPr>
          <w:p w14:paraId="24CCCC06" w14:textId="77777777" w:rsidR="006410E1" w:rsidRPr="00FE7FBF" w:rsidRDefault="006410E1" w:rsidP="00995BE6">
            <w:pPr>
              <w:spacing w:before="120" w:after="120"/>
              <w:rPr>
                <w:sz w:val="16"/>
                <w:szCs w:val="16"/>
              </w:rPr>
            </w:pPr>
            <w:r>
              <w:rPr>
                <w:sz w:val="16"/>
              </w:rPr>
              <w:t>34</w:t>
            </w:r>
          </w:p>
        </w:tc>
        <w:tc>
          <w:tcPr>
            <w:tcW w:w="2380" w:type="dxa"/>
          </w:tcPr>
          <w:p w14:paraId="5FBBC491" w14:textId="77777777" w:rsidR="006410E1" w:rsidRPr="00FE7FBF" w:rsidRDefault="006410E1" w:rsidP="00995BE6">
            <w:pPr>
              <w:spacing w:before="120" w:after="120"/>
              <w:rPr>
                <w:sz w:val="16"/>
                <w:szCs w:val="16"/>
              </w:rPr>
            </w:pPr>
            <w:r>
              <w:rPr>
                <w:sz w:val="16"/>
              </w:rPr>
              <w:t>Zvukové výstražné zariadenie</w:t>
            </w:r>
          </w:p>
        </w:tc>
        <w:tc>
          <w:tcPr>
            <w:tcW w:w="1488" w:type="dxa"/>
          </w:tcPr>
          <w:p w14:paraId="4170C5F8" w14:textId="77777777" w:rsidR="006410E1" w:rsidRDefault="006410E1" w:rsidP="00995BE6">
            <w:pPr>
              <w:spacing w:before="120" w:after="120"/>
              <w:rPr>
                <w:sz w:val="16"/>
                <w:szCs w:val="16"/>
              </w:rPr>
            </w:pPr>
            <w:r>
              <w:rPr>
                <w:sz w:val="16"/>
              </w:rPr>
              <w:t>93/30/EHS</w:t>
            </w:r>
          </w:p>
          <w:p w14:paraId="1E678606" w14:textId="77777777" w:rsidR="006410E1" w:rsidRPr="00FE7FBF" w:rsidRDefault="006410E1" w:rsidP="00995BE6">
            <w:pPr>
              <w:spacing w:before="120" w:after="120"/>
              <w:rPr>
                <w:sz w:val="16"/>
                <w:szCs w:val="16"/>
              </w:rPr>
            </w:pPr>
            <w:r>
              <w:rPr>
                <w:sz w:val="16"/>
              </w:rPr>
              <w:t>(EÚ) č. 3/2014</w:t>
            </w:r>
          </w:p>
        </w:tc>
        <w:tc>
          <w:tcPr>
            <w:tcW w:w="1950" w:type="dxa"/>
          </w:tcPr>
          <w:p w14:paraId="048D603C" w14:textId="77777777" w:rsidR="006410E1" w:rsidRPr="00FE7FBF" w:rsidRDefault="006410E1" w:rsidP="00995BE6">
            <w:pPr>
              <w:spacing w:before="120" w:after="120"/>
              <w:jc w:val="center"/>
              <w:rPr>
                <w:sz w:val="16"/>
                <w:szCs w:val="16"/>
              </w:rPr>
            </w:pPr>
            <w:r>
              <w:rPr>
                <w:sz w:val="16"/>
              </w:rPr>
              <w:t>E</w:t>
            </w:r>
          </w:p>
        </w:tc>
        <w:tc>
          <w:tcPr>
            <w:tcW w:w="1843" w:type="dxa"/>
          </w:tcPr>
          <w:p w14:paraId="3EB19F49" w14:textId="77777777" w:rsidR="006410E1" w:rsidRPr="005F4BCE" w:rsidRDefault="006410E1" w:rsidP="00995BE6">
            <w:pPr>
              <w:spacing w:before="120" w:after="120"/>
              <w:jc w:val="center"/>
              <w:rPr>
                <w:sz w:val="16"/>
                <w:szCs w:val="16"/>
              </w:rPr>
            </w:pPr>
            <w:r>
              <w:rPr>
                <w:sz w:val="16"/>
              </w:rPr>
              <w:t>E</w:t>
            </w:r>
          </w:p>
        </w:tc>
        <w:tc>
          <w:tcPr>
            <w:tcW w:w="1758" w:type="dxa"/>
          </w:tcPr>
          <w:p w14:paraId="3F3883EB" w14:textId="77777777" w:rsidR="006410E1" w:rsidRPr="00FE7FBF" w:rsidRDefault="006410E1" w:rsidP="00995BE6">
            <w:pPr>
              <w:spacing w:before="120" w:after="120"/>
              <w:jc w:val="center"/>
              <w:rPr>
                <w:sz w:val="16"/>
                <w:szCs w:val="16"/>
              </w:rPr>
            </w:pPr>
            <w:r>
              <w:rPr>
                <w:sz w:val="16"/>
              </w:rPr>
              <w:t>E</w:t>
            </w:r>
          </w:p>
        </w:tc>
      </w:tr>
      <w:tr w:rsidR="006410E1" w14:paraId="16C8A576" w14:textId="77777777" w:rsidTr="00FA6C1E">
        <w:trPr>
          <w:cantSplit/>
          <w:trHeight w:val="510"/>
          <w:jc w:val="center"/>
        </w:trPr>
        <w:tc>
          <w:tcPr>
            <w:tcW w:w="695" w:type="dxa"/>
          </w:tcPr>
          <w:p w14:paraId="369457E3" w14:textId="77777777" w:rsidR="006410E1" w:rsidRPr="00FE7FBF" w:rsidRDefault="006410E1" w:rsidP="00995BE6">
            <w:pPr>
              <w:spacing w:before="120" w:after="120"/>
              <w:rPr>
                <w:sz w:val="16"/>
                <w:szCs w:val="16"/>
              </w:rPr>
            </w:pPr>
            <w:r>
              <w:rPr>
                <w:sz w:val="16"/>
              </w:rPr>
              <w:t>35</w:t>
            </w:r>
          </w:p>
        </w:tc>
        <w:tc>
          <w:tcPr>
            <w:tcW w:w="2380" w:type="dxa"/>
          </w:tcPr>
          <w:p w14:paraId="73FC64EC" w14:textId="77777777" w:rsidR="006410E1" w:rsidRPr="00FE7FBF" w:rsidRDefault="006410E1" w:rsidP="00995BE6">
            <w:pPr>
              <w:spacing w:before="120" w:after="120"/>
              <w:rPr>
                <w:sz w:val="16"/>
                <w:szCs w:val="16"/>
              </w:rPr>
            </w:pPr>
            <w:r>
              <w:rPr>
                <w:sz w:val="16"/>
              </w:rPr>
              <w:t>Umiestnenie zadnej tabuľky s evidenčným číslom a jej miesto</w:t>
            </w:r>
          </w:p>
        </w:tc>
        <w:tc>
          <w:tcPr>
            <w:tcW w:w="1488" w:type="dxa"/>
          </w:tcPr>
          <w:p w14:paraId="34B89A2F" w14:textId="77777777" w:rsidR="006410E1" w:rsidRDefault="006410E1" w:rsidP="00995BE6">
            <w:pPr>
              <w:spacing w:before="120" w:after="120"/>
              <w:rPr>
                <w:sz w:val="16"/>
                <w:szCs w:val="16"/>
              </w:rPr>
            </w:pPr>
            <w:r>
              <w:rPr>
                <w:sz w:val="16"/>
              </w:rPr>
              <w:t>2009/62/ES</w:t>
            </w:r>
          </w:p>
          <w:p w14:paraId="28FFDF02" w14:textId="77777777" w:rsidR="006410E1" w:rsidRPr="00FE7FBF" w:rsidRDefault="006410E1" w:rsidP="00995BE6">
            <w:pPr>
              <w:spacing w:before="120" w:after="120"/>
              <w:rPr>
                <w:sz w:val="16"/>
                <w:szCs w:val="16"/>
              </w:rPr>
            </w:pPr>
            <w:r>
              <w:rPr>
                <w:sz w:val="16"/>
              </w:rPr>
              <w:t>(EÚ) č. 44/2014</w:t>
            </w:r>
          </w:p>
        </w:tc>
        <w:tc>
          <w:tcPr>
            <w:tcW w:w="1950" w:type="dxa"/>
          </w:tcPr>
          <w:p w14:paraId="7B1B12B6" w14:textId="77777777" w:rsidR="006410E1" w:rsidRPr="005F4BCE" w:rsidRDefault="006410E1" w:rsidP="00995BE6">
            <w:pPr>
              <w:spacing w:before="120" w:after="120"/>
              <w:jc w:val="center"/>
              <w:rPr>
                <w:strike/>
                <w:sz w:val="16"/>
                <w:szCs w:val="16"/>
              </w:rPr>
            </w:pPr>
            <w:r>
              <w:rPr>
                <w:sz w:val="16"/>
              </w:rPr>
              <w:t>E</w:t>
            </w:r>
          </w:p>
        </w:tc>
        <w:tc>
          <w:tcPr>
            <w:tcW w:w="1843" w:type="dxa"/>
          </w:tcPr>
          <w:p w14:paraId="58A9B8CA" w14:textId="77777777" w:rsidR="006410E1" w:rsidRPr="00FE7FBF" w:rsidRDefault="006410E1" w:rsidP="00995BE6">
            <w:pPr>
              <w:spacing w:before="120" w:after="120"/>
              <w:jc w:val="center"/>
              <w:rPr>
                <w:sz w:val="16"/>
                <w:szCs w:val="16"/>
              </w:rPr>
            </w:pPr>
            <w:r>
              <w:rPr>
                <w:sz w:val="16"/>
              </w:rPr>
              <w:t>E</w:t>
            </w:r>
          </w:p>
        </w:tc>
        <w:tc>
          <w:tcPr>
            <w:tcW w:w="1758" w:type="dxa"/>
          </w:tcPr>
          <w:p w14:paraId="02231426" w14:textId="77777777" w:rsidR="006410E1" w:rsidRPr="00FE7FBF" w:rsidRDefault="006410E1" w:rsidP="00995BE6">
            <w:pPr>
              <w:spacing w:before="120" w:after="120"/>
              <w:jc w:val="center"/>
              <w:rPr>
                <w:sz w:val="16"/>
                <w:szCs w:val="16"/>
              </w:rPr>
            </w:pPr>
            <w:r>
              <w:rPr>
                <w:sz w:val="16"/>
              </w:rPr>
              <w:t>E</w:t>
            </w:r>
          </w:p>
        </w:tc>
      </w:tr>
      <w:tr w:rsidR="006410E1" w14:paraId="58E2454A" w14:textId="77777777" w:rsidTr="00FA6C1E">
        <w:trPr>
          <w:cantSplit/>
          <w:trHeight w:val="510"/>
          <w:jc w:val="center"/>
        </w:trPr>
        <w:tc>
          <w:tcPr>
            <w:tcW w:w="695" w:type="dxa"/>
          </w:tcPr>
          <w:p w14:paraId="2A80676D" w14:textId="77777777" w:rsidR="006410E1" w:rsidRPr="00FE7FBF" w:rsidRDefault="006410E1" w:rsidP="00995BE6">
            <w:pPr>
              <w:spacing w:before="120" w:after="120"/>
              <w:rPr>
                <w:sz w:val="16"/>
                <w:szCs w:val="16"/>
              </w:rPr>
            </w:pPr>
            <w:r>
              <w:rPr>
                <w:sz w:val="16"/>
              </w:rPr>
              <w:lastRenderedPageBreak/>
              <w:t>36</w:t>
            </w:r>
          </w:p>
          <w:p w14:paraId="1B0C9CFD" w14:textId="77777777" w:rsidR="006410E1" w:rsidRPr="00FE7FBF" w:rsidRDefault="006410E1" w:rsidP="00995BE6">
            <w:pPr>
              <w:spacing w:before="120" w:after="120"/>
              <w:rPr>
                <w:sz w:val="16"/>
                <w:szCs w:val="16"/>
              </w:rPr>
            </w:pPr>
          </w:p>
        </w:tc>
        <w:tc>
          <w:tcPr>
            <w:tcW w:w="2380" w:type="dxa"/>
          </w:tcPr>
          <w:p w14:paraId="4DEF47F6" w14:textId="77777777" w:rsidR="006410E1" w:rsidRPr="00FE7FBF" w:rsidRDefault="006410E1" w:rsidP="00995BE6">
            <w:pPr>
              <w:spacing w:before="120" w:after="120"/>
              <w:rPr>
                <w:sz w:val="16"/>
                <w:szCs w:val="16"/>
              </w:rPr>
            </w:pPr>
            <w:r>
              <w:rPr>
                <w:sz w:val="16"/>
              </w:rPr>
              <w:t>Elektromagnetická kompatibilita</w:t>
            </w:r>
          </w:p>
        </w:tc>
        <w:tc>
          <w:tcPr>
            <w:tcW w:w="1488" w:type="dxa"/>
          </w:tcPr>
          <w:p w14:paraId="6FA88F17" w14:textId="77777777" w:rsidR="006410E1" w:rsidRPr="00302B9D" w:rsidRDefault="006410E1" w:rsidP="00995BE6">
            <w:pPr>
              <w:spacing w:before="120" w:after="120"/>
              <w:rPr>
                <w:sz w:val="16"/>
                <w:szCs w:val="16"/>
              </w:rPr>
            </w:pPr>
            <w:r>
              <w:rPr>
                <w:sz w:val="16"/>
              </w:rPr>
              <w:t>97/24/ES</w:t>
            </w:r>
            <w:r>
              <w:rPr>
                <w:sz w:val="16"/>
              </w:rPr>
              <w:br/>
              <w:t>KAPITOLA 8</w:t>
            </w:r>
          </w:p>
          <w:p w14:paraId="308666AF" w14:textId="77777777" w:rsidR="006410E1" w:rsidRPr="00302B9D" w:rsidRDefault="006410E1" w:rsidP="00995BE6">
            <w:pPr>
              <w:spacing w:before="120" w:after="120"/>
              <w:rPr>
                <w:sz w:val="16"/>
                <w:szCs w:val="16"/>
              </w:rPr>
            </w:pPr>
            <w:r>
              <w:rPr>
                <w:sz w:val="16"/>
              </w:rPr>
              <w:t>(EÚ) č. 44/2014</w:t>
            </w:r>
          </w:p>
        </w:tc>
        <w:tc>
          <w:tcPr>
            <w:tcW w:w="1950" w:type="dxa"/>
          </w:tcPr>
          <w:p w14:paraId="2F1E0ED5" w14:textId="77777777" w:rsidR="006410E1" w:rsidRPr="00FE7FBF" w:rsidRDefault="006410E1" w:rsidP="00995BE6">
            <w:pPr>
              <w:spacing w:before="120" w:after="120"/>
              <w:jc w:val="center"/>
              <w:rPr>
                <w:sz w:val="16"/>
                <w:szCs w:val="16"/>
              </w:rPr>
            </w:pPr>
            <w:r>
              <w:rPr>
                <w:sz w:val="16"/>
              </w:rPr>
              <w:t>A elektronický montážny podcelok</w:t>
            </w:r>
          </w:p>
          <w:p w14:paraId="2F2BD141" w14:textId="77777777" w:rsidR="006410E1" w:rsidRPr="00FE7FBF" w:rsidRDefault="006410E1" w:rsidP="00995BE6">
            <w:pPr>
              <w:spacing w:before="120" w:after="120"/>
              <w:jc w:val="center"/>
              <w:rPr>
                <w:sz w:val="16"/>
                <w:szCs w:val="16"/>
              </w:rPr>
            </w:pPr>
            <w:r>
              <w:rPr>
                <w:sz w:val="16"/>
              </w:rPr>
              <w:t>C vozidlo</w:t>
            </w:r>
          </w:p>
        </w:tc>
        <w:tc>
          <w:tcPr>
            <w:tcW w:w="1843" w:type="dxa"/>
          </w:tcPr>
          <w:p w14:paraId="3F077637" w14:textId="77777777" w:rsidR="006410E1" w:rsidRPr="00FE7FBF" w:rsidRDefault="006410E1" w:rsidP="00995BE6">
            <w:pPr>
              <w:spacing w:before="120" w:after="120"/>
              <w:jc w:val="center"/>
              <w:rPr>
                <w:sz w:val="16"/>
                <w:szCs w:val="16"/>
              </w:rPr>
            </w:pPr>
            <w:r>
              <w:rPr>
                <w:sz w:val="16"/>
              </w:rPr>
              <w:t>B elektronický montážny podcelok</w:t>
            </w:r>
          </w:p>
          <w:p w14:paraId="1C4F0063" w14:textId="77777777" w:rsidR="006410E1" w:rsidRPr="00FE7FBF" w:rsidRDefault="006410E1" w:rsidP="00995BE6">
            <w:pPr>
              <w:spacing w:before="120" w:after="120"/>
              <w:jc w:val="center"/>
              <w:rPr>
                <w:sz w:val="16"/>
                <w:szCs w:val="16"/>
              </w:rPr>
            </w:pPr>
            <w:r>
              <w:rPr>
                <w:sz w:val="16"/>
              </w:rPr>
              <w:t>C/I vozidlo</w:t>
            </w:r>
            <w:bookmarkStart w:id="38" w:name="_Ref62740166"/>
            <w:r>
              <w:rPr>
                <w:rStyle w:val="EndnoteReference"/>
                <w:sz w:val="16"/>
                <w:szCs w:val="16"/>
              </w:rPr>
              <w:endnoteReference w:id="13"/>
            </w:r>
            <w:bookmarkEnd w:id="38"/>
          </w:p>
        </w:tc>
        <w:tc>
          <w:tcPr>
            <w:tcW w:w="1758" w:type="dxa"/>
          </w:tcPr>
          <w:p w14:paraId="1DCE98BA" w14:textId="77777777" w:rsidR="006410E1" w:rsidRPr="003854EA" w:rsidRDefault="006410E1" w:rsidP="00995BE6">
            <w:pPr>
              <w:spacing w:before="120" w:after="120"/>
              <w:jc w:val="center"/>
              <w:rPr>
                <w:sz w:val="16"/>
                <w:szCs w:val="16"/>
              </w:rPr>
            </w:pPr>
            <w:r>
              <w:rPr>
                <w:sz w:val="16"/>
              </w:rPr>
              <w:t>B elektronický montážny podcelok</w:t>
            </w:r>
          </w:p>
          <w:p w14:paraId="19C5EB58" w14:textId="484847FD" w:rsidR="006410E1" w:rsidRPr="0035008F" w:rsidRDefault="006410E1" w:rsidP="00312B25">
            <w:pPr>
              <w:spacing w:before="120" w:after="120"/>
              <w:jc w:val="center"/>
              <w:rPr>
                <w:sz w:val="16"/>
                <w:szCs w:val="16"/>
                <w:vertAlign w:val="superscript"/>
              </w:rPr>
            </w:pPr>
            <w:r>
              <w:rPr>
                <w:sz w:val="16"/>
              </w:rPr>
              <w:t>C/I vozidlo</w:t>
            </w:r>
            <w:r w:rsidR="00312B25" w:rsidRPr="00312B25">
              <w:rPr>
                <w:rStyle w:val="EndnoteReference"/>
              </w:rPr>
              <w:fldChar w:fldCharType="begin"/>
            </w:r>
            <w:r w:rsidR="00312B25" w:rsidRPr="00312B25">
              <w:rPr>
                <w:rStyle w:val="EndnoteReference"/>
              </w:rPr>
              <w:instrText xml:space="preserve"> NOTEREF _Ref62740166 \f </w:instrText>
            </w:r>
            <w:r w:rsidR="00312B25">
              <w:rPr>
                <w:rStyle w:val="EndnoteReference"/>
              </w:rPr>
              <w:instrText xml:space="preserve"> \* MERGEFORMAT </w:instrText>
            </w:r>
            <w:r w:rsidR="00312B25" w:rsidRPr="00312B25">
              <w:rPr>
                <w:rStyle w:val="EndnoteReference"/>
              </w:rPr>
              <w:fldChar w:fldCharType="separate"/>
            </w:r>
            <w:r w:rsidR="001F7F82" w:rsidRPr="001F7F82">
              <w:rPr>
                <w:rStyle w:val="EndnoteReference"/>
                <w:sz w:val="16"/>
              </w:rPr>
              <w:t>xii</w:t>
            </w:r>
            <w:r w:rsidR="00312B25" w:rsidRPr="00312B25">
              <w:rPr>
                <w:rStyle w:val="EndnoteReference"/>
              </w:rPr>
              <w:fldChar w:fldCharType="end"/>
            </w:r>
          </w:p>
        </w:tc>
      </w:tr>
      <w:tr w:rsidR="006410E1" w14:paraId="5CB58F93" w14:textId="77777777" w:rsidTr="00FA6C1E">
        <w:trPr>
          <w:cantSplit/>
          <w:trHeight w:val="510"/>
          <w:jc w:val="center"/>
        </w:trPr>
        <w:tc>
          <w:tcPr>
            <w:tcW w:w="695" w:type="dxa"/>
          </w:tcPr>
          <w:p w14:paraId="7B891C2B" w14:textId="77777777" w:rsidR="006410E1" w:rsidRPr="00FE7FBF" w:rsidRDefault="006410E1" w:rsidP="00995BE6">
            <w:pPr>
              <w:spacing w:before="120" w:after="120"/>
              <w:rPr>
                <w:sz w:val="16"/>
                <w:szCs w:val="16"/>
              </w:rPr>
            </w:pPr>
            <w:r>
              <w:rPr>
                <w:sz w:val="16"/>
              </w:rPr>
              <w:t>37</w:t>
            </w:r>
          </w:p>
        </w:tc>
        <w:tc>
          <w:tcPr>
            <w:tcW w:w="2380" w:type="dxa"/>
          </w:tcPr>
          <w:p w14:paraId="560A9A3A" w14:textId="77777777" w:rsidR="006410E1" w:rsidRPr="00FE7FBF" w:rsidRDefault="006410E1" w:rsidP="00995BE6">
            <w:pPr>
              <w:spacing w:before="120" w:after="120"/>
              <w:rPr>
                <w:sz w:val="16"/>
                <w:szCs w:val="16"/>
              </w:rPr>
            </w:pPr>
            <w:r>
              <w:rPr>
                <w:sz w:val="16"/>
              </w:rPr>
              <w:t>Hladina hluku a výfukový systém</w:t>
            </w:r>
          </w:p>
        </w:tc>
        <w:tc>
          <w:tcPr>
            <w:tcW w:w="1488" w:type="dxa"/>
          </w:tcPr>
          <w:p w14:paraId="6FCB7F9B" w14:textId="77777777" w:rsidR="006410E1" w:rsidRPr="00302B9D" w:rsidRDefault="006410E1" w:rsidP="00995BE6">
            <w:pPr>
              <w:spacing w:before="120" w:after="120"/>
              <w:rPr>
                <w:sz w:val="16"/>
                <w:szCs w:val="16"/>
              </w:rPr>
            </w:pPr>
            <w:r>
              <w:rPr>
                <w:sz w:val="16"/>
              </w:rPr>
              <w:t>97/24/ES</w:t>
            </w:r>
            <w:r>
              <w:rPr>
                <w:sz w:val="16"/>
              </w:rPr>
              <w:br/>
              <w:t>KAPITOLA 9</w:t>
            </w:r>
          </w:p>
          <w:p w14:paraId="6CEB43A9" w14:textId="77777777" w:rsidR="006410E1" w:rsidRPr="00302B9D" w:rsidRDefault="006410E1" w:rsidP="00995BE6">
            <w:pPr>
              <w:spacing w:before="120" w:after="120"/>
              <w:rPr>
                <w:sz w:val="16"/>
                <w:szCs w:val="16"/>
              </w:rPr>
            </w:pPr>
            <w:r>
              <w:rPr>
                <w:sz w:val="16"/>
              </w:rPr>
              <w:t>(EÚ) č. 134/2014</w:t>
            </w:r>
          </w:p>
        </w:tc>
        <w:tc>
          <w:tcPr>
            <w:tcW w:w="1950" w:type="dxa"/>
          </w:tcPr>
          <w:p w14:paraId="188F8908" w14:textId="77777777" w:rsidR="006410E1" w:rsidRPr="00FE7FBF" w:rsidRDefault="006410E1" w:rsidP="00995BE6">
            <w:pPr>
              <w:spacing w:before="120" w:after="120"/>
              <w:jc w:val="center"/>
              <w:rPr>
                <w:sz w:val="16"/>
                <w:szCs w:val="16"/>
              </w:rPr>
            </w:pPr>
            <w:r>
              <w:rPr>
                <w:sz w:val="16"/>
              </w:rPr>
              <w:t>A</w:t>
            </w:r>
          </w:p>
        </w:tc>
        <w:tc>
          <w:tcPr>
            <w:tcW w:w="1843" w:type="dxa"/>
          </w:tcPr>
          <w:p w14:paraId="5588BB44" w14:textId="77777777" w:rsidR="006410E1" w:rsidRPr="00FE7FBF" w:rsidRDefault="006410E1" w:rsidP="00995BE6">
            <w:pPr>
              <w:spacing w:before="120" w:after="120"/>
              <w:jc w:val="center"/>
              <w:rPr>
                <w:sz w:val="16"/>
                <w:szCs w:val="16"/>
              </w:rPr>
            </w:pPr>
            <w:r>
              <w:rPr>
                <w:sz w:val="16"/>
              </w:rPr>
              <w:t>H</w:t>
            </w:r>
            <w:r>
              <w:rPr>
                <w:rStyle w:val="EndnoteReference"/>
                <w:sz w:val="16"/>
                <w:szCs w:val="16"/>
              </w:rPr>
              <w:endnoteReference w:id="14"/>
            </w:r>
            <w:r>
              <w:rPr>
                <w:sz w:val="16"/>
              </w:rPr>
              <w:t>/I/B</w:t>
            </w:r>
            <w:r>
              <w:rPr>
                <w:sz w:val="16"/>
                <w:vertAlign w:val="superscript"/>
              </w:rPr>
              <w:t>v</w:t>
            </w:r>
            <w:r>
              <w:rPr>
                <w:sz w:val="16"/>
              </w:rPr>
              <w:t>/E</w:t>
            </w:r>
            <w:r>
              <w:rPr>
                <w:rStyle w:val="EndnoteReference"/>
                <w:sz w:val="16"/>
                <w:szCs w:val="16"/>
              </w:rPr>
              <w:endnoteReference w:id="15"/>
            </w:r>
            <w:r>
              <w:rPr>
                <w:sz w:val="16"/>
              </w:rPr>
              <w:t xml:space="preserve"> </w:t>
            </w:r>
          </w:p>
          <w:p w14:paraId="798504DA" w14:textId="77777777" w:rsidR="006410E1" w:rsidRPr="00FE7FBF" w:rsidRDefault="006410E1" w:rsidP="00995BE6">
            <w:pPr>
              <w:spacing w:before="120" w:after="120"/>
              <w:jc w:val="center"/>
              <w:rPr>
                <w:sz w:val="16"/>
                <w:szCs w:val="16"/>
              </w:rPr>
            </w:pPr>
            <w:r>
              <w:rPr>
                <w:sz w:val="16"/>
              </w:rPr>
              <w:t>X</w:t>
            </w:r>
            <w:r>
              <w:rPr>
                <w:rStyle w:val="EndnoteReference"/>
                <w:sz w:val="16"/>
                <w:szCs w:val="16"/>
              </w:rPr>
              <w:endnoteReference w:id="16"/>
            </w:r>
          </w:p>
        </w:tc>
        <w:tc>
          <w:tcPr>
            <w:tcW w:w="1758" w:type="dxa"/>
          </w:tcPr>
          <w:p w14:paraId="7F1827A3" w14:textId="77777777" w:rsidR="006410E1" w:rsidRPr="0013622C" w:rsidRDefault="006410E1" w:rsidP="00995BE6">
            <w:pPr>
              <w:spacing w:before="120" w:after="120"/>
              <w:jc w:val="center"/>
              <w:rPr>
                <w:sz w:val="16"/>
                <w:szCs w:val="16"/>
                <w:vertAlign w:val="superscript"/>
              </w:rPr>
            </w:pPr>
            <w:r>
              <w:rPr>
                <w:sz w:val="16"/>
              </w:rPr>
              <w:t>E</w:t>
            </w:r>
            <w:r>
              <w:rPr>
                <w:sz w:val="16"/>
                <w:vertAlign w:val="superscript"/>
              </w:rPr>
              <w:t>vii</w:t>
            </w:r>
          </w:p>
        </w:tc>
      </w:tr>
      <w:tr w:rsidR="006410E1" w14:paraId="7BFE5940" w14:textId="77777777" w:rsidTr="00FA6C1E">
        <w:trPr>
          <w:cantSplit/>
          <w:trHeight w:val="510"/>
          <w:jc w:val="center"/>
        </w:trPr>
        <w:tc>
          <w:tcPr>
            <w:tcW w:w="695" w:type="dxa"/>
          </w:tcPr>
          <w:p w14:paraId="3C51E1E1" w14:textId="77777777" w:rsidR="006410E1" w:rsidRPr="00FE7FBF" w:rsidRDefault="006410E1" w:rsidP="00995BE6">
            <w:pPr>
              <w:spacing w:before="120" w:after="120"/>
              <w:rPr>
                <w:sz w:val="16"/>
                <w:szCs w:val="16"/>
              </w:rPr>
            </w:pPr>
            <w:r>
              <w:rPr>
                <w:sz w:val="16"/>
              </w:rPr>
              <w:t>38</w:t>
            </w:r>
          </w:p>
        </w:tc>
        <w:tc>
          <w:tcPr>
            <w:tcW w:w="2380" w:type="dxa"/>
          </w:tcPr>
          <w:p w14:paraId="2C5348A9" w14:textId="77777777" w:rsidR="006410E1" w:rsidRPr="00FE7FBF" w:rsidRDefault="006410E1" w:rsidP="00995BE6">
            <w:pPr>
              <w:spacing w:before="120" w:after="120"/>
              <w:rPr>
                <w:sz w:val="16"/>
                <w:szCs w:val="16"/>
              </w:rPr>
            </w:pPr>
            <w:r>
              <w:rPr>
                <w:sz w:val="16"/>
              </w:rPr>
              <w:t>Spätné zrkadlo (zrkadlá) a viditeľnosť dozadu</w:t>
            </w:r>
          </w:p>
        </w:tc>
        <w:tc>
          <w:tcPr>
            <w:tcW w:w="1488" w:type="dxa"/>
          </w:tcPr>
          <w:p w14:paraId="12173FA8" w14:textId="77777777" w:rsidR="006410E1" w:rsidRPr="00302B9D" w:rsidRDefault="006410E1" w:rsidP="00995BE6">
            <w:pPr>
              <w:spacing w:before="120" w:after="120"/>
              <w:rPr>
                <w:sz w:val="16"/>
                <w:szCs w:val="16"/>
              </w:rPr>
            </w:pPr>
            <w:r>
              <w:rPr>
                <w:sz w:val="16"/>
              </w:rPr>
              <w:t>97/24/ES</w:t>
            </w:r>
            <w:r>
              <w:rPr>
                <w:sz w:val="16"/>
              </w:rPr>
              <w:br/>
              <w:t>KAPITOLA 4</w:t>
            </w:r>
          </w:p>
          <w:p w14:paraId="20F1D5B7" w14:textId="77777777" w:rsidR="006410E1" w:rsidRPr="00302B9D" w:rsidRDefault="006410E1" w:rsidP="00995BE6">
            <w:pPr>
              <w:spacing w:before="120" w:after="120"/>
              <w:rPr>
                <w:sz w:val="16"/>
                <w:szCs w:val="16"/>
              </w:rPr>
            </w:pPr>
            <w:r>
              <w:rPr>
                <w:sz w:val="16"/>
              </w:rPr>
              <w:t>(EÚ) č. 3/2014</w:t>
            </w:r>
          </w:p>
        </w:tc>
        <w:tc>
          <w:tcPr>
            <w:tcW w:w="1950" w:type="dxa"/>
          </w:tcPr>
          <w:p w14:paraId="78A0A478" w14:textId="77777777" w:rsidR="006410E1" w:rsidRDefault="006410E1" w:rsidP="00995BE6">
            <w:pPr>
              <w:spacing w:before="120" w:after="120"/>
              <w:jc w:val="center"/>
              <w:rPr>
                <w:sz w:val="16"/>
                <w:szCs w:val="16"/>
              </w:rPr>
            </w:pPr>
            <w:r>
              <w:rPr>
                <w:sz w:val="16"/>
              </w:rPr>
              <w:t>B montáž</w:t>
            </w:r>
          </w:p>
          <w:p w14:paraId="45D28B60" w14:textId="77777777" w:rsidR="006410E1" w:rsidRPr="00FE7FBF" w:rsidRDefault="006410E1" w:rsidP="00995BE6">
            <w:pPr>
              <w:spacing w:before="120" w:after="120"/>
              <w:jc w:val="center"/>
              <w:rPr>
                <w:sz w:val="16"/>
                <w:szCs w:val="16"/>
              </w:rPr>
            </w:pPr>
            <w:r>
              <w:rPr>
                <w:sz w:val="16"/>
              </w:rPr>
              <w:t>X komponenty</w:t>
            </w:r>
          </w:p>
        </w:tc>
        <w:tc>
          <w:tcPr>
            <w:tcW w:w="1843" w:type="dxa"/>
          </w:tcPr>
          <w:p w14:paraId="3939BE6A" w14:textId="77777777" w:rsidR="006410E1" w:rsidRDefault="006410E1" w:rsidP="00995BE6">
            <w:pPr>
              <w:spacing w:before="120" w:after="120"/>
              <w:jc w:val="center"/>
              <w:rPr>
                <w:sz w:val="16"/>
                <w:szCs w:val="16"/>
              </w:rPr>
            </w:pPr>
            <w:r>
              <w:rPr>
                <w:sz w:val="16"/>
              </w:rPr>
              <w:t>E montáž</w:t>
            </w:r>
          </w:p>
          <w:p w14:paraId="774AA87E" w14:textId="77777777" w:rsidR="006410E1" w:rsidRPr="00FE7FBF" w:rsidRDefault="006410E1" w:rsidP="00995BE6">
            <w:pPr>
              <w:spacing w:before="120" w:after="120"/>
              <w:jc w:val="center"/>
              <w:rPr>
                <w:sz w:val="16"/>
                <w:szCs w:val="16"/>
              </w:rPr>
            </w:pPr>
            <w:r>
              <w:rPr>
                <w:sz w:val="16"/>
              </w:rPr>
              <w:t>X/I komponenty</w:t>
            </w:r>
          </w:p>
        </w:tc>
        <w:tc>
          <w:tcPr>
            <w:tcW w:w="1758" w:type="dxa"/>
          </w:tcPr>
          <w:p w14:paraId="062EEEA0" w14:textId="77777777" w:rsidR="006410E1" w:rsidRPr="003854EA" w:rsidRDefault="006410E1" w:rsidP="00995BE6">
            <w:pPr>
              <w:spacing w:before="120" w:after="120"/>
              <w:jc w:val="center"/>
              <w:rPr>
                <w:sz w:val="16"/>
                <w:szCs w:val="16"/>
              </w:rPr>
            </w:pPr>
            <w:r>
              <w:rPr>
                <w:sz w:val="16"/>
              </w:rPr>
              <w:t>E montáž</w:t>
            </w:r>
          </w:p>
          <w:p w14:paraId="5185258C" w14:textId="77777777" w:rsidR="006410E1" w:rsidRDefault="006410E1" w:rsidP="00995BE6">
            <w:pPr>
              <w:spacing w:before="120" w:after="120"/>
              <w:jc w:val="center"/>
              <w:rPr>
                <w:sz w:val="16"/>
                <w:szCs w:val="16"/>
              </w:rPr>
            </w:pPr>
            <w:r>
              <w:rPr>
                <w:sz w:val="16"/>
              </w:rPr>
              <w:t>X/I komponenty</w:t>
            </w:r>
          </w:p>
        </w:tc>
      </w:tr>
      <w:tr w:rsidR="006410E1" w14:paraId="2DC9AB63" w14:textId="77777777" w:rsidTr="00FA6C1E">
        <w:trPr>
          <w:cantSplit/>
          <w:trHeight w:val="510"/>
          <w:jc w:val="center"/>
        </w:trPr>
        <w:tc>
          <w:tcPr>
            <w:tcW w:w="695" w:type="dxa"/>
          </w:tcPr>
          <w:p w14:paraId="67B2F3F1" w14:textId="77777777" w:rsidR="006410E1" w:rsidRPr="00FE7FBF" w:rsidRDefault="006410E1" w:rsidP="00995BE6">
            <w:pPr>
              <w:spacing w:before="120" w:after="120"/>
              <w:rPr>
                <w:sz w:val="16"/>
                <w:szCs w:val="16"/>
              </w:rPr>
            </w:pPr>
            <w:r>
              <w:rPr>
                <w:sz w:val="16"/>
              </w:rPr>
              <w:t>39</w:t>
            </w:r>
          </w:p>
        </w:tc>
        <w:tc>
          <w:tcPr>
            <w:tcW w:w="2380" w:type="dxa"/>
          </w:tcPr>
          <w:p w14:paraId="574562F4" w14:textId="77777777" w:rsidR="006410E1" w:rsidRPr="00FE7FBF" w:rsidRDefault="006410E1" w:rsidP="00995BE6">
            <w:pPr>
              <w:spacing w:before="120" w:after="120"/>
              <w:rPr>
                <w:sz w:val="16"/>
                <w:szCs w:val="16"/>
              </w:rPr>
            </w:pPr>
            <w:r>
              <w:rPr>
                <w:sz w:val="16"/>
              </w:rPr>
              <w:t>Vyčnievajúce časti</w:t>
            </w:r>
          </w:p>
        </w:tc>
        <w:tc>
          <w:tcPr>
            <w:tcW w:w="1488" w:type="dxa"/>
          </w:tcPr>
          <w:p w14:paraId="1BF214E4" w14:textId="77777777" w:rsidR="006410E1" w:rsidRPr="00302B9D" w:rsidRDefault="006410E1" w:rsidP="00995BE6">
            <w:pPr>
              <w:spacing w:before="120" w:after="120"/>
              <w:rPr>
                <w:sz w:val="16"/>
                <w:szCs w:val="16"/>
              </w:rPr>
            </w:pPr>
            <w:r>
              <w:rPr>
                <w:sz w:val="16"/>
              </w:rPr>
              <w:t>97/24/ES</w:t>
            </w:r>
            <w:r>
              <w:rPr>
                <w:sz w:val="16"/>
              </w:rPr>
              <w:br/>
              <w:t>KAPITOLA 3</w:t>
            </w:r>
          </w:p>
          <w:p w14:paraId="31183809" w14:textId="77777777" w:rsidR="006410E1" w:rsidRPr="00302B9D" w:rsidRDefault="006410E1" w:rsidP="00995BE6">
            <w:pPr>
              <w:spacing w:before="120" w:after="120"/>
              <w:rPr>
                <w:sz w:val="16"/>
                <w:szCs w:val="16"/>
              </w:rPr>
            </w:pPr>
            <w:r>
              <w:rPr>
                <w:sz w:val="16"/>
              </w:rPr>
              <w:t>(EÚ) č. 44/2014</w:t>
            </w:r>
          </w:p>
        </w:tc>
        <w:tc>
          <w:tcPr>
            <w:tcW w:w="1950" w:type="dxa"/>
          </w:tcPr>
          <w:p w14:paraId="092A7682" w14:textId="77777777" w:rsidR="006410E1" w:rsidRPr="0049703B" w:rsidRDefault="006410E1" w:rsidP="00995BE6">
            <w:pPr>
              <w:spacing w:before="120" w:after="120"/>
              <w:jc w:val="center"/>
              <w:rPr>
                <w:sz w:val="16"/>
                <w:szCs w:val="16"/>
              </w:rPr>
            </w:pPr>
            <w:r>
              <w:rPr>
                <w:sz w:val="16"/>
              </w:rPr>
              <w:t>E</w:t>
            </w:r>
          </w:p>
        </w:tc>
        <w:tc>
          <w:tcPr>
            <w:tcW w:w="1843" w:type="dxa"/>
          </w:tcPr>
          <w:p w14:paraId="3D110669" w14:textId="77777777" w:rsidR="006410E1" w:rsidRPr="0049703B" w:rsidRDefault="006410E1" w:rsidP="00995BE6">
            <w:pPr>
              <w:spacing w:before="120" w:after="120"/>
              <w:jc w:val="center"/>
              <w:rPr>
                <w:sz w:val="16"/>
                <w:szCs w:val="16"/>
              </w:rPr>
            </w:pPr>
            <w:r>
              <w:rPr>
                <w:sz w:val="16"/>
              </w:rPr>
              <w:t>E</w:t>
            </w:r>
          </w:p>
        </w:tc>
        <w:tc>
          <w:tcPr>
            <w:tcW w:w="1758" w:type="dxa"/>
          </w:tcPr>
          <w:p w14:paraId="512FB1ED" w14:textId="77777777" w:rsidR="006410E1" w:rsidRPr="00FE7FBF" w:rsidRDefault="006410E1" w:rsidP="00995BE6">
            <w:pPr>
              <w:spacing w:before="120" w:after="120"/>
              <w:jc w:val="center"/>
              <w:rPr>
                <w:sz w:val="16"/>
                <w:szCs w:val="16"/>
              </w:rPr>
            </w:pPr>
            <w:r>
              <w:rPr>
                <w:sz w:val="16"/>
              </w:rPr>
              <w:t>E</w:t>
            </w:r>
          </w:p>
        </w:tc>
      </w:tr>
      <w:tr w:rsidR="006410E1" w14:paraId="33C841E5" w14:textId="77777777" w:rsidTr="00FA6C1E">
        <w:trPr>
          <w:cantSplit/>
          <w:trHeight w:val="510"/>
          <w:jc w:val="center"/>
        </w:trPr>
        <w:tc>
          <w:tcPr>
            <w:tcW w:w="695" w:type="dxa"/>
          </w:tcPr>
          <w:p w14:paraId="2CC0CA16" w14:textId="77777777" w:rsidR="006410E1" w:rsidRPr="00FE7FBF" w:rsidRDefault="006410E1" w:rsidP="00995BE6">
            <w:pPr>
              <w:spacing w:before="120" w:after="120"/>
              <w:rPr>
                <w:sz w:val="16"/>
                <w:szCs w:val="16"/>
              </w:rPr>
            </w:pPr>
            <w:r>
              <w:rPr>
                <w:sz w:val="16"/>
              </w:rPr>
              <w:t>40</w:t>
            </w:r>
          </w:p>
        </w:tc>
        <w:tc>
          <w:tcPr>
            <w:tcW w:w="2380" w:type="dxa"/>
          </w:tcPr>
          <w:p w14:paraId="7B156EA7" w14:textId="77777777" w:rsidR="006410E1" w:rsidRPr="00FE7FBF" w:rsidRDefault="006410E1" w:rsidP="00995BE6">
            <w:pPr>
              <w:spacing w:before="120" w:after="120"/>
              <w:rPr>
                <w:sz w:val="16"/>
                <w:szCs w:val="16"/>
              </w:rPr>
            </w:pPr>
            <w:r>
              <w:rPr>
                <w:sz w:val="16"/>
              </w:rPr>
              <w:t>Stojan</w:t>
            </w:r>
          </w:p>
        </w:tc>
        <w:tc>
          <w:tcPr>
            <w:tcW w:w="1488" w:type="dxa"/>
          </w:tcPr>
          <w:p w14:paraId="0042F382" w14:textId="77777777" w:rsidR="006410E1" w:rsidRDefault="006410E1" w:rsidP="00995BE6">
            <w:pPr>
              <w:spacing w:before="120" w:after="120"/>
              <w:rPr>
                <w:sz w:val="16"/>
                <w:szCs w:val="16"/>
              </w:rPr>
            </w:pPr>
            <w:r>
              <w:rPr>
                <w:sz w:val="16"/>
              </w:rPr>
              <w:t>2009/78/ES</w:t>
            </w:r>
          </w:p>
          <w:p w14:paraId="23847900" w14:textId="77777777" w:rsidR="006410E1" w:rsidRPr="00FE7FBF" w:rsidRDefault="006410E1" w:rsidP="00995BE6">
            <w:pPr>
              <w:spacing w:before="120" w:after="120"/>
              <w:rPr>
                <w:sz w:val="16"/>
                <w:szCs w:val="16"/>
              </w:rPr>
            </w:pPr>
            <w:r>
              <w:rPr>
                <w:sz w:val="16"/>
              </w:rPr>
              <w:t>(EÚ) č. 44/2014</w:t>
            </w:r>
          </w:p>
        </w:tc>
        <w:tc>
          <w:tcPr>
            <w:tcW w:w="1950" w:type="dxa"/>
          </w:tcPr>
          <w:p w14:paraId="2C22C660" w14:textId="77777777" w:rsidR="006410E1" w:rsidRPr="00FE7FBF" w:rsidRDefault="006410E1" w:rsidP="00995BE6">
            <w:pPr>
              <w:spacing w:before="120" w:after="120"/>
              <w:jc w:val="center"/>
              <w:rPr>
                <w:sz w:val="16"/>
                <w:szCs w:val="16"/>
              </w:rPr>
            </w:pPr>
            <w:r>
              <w:rPr>
                <w:sz w:val="16"/>
              </w:rPr>
              <w:t>B</w:t>
            </w:r>
          </w:p>
        </w:tc>
        <w:tc>
          <w:tcPr>
            <w:tcW w:w="1843" w:type="dxa"/>
          </w:tcPr>
          <w:p w14:paraId="4D211CC7" w14:textId="77777777" w:rsidR="006410E1" w:rsidRPr="0049703B" w:rsidRDefault="006410E1" w:rsidP="00995BE6">
            <w:pPr>
              <w:spacing w:before="120" w:after="120"/>
              <w:jc w:val="center"/>
              <w:rPr>
                <w:sz w:val="16"/>
                <w:szCs w:val="16"/>
              </w:rPr>
            </w:pPr>
            <w:r>
              <w:rPr>
                <w:sz w:val="16"/>
              </w:rPr>
              <w:t>E</w:t>
            </w:r>
          </w:p>
        </w:tc>
        <w:tc>
          <w:tcPr>
            <w:tcW w:w="1758" w:type="dxa"/>
          </w:tcPr>
          <w:p w14:paraId="0A59D836" w14:textId="77777777" w:rsidR="006410E1" w:rsidRPr="00FE7FBF" w:rsidRDefault="006410E1" w:rsidP="00995BE6">
            <w:pPr>
              <w:spacing w:before="120" w:after="120"/>
              <w:jc w:val="center"/>
              <w:rPr>
                <w:sz w:val="16"/>
                <w:szCs w:val="16"/>
              </w:rPr>
            </w:pPr>
            <w:r>
              <w:rPr>
                <w:sz w:val="16"/>
              </w:rPr>
              <w:t>E</w:t>
            </w:r>
          </w:p>
        </w:tc>
      </w:tr>
      <w:tr w:rsidR="006410E1" w14:paraId="2D22D9C1" w14:textId="77777777" w:rsidTr="00FA6C1E">
        <w:trPr>
          <w:cantSplit/>
          <w:trHeight w:val="510"/>
          <w:jc w:val="center"/>
        </w:trPr>
        <w:tc>
          <w:tcPr>
            <w:tcW w:w="695" w:type="dxa"/>
          </w:tcPr>
          <w:p w14:paraId="2494C376" w14:textId="77777777" w:rsidR="006410E1" w:rsidRPr="00FE7FBF" w:rsidRDefault="006410E1" w:rsidP="00995BE6">
            <w:pPr>
              <w:spacing w:before="120" w:after="120"/>
              <w:rPr>
                <w:sz w:val="16"/>
                <w:szCs w:val="16"/>
              </w:rPr>
            </w:pPr>
            <w:r>
              <w:rPr>
                <w:sz w:val="16"/>
              </w:rPr>
              <w:t>41</w:t>
            </w:r>
          </w:p>
        </w:tc>
        <w:tc>
          <w:tcPr>
            <w:tcW w:w="2380" w:type="dxa"/>
          </w:tcPr>
          <w:p w14:paraId="7A1B5477" w14:textId="77777777" w:rsidR="006410E1" w:rsidRPr="00FE7FBF" w:rsidRDefault="006410E1" w:rsidP="00995BE6">
            <w:pPr>
              <w:spacing w:before="120" w:after="120"/>
              <w:rPr>
                <w:sz w:val="16"/>
                <w:szCs w:val="16"/>
              </w:rPr>
            </w:pPr>
            <w:r>
              <w:rPr>
                <w:sz w:val="16"/>
              </w:rPr>
              <w:t>Zariadenia na zabránenie nepovolenému používaniu</w:t>
            </w:r>
          </w:p>
        </w:tc>
        <w:tc>
          <w:tcPr>
            <w:tcW w:w="1488" w:type="dxa"/>
          </w:tcPr>
          <w:p w14:paraId="058447D4" w14:textId="77777777" w:rsidR="006410E1" w:rsidRDefault="006410E1" w:rsidP="00995BE6">
            <w:pPr>
              <w:spacing w:before="120" w:after="120"/>
              <w:rPr>
                <w:sz w:val="16"/>
                <w:szCs w:val="16"/>
              </w:rPr>
            </w:pPr>
            <w:r>
              <w:rPr>
                <w:sz w:val="16"/>
              </w:rPr>
              <w:t>93/33/EHS</w:t>
            </w:r>
          </w:p>
          <w:p w14:paraId="3EC44763" w14:textId="77777777" w:rsidR="006410E1" w:rsidRPr="00FE7FBF" w:rsidRDefault="006410E1" w:rsidP="00995BE6">
            <w:pPr>
              <w:spacing w:before="120" w:after="120"/>
              <w:rPr>
                <w:sz w:val="16"/>
                <w:szCs w:val="16"/>
              </w:rPr>
            </w:pPr>
            <w:r>
              <w:rPr>
                <w:sz w:val="16"/>
              </w:rPr>
              <w:t>(EÚ) č. 44/2014</w:t>
            </w:r>
          </w:p>
        </w:tc>
        <w:tc>
          <w:tcPr>
            <w:tcW w:w="1950" w:type="dxa"/>
          </w:tcPr>
          <w:p w14:paraId="0AF383B9" w14:textId="77777777" w:rsidR="006410E1" w:rsidRPr="00FE7FBF" w:rsidRDefault="006410E1" w:rsidP="00995BE6">
            <w:pPr>
              <w:spacing w:before="120" w:after="120"/>
              <w:jc w:val="center"/>
              <w:rPr>
                <w:sz w:val="16"/>
                <w:szCs w:val="16"/>
              </w:rPr>
            </w:pPr>
            <w:r>
              <w:rPr>
                <w:sz w:val="16"/>
              </w:rPr>
              <w:t>B</w:t>
            </w:r>
          </w:p>
        </w:tc>
        <w:tc>
          <w:tcPr>
            <w:tcW w:w="1843" w:type="dxa"/>
          </w:tcPr>
          <w:p w14:paraId="3B11131E" w14:textId="77777777" w:rsidR="006410E1" w:rsidRPr="0049703B" w:rsidRDefault="006410E1" w:rsidP="00995BE6">
            <w:pPr>
              <w:spacing w:before="120" w:after="120"/>
              <w:jc w:val="center"/>
              <w:rPr>
                <w:sz w:val="16"/>
                <w:szCs w:val="16"/>
              </w:rPr>
            </w:pPr>
            <w:r>
              <w:rPr>
                <w:sz w:val="16"/>
              </w:rPr>
              <w:t>E</w:t>
            </w:r>
          </w:p>
        </w:tc>
        <w:tc>
          <w:tcPr>
            <w:tcW w:w="1758" w:type="dxa"/>
          </w:tcPr>
          <w:p w14:paraId="1917479C" w14:textId="77777777" w:rsidR="006410E1" w:rsidRDefault="006410E1" w:rsidP="00995BE6">
            <w:pPr>
              <w:spacing w:before="120" w:after="120"/>
              <w:jc w:val="center"/>
              <w:rPr>
                <w:sz w:val="16"/>
                <w:szCs w:val="16"/>
              </w:rPr>
            </w:pPr>
            <w:r>
              <w:rPr>
                <w:sz w:val="16"/>
              </w:rPr>
              <w:t>E</w:t>
            </w:r>
          </w:p>
        </w:tc>
      </w:tr>
      <w:tr w:rsidR="006410E1" w14:paraId="115689E2" w14:textId="77777777" w:rsidTr="00FA6C1E">
        <w:trPr>
          <w:cantSplit/>
          <w:trHeight w:val="510"/>
          <w:jc w:val="center"/>
        </w:trPr>
        <w:tc>
          <w:tcPr>
            <w:tcW w:w="695" w:type="dxa"/>
          </w:tcPr>
          <w:p w14:paraId="2D088FCA" w14:textId="77777777" w:rsidR="006410E1" w:rsidRPr="00FE7FBF" w:rsidRDefault="006410E1" w:rsidP="00995BE6">
            <w:pPr>
              <w:spacing w:before="120" w:after="120"/>
              <w:rPr>
                <w:sz w:val="16"/>
                <w:szCs w:val="16"/>
              </w:rPr>
            </w:pPr>
            <w:r>
              <w:rPr>
                <w:sz w:val="16"/>
              </w:rPr>
              <w:t>42</w:t>
            </w:r>
          </w:p>
        </w:tc>
        <w:tc>
          <w:tcPr>
            <w:tcW w:w="2380" w:type="dxa"/>
          </w:tcPr>
          <w:p w14:paraId="3C810795" w14:textId="77777777" w:rsidR="006410E1" w:rsidRPr="00FE7FBF" w:rsidRDefault="006410E1" w:rsidP="00995BE6">
            <w:pPr>
              <w:spacing w:before="120" w:after="120"/>
              <w:rPr>
                <w:sz w:val="16"/>
                <w:szCs w:val="16"/>
              </w:rPr>
            </w:pPr>
            <w:r>
              <w:rPr>
                <w:sz w:val="16"/>
              </w:rPr>
              <w:t>Okná, stierače a ostrekovače čelného skla a odmrazovacie a odhmlievacie zariadenia pre vozidlá s karosériou</w:t>
            </w:r>
          </w:p>
        </w:tc>
        <w:tc>
          <w:tcPr>
            <w:tcW w:w="1488" w:type="dxa"/>
          </w:tcPr>
          <w:p w14:paraId="3D0CB8BE" w14:textId="77777777" w:rsidR="006410E1" w:rsidRPr="00302B9D" w:rsidRDefault="006410E1" w:rsidP="00995BE6">
            <w:pPr>
              <w:spacing w:before="120" w:after="120"/>
              <w:rPr>
                <w:sz w:val="16"/>
                <w:szCs w:val="16"/>
              </w:rPr>
            </w:pPr>
            <w:r>
              <w:rPr>
                <w:sz w:val="16"/>
              </w:rPr>
              <w:t>97/24/ES</w:t>
            </w:r>
            <w:r>
              <w:rPr>
                <w:sz w:val="16"/>
              </w:rPr>
              <w:br/>
              <w:t>KAPITOLA 12</w:t>
            </w:r>
          </w:p>
          <w:p w14:paraId="2C183428" w14:textId="77777777" w:rsidR="006410E1" w:rsidRPr="00302B9D" w:rsidRDefault="006410E1" w:rsidP="00995BE6">
            <w:pPr>
              <w:spacing w:before="120" w:after="120"/>
              <w:rPr>
                <w:sz w:val="16"/>
                <w:szCs w:val="16"/>
              </w:rPr>
            </w:pPr>
            <w:r>
              <w:rPr>
                <w:sz w:val="16"/>
              </w:rPr>
              <w:t>(EÚ) č. 3/2014</w:t>
            </w:r>
          </w:p>
        </w:tc>
        <w:tc>
          <w:tcPr>
            <w:tcW w:w="1950" w:type="dxa"/>
          </w:tcPr>
          <w:p w14:paraId="3795A1EC" w14:textId="77777777" w:rsidR="006410E1" w:rsidRPr="0049703B" w:rsidRDefault="006410E1" w:rsidP="00995BE6">
            <w:pPr>
              <w:spacing w:before="120" w:after="120"/>
              <w:jc w:val="center"/>
              <w:rPr>
                <w:sz w:val="16"/>
                <w:szCs w:val="16"/>
              </w:rPr>
            </w:pPr>
            <w:r>
              <w:rPr>
                <w:sz w:val="16"/>
              </w:rPr>
              <w:t>E</w:t>
            </w:r>
          </w:p>
        </w:tc>
        <w:tc>
          <w:tcPr>
            <w:tcW w:w="1843" w:type="dxa"/>
          </w:tcPr>
          <w:p w14:paraId="0271A7D7" w14:textId="77777777" w:rsidR="006410E1" w:rsidRPr="0049703B" w:rsidRDefault="006410E1" w:rsidP="00995BE6">
            <w:pPr>
              <w:spacing w:before="120" w:after="120"/>
              <w:jc w:val="center"/>
              <w:rPr>
                <w:sz w:val="16"/>
                <w:szCs w:val="16"/>
              </w:rPr>
            </w:pPr>
            <w:r>
              <w:rPr>
                <w:sz w:val="16"/>
              </w:rPr>
              <w:t>E</w:t>
            </w:r>
          </w:p>
        </w:tc>
        <w:tc>
          <w:tcPr>
            <w:tcW w:w="1758" w:type="dxa"/>
          </w:tcPr>
          <w:p w14:paraId="5D40930F" w14:textId="77777777" w:rsidR="006410E1" w:rsidRPr="0049703B" w:rsidRDefault="006410E1" w:rsidP="00995BE6">
            <w:pPr>
              <w:spacing w:before="120" w:after="120"/>
              <w:jc w:val="center"/>
              <w:rPr>
                <w:sz w:val="16"/>
                <w:szCs w:val="16"/>
              </w:rPr>
            </w:pPr>
            <w:r>
              <w:rPr>
                <w:sz w:val="16"/>
              </w:rPr>
              <w:t>E</w:t>
            </w:r>
          </w:p>
        </w:tc>
      </w:tr>
      <w:tr w:rsidR="006410E1" w14:paraId="5ECF09CC" w14:textId="77777777" w:rsidTr="00FA6C1E">
        <w:trPr>
          <w:cantSplit/>
          <w:trHeight w:val="510"/>
          <w:jc w:val="center"/>
        </w:trPr>
        <w:tc>
          <w:tcPr>
            <w:tcW w:w="695" w:type="dxa"/>
          </w:tcPr>
          <w:p w14:paraId="3FF46F01" w14:textId="77777777" w:rsidR="006410E1" w:rsidRPr="00FE7FBF" w:rsidRDefault="006410E1" w:rsidP="00995BE6">
            <w:pPr>
              <w:spacing w:before="120" w:after="120"/>
              <w:rPr>
                <w:sz w:val="16"/>
                <w:szCs w:val="16"/>
              </w:rPr>
            </w:pPr>
            <w:r>
              <w:rPr>
                <w:sz w:val="16"/>
              </w:rPr>
              <w:t>43</w:t>
            </w:r>
          </w:p>
        </w:tc>
        <w:tc>
          <w:tcPr>
            <w:tcW w:w="2380" w:type="dxa"/>
          </w:tcPr>
          <w:p w14:paraId="1F535348" w14:textId="77777777" w:rsidR="006410E1" w:rsidRPr="00FE7FBF" w:rsidRDefault="006410E1" w:rsidP="00995BE6">
            <w:pPr>
              <w:spacing w:before="120" w:after="120"/>
              <w:rPr>
                <w:sz w:val="16"/>
                <w:szCs w:val="16"/>
              </w:rPr>
            </w:pPr>
            <w:r>
              <w:rPr>
                <w:sz w:val="16"/>
              </w:rPr>
              <w:t>Držadlá a opierky na nohy pre spolucestujúcich</w:t>
            </w:r>
          </w:p>
        </w:tc>
        <w:tc>
          <w:tcPr>
            <w:tcW w:w="1488" w:type="dxa"/>
          </w:tcPr>
          <w:p w14:paraId="5AAEA36F" w14:textId="77777777" w:rsidR="006410E1" w:rsidRDefault="006410E1" w:rsidP="00995BE6">
            <w:pPr>
              <w:spacing w:before="120" w:after="120"/>
              <w:rPr>
                <w:sz w:val="16"/>
                <w:szCs w:val="16"/>
              </w:rPr>
            </w:pPr>
            <w:r>
              <w:rPr>
                <w:sz w:val="16"/>
              </w:rPr>
              <w:t>2009/79/ES</w:t>
            </w:r>
          </w:p>
          <w:p w14:paraId="78C0AE97" w14:textId="77777777" w:rsidR="006410E1" w:rsidRPr="00FE7FBF" w:rsidRDefault="006410E1" w:rsidP="00995BE6">
            <w:pPr>
              <w:spacing w:before="120" w:after="120"/>
              <w:rPr>
                <w:sz w:val="16"/>
                <w:szCs w:val="16"/>
              </w:rPr>
            </w:pPr>
            <w:r>
              <w:rPr>
                <w:sz w:val="16"/>
              </w:rPr>
              <w:t>(EÚ) č. 44/2014</w:t>
            </w:r>
          </w:p>
        </w:tc>
        <w:tc>
          <w:tcPr>
            <w:tcW w:w="1950" w:type="dxa"/>
          </w:tcPr>
          <w:p w14:paraId="12F6CBD2" w14:textId="77777777" w:rsidR="006410E1" w:rsidRPr="00FE7FBF" w:rsidRDefault="006410E1" w:rsidP="00995BE6">
            <w:pPr>
              <w:spacing w:before="120" w:after="120"/>
              <w:jc w:val="center"/>
              <w:rPr>
                <w:sz w:val="16"/>
                <w:szCs w:val="16"/>
              </w:rPr>
            </w:pPr>
            <w:r>
              <w:rPr>
                <w:sz w:val="16"/>
              </w:rPr>
              <w:t>B</w:t>
            </w:r>
          </w:p>
        </w:tc>
        <w:tc>
          <w:tcPr>
            <w:tcW w:w="1843" w:type="dxa"/>
          </w:tcPr>
          <w:p w14:paraId="20F5FF99" w14:textId="77777777" w:rsidR="006410E1" w:rsidRPr="0049703B" w:rsidRDefault="006410E1" w:rsidP="00995BE6">
            <w:pPr>
              <w:spacing w:before="120" w:after="120"/>
              <w:jc w:val="center"/>
              <w:rPr>
                <w:sz w:val="16"/>
                <w:szCs w:val="16"/>
              </w:rPr>
            </w:pPr>
            <w:r>
              <w:rPr>
                <w:sz w:val="16"/>
              </w:rPr>
              <w:t>E</w:t>
            </w:r>
          </w:p>
        </w:tc>
        <w:tc>
          <w:tcPr>
            <w:tcW w:w="1758" w:type="dxa"/>
          </w:tcPr>
          <w:p w14:paraId="185B4EED" w14:textId="77777777" w:rsidR="006410E1" w:rsidRPr="003854EA" w:rsidRDefault="006410E1" w:rsidP="00995BE6">
            <w:pPr>
              <w:spacing w:before="120" w:after="120"/>
              <w:jc w:val="center"/>
              <w:rPr>
                <w:sz w:val="16"/>
                <w:szCs w:val="16"/>
              </w:rPr>
            </w:pPr>
            <w:r>
              <w:rPr>
                <w:sz w:val="16"/>
              </w:rPr>
              <w:t>E opierky na nohy</w:t>
            </w:r>
          </w:p>
          <w:p w14:paraId="01EF925F" w14:textId="77777777" w:rsidR="006410E1" w:rsidRPr="00FE7FBF" w:rsidRDefault="006410E1" w:rsidP="00995BE6">
            <w:pPr>
              <w:spacing w:before="120" w:after="120"/>
              <w:jc w:val="center"/>
              <w:rPr>
                <w:sz w:val="16"/>
                <w:szCs w:val="16"/>
              </w:rPr>
            </w:pPr>
            <w:r>
              <w:rPr>
                <w:sz w:val="16"/>
              </w:rPr>
              <w:t>neuplatňuje sa na držadlá</w:t>
            </w:r>
          </w:p>
        </w:tc>
      </w:tr>
      <w:tr w:rsidR="006410E1" w14:paraId="1796AB23" w14:textId="77777777" w:rsidTr="00FA6C1E">
        <w:trPr>
          <w:cantSplit/>
          <w:trHeight w:val="510"/>
          <w:jc w:val="center"/>
        </w:trPr>
        <w:tc>
          <w:tcPr>
            <w:tcW w:w="695" w:type="dxa"/>
          </w:tcPr>
          <w:p w14:paraId="47B7B54C" w14:textId="77777777" w:rsidR="006410E1" w:rsidRPr="00FE7FBF" w:rsidRDefault="006410E1" w:rsidP="00995BE6">
            <w:pPr>
              <w:spacing w:before="120" w:after="120"/>
              <w:rPr>
                <w:sz w:val="16"/>
                <w:szCs w:val="16"/>
              </w:rPr>
            </w:pPr>
            <w:r>
              <w:rPr>
                <w:sz w:val="16"/>
              </w:rPr>
              <w:t>44</w:t>
            </w:r>
          </w:p>
        </w:tc>
        <w:tc>
          <w:tcPr>
            <w:tcW w:w="2380" w:type="dxa"/>
          </w:tcPr>
          <w:p w14:paraId="6DB2FB73" w14:textId="77777777" w:rsidR="006410E1" w:rsidRPr="00FE7FBF" w:rsidRDefault="006410E1" w:rsidP="00995BE6">
            <w:pPr>
              <w:spacing w:before="120" w:after="120"/>
              <w:rPr>
                <w:sz w:val="16"/>
                <w:szCs w:val="16"/>
              </w:rPr>
            </w:pPr>
            <w:r>
              <w:rPr>
                <w:sz w:val="16"/>
              </w:rPr>
              <w:t>Bezpečnostné pásy a ich kotvové body vo vozidlách s karosériou</w:t>
            </w:r>
          </w:p>
        </w:tc>
        <w:tc>
          <w:tcPr>
            <w:tcW w:w="1488" w:type="dxa"/>
          </w:tcPr>
          <w:p w14:paraId="066558A0" w14:textId="77777777" w:rsidR="006410E1" w:rsidRPr="00302B9D" w:rsidRDefault="006410E1" w:rsidP="00995BE6">
            <w:pPr>
              <w:spacing w:before="120" w:after="120"/>
              <w:rPr>
                <w:sz w:val="16"/>
                <w:szCs w:val="16"/>
              </w:rPr>
            </w:pPr>
            <w:r>
              <w:rPr>
                <w:sz w:val="16"/>
              </w:rPr>
              <w:t>97/24/ES</w:t>
            </w:r>
            <w:r>
              <w:rPr>
                <w:sz w:val="16"/>
              </w:rPr>
              <w:br/>
              <w:t>KAPITOLA 11</w:t>
            </w:r>
          </w:p>
          <w:p w14:paraId="7905B0B0" w14:textId="77777777" w:rsidR="006410E1" w:rsidRPr="00302B9D" w:rsidRDefault="006410E1" w:rsidP="00995BE6">
            <w:pPr>
              <w:spacing w:before="120" w:after="120"/>
              <w:rPr>
                <w:sz w:val="16"/>
                <w:szCs w:val="16"/>
              </w:rPr>
            </w:pPr>
            <w:r>
              <w:rPr>
                <w:sz w:val="16"/>
              </w:rPr>
              <w:t>(EÚ) č. 3/2014</w:t>
            </w:r>
          </w:p>
        </w:tc>
        <w:tc>
          <w:tcPr>
            <w:tcW w:w="1950" w:type="dxa"/>
          </w:tcPr>
          <w:p w14:paraId="6A58437A" w14:textId="77777777" w:rsidR="006410E1" w:rsidRPr="00FE7FBF" w:rsidRDefault="006410E1" w:rsidP="00995BE6">
            <w:pPr>
              <w:spacing w:before="120" w:after="120"/>
              <w:jc w:val="center"/>
              <w:rPr>
                <w:sz w:val="16"/>
                <w:szCs w:val="16"/>
              </w:rPr>
            </w:pPr>
            <w:r>
              <w:rPr>
                <w:sz w:val="16"/>
              </w:rPr>
              <w:t>B</w:t>
            </w:r>
          </w:p>
        </w:tc>
        <w:tc>
          <w:tcPr>
            <w:tcW w:w="1843" w:type="dxa"/>
          </w:tcPr>
          <w:p w14:paraId="57217CC1" w14:textId="77777777" w:rsidR="006410E1" w:rsidRPr="00FE7FBF" w:rsidRDefault="006410E1" w:rsidP="00995BE6">
            <w:pPr>
              <w:spacing w:before="120" w:after="120"/>
              <w:jc w:val="center"/>
              <w:rPr>
                <w:sz w:val="16"/>
                <w:szCs w:val="16"/>
              </w:rPr>
            </w:pPr>
            <w:r>
              <w:rPr>
                <w:sz w:val="16"/>
              </w:rPr>
              <w:t>H/I</w:t>
            </w:r>
          </w:p>
        </w:tc>
        <w:tc>
          <w:tcPr>
            <w:tcW w:w="1758" w:type="dxa"/>
          </w:tcPr>
          <w:p w14:paraId="3ABBE55C" w14:textId="77777777" w:rsidR="006410E1" w:rsidRPr="003854EA" w:rsidRDefault="006410E1" w:rsidP="00995BE6">
            <w:pPr>
              <w:spacing w:before="120" w:after="120"/>
              <w:jc w:val="center"/>
              <w:rPr>
                <w:sz w:val="16"/>
                <w:szCs w:val="16"/>
              </w:rPr>
            </w:pPr>
            <w:r>
              <w:rPr>
                <w:sz w:val="16"/>
              </w:rPr>
              <w:t>H bezpečnostné pásy</w:t>
            </w:r>
          </w:p>
          <w:p w14:paraId="555ACDD1" w14:textId="77777777" w:rsidR="006410E1" w:rsidRPr="00FE7FBF" w:rsidRDefault="006410E1" w:rsidP="00995BE6">
            <w:pPr>
              <w:spacing w:before="120" w:after="120"/>
              <w:jc w:val="center"/>
              <w:rPr>
                <w:sz w:val="16"/>
                <w:szCs w:val="16"/>
              </w:rPr>
            </w:pPr>
            <w:r>
              <w:rPr>
                <w:sz w:val="16"/>
              </w:rPr>
              <w:t>C kotvové body bezpečnostných pásov</w:t>
            </w:r>
          </w:p>
        </w:tc>
      </w:tr>
      <w:tr w:rsidR="006410E1" w14:paraId="006AE807" w14:textId="77777777" w:rsidTr="00FA6C1E">
        <w:trPr>
          <w:cantSplit/>
          <w:trHeight w:val="510"/>
          <w:jc w:val="center"/>
        </w:trPr>
        <w:tc>
          <w:tcPr>
            <w:tcW w:w="695" w:type="dxa"/>
          </w:tcPr>
          <w:p w14:paraId="0A3019E3" w14:textId="77777777" w:rsidR="006410E1" w:rsidRPr="00FE7FBF" w:rsidRDefault="006410E1" w:rsidP="00995BE6">
            <w:pPr>
              <w:spacing w:before="120" w:after="120"/>
              <w:rPr>
                <w:sz w:val="16"/>
                <w:szCs w:val="16"/>
              </w:rPr>
            </w:pPr>
            <w:r>
              <w:rPr>
                <w:sz w:val="16"/>
              </w:rPr>
              <w:t>45</w:t>
            </w:r>
          </w:p>
        </w:tc>
        <w:tc>
          <w:tcPr>
            <w:tcW w:w="2380" w:type="dxa"/>
          </w:tcPr>
          <w:p w14:paraId="725DC778" w14:textId="77777777" w:rsidR="006410E1" w:rsidRPr="00FE7FBF" w:rsidRDefault="006410E1" w:rsidP="00995BE6">
            <w:pPr>
              <w:spacing w:before="120" w:after="120"/>
              <w:rPr>
                <w:sz w:val="16"/>
                <w:szCs w:val="16"/>
              </w:rPr>
            </w:pPr>
            <w:r>
              <w:rPr>
                <w:sz w:val="16"/>
              </w:rPr>
              <w:t>Rýchlomer</w:t>
            </w:r>
          </w:p>
        </w:tc>
        <w:tc>
          <w:tcPr>
            <w:tcW w:w="1488" w:type="dxa"/>
          </w:tcPr>
          <w:p w14:paraId="12BA34AB" w14:textId="77777777" w:rsidR="006410E1" w:rsidRDefault="006410E1" w:rsidP="00995BE6">
            <w:pPr>
              <w:spacing w:before="120" w:after="120"/>
              <w:rPr>
                <w:sz w:val="16"/>
                <w:szCs w:val="16"/>
              </w:rPr>
            </w:pPr>
            <w:r>
              <w:rPr>
                <w:sz w:val="16"/>
              </w:rPr>
              <w:t>2000/7/ES</w:t>
            </w:r>
          </w:p>
          <w:p w14:paraId="0C833128" w14:textId="77777777" w:rsidR="006410E1" w:rsidRPr="00FE7FBF" w:rsidRDefault="006410E1" w:rsidP="00995BE6">
            <w:pPr>
              <w:spacing w:before="120" w:after="120"/>
              <w:rPr>
                <w:sz w:val="16"/>
                <w:szCs w:val="16"/>
              </w:rPr>
            </w:pPr>
            <w:r>
              <w:rPr>
                <w:sz w:val="16"/>
              </w:rPr>
              <w:t>(EÚ) č. 3/2014</w:t>
            </w:r>
          </w:p>
        </w:tc>
        <w:tc>
          <w:tcPr>
            <w:tcW w:w="1950" w:type="dxa"/>
          </w:tcPr>
          <w:p w14:paraId="20018561" w14:textId="77777777" w:rsidR="006410E1" w:rsidRPr="00FE7FBF" w:rsidRDefault="006410E1" w:rsidP="00995BE6">
            <w:pPr>
              <w:spacing w:before="120" w:after="120"/>
              <w:jc w:val="center"/>
              <w:rPr>
                <w:sz w:val="16"/>
                <w:szCs w:val="16"/>
              </w:rPr>
            </w:pPr>
            <w:r>
              <w:rPr>
                <w:sz w:val="16"/>
              </w:rPr>
              <w:t>B</w:t>
            </w:r>
          </w:p>
        </w:tc>
        <w:tc>
          <w:tcPr>
            <w:tcW w:w="1843" w:type="dxa"/>
          </w:tcPr>
          <w:p w14:paraId="75669667" w14:textId="77777777" w:rsidR="006410E1" w:rsidRPr="0049703B" w:rsidRDefault="006410E1" w:rsidP="00995BE6">
            <w:pPr>
              <w:spacing w:before="120" w:after="120"/>
              <w:jc w:val="center"/>
              <w:rPr>
                <w:sz w:val="16"/>
                <w:szCs w:val="16"/>
              </w:rPr>
            </w:pPr>
            <w:r>
              <w:rPr>
                <w:sz w:val="16"/>
              </w:rPr>
              <w:t>E</w:t>
            </w:r>
          </w:p>
        </w:tc>
        <w:tc>
          <w:tcPr>
            <w:tcW w:w="1758" w:type="dxa"/>
          </w:tcPr>
          <w:p w14:paraId="7BA4E826" w14:textId="77777777" w:rsidR="006410E1" w:rsidRPr="0049703B" w:rsidRDefault="006410E1" w:rsidP="00995BE6">
            <w:pPr>
              <w:spacing w:before="120" w:after="120"/>
              <w:jc w:val="center"/>
              <w:rPr>
                <w:sz w:val="16"/>
                <w:szCs w:val="16"/>
              </w:rPr>
            </w:pPr>
            <w:r>
              <w:rPr>
                <w:sz w:val="16"/>
              </w:rPr>
              <w:t>E</w:t>
            </w:r>
          </w:p>
        </w:tc>
      </w:tr>
      <w:tr w:rsidR="006410E1" w:rsidRPr="00925E2E" w14:paraId="7D8F7705" w14:textId="77777777" w:rsidTr="00FA6C1E">
        <w:trPr>
          <w:cantSplit/>
          <w:trHeight w:val="510"/>
          <w:jc w:val="center"/>
        </w:trPr>
        <w:tc>
          <w:tcPr>
            <w:tcW w:w="695" w:type="dxa"/>
            <w:tcBorders>
              <w:top w:val="single" w:sz="6" w:space="0" w:color="auto"/>
            </w:tcBorders>
          </w:tcPr>
          <w:p w14:paraId="20540F84" w14:textId="77777777" w:rsidR="006410E1" w:rsidRPr="00FE7FBF" w:rsidRDefault="006410E1" w:rsidP="00995BE6">
            <w:pPr>
              <w:spacing w:before="120" w:after="120"/>
              <w:rPr>
                <w:sz w:val="16"/>
                <w:szCs w:val="16"/>
              </w:rPr>
            </w:pPr>
            <w:r>
              <w:rPr>
                <w:sz w:val="16"/>
              </w:rPr>
              <w:t>46</w:t>
            </w:r>
          </w:p>
        </w:tc>
        <w:tc>
          <w:tcPr>
            <w:tcW w:w="2380" w:type="dxa"/>
            <w:tcBorders>
              <w:top w:val="single" w:sz="6" w:space="0" w:color="auto"/>
            </w:tcBorders>
          </w:tcPr>
          <w:p w14:paraId="53E3EC8E" w14:textId="77777777" w:rsidR="006410E1" w:rsidRPr="00FE7FBF" w:rsidRDefault="006410E1" w:rsidP="00995BE6">
            <w:pPr>
              <w:spacing w:before="120" w:after="120"/>
              <w:rPr>
                <w:sz w:val="16"/>
                <w:szCs w:val="16"/>
              </w:rPr>
            </w:pPr>
            <w:r>
              <w:rPr>
                <w:sz w:val="16"/>
              </w:rPr>
              <w:t xml:space="preserve">Uznávanie ovládačov, detektorov a indikátorov </w:t>
            </w:r>
          </w:p>
        </w:tc>
        <w:tc>
          <w:tcPr>
            <w:tcW w:w="1488" w:type="dxa"/>
            <w:tcBorders>
              <w:top w:val="single" w:sz="6" w:space="0" w:color="auto"/>
            </w:tcBorders>
          </w:tcPr>
          <w:p w14:paraId="69F6F25D" w14:textId="77777777" w:rsidR="006410E1" w:rsidRDefault="006410E1" w:rsidP="00995BE6">
            <w:pPr>
              <w:spacing w:before="120" w:after="120"/>
              <w:rPr>
                <w:sz w:val="16"/>
                <w:szCs w:val="16"/>
              </w:rPr>
            </w:pPr>
            <w:r>
              <w:rPr>
                <w:sz w:val="16"/>
              </w:rPr>
              <w:t>2009/80/ES</w:t>
            </w:r>
          </w:p>
          <w:p w14:paraId="41BCDC29" w14:textId="77777777" w:rsidR="006410E1" w:rsidRPr="00FE7FBF" w:rsidRDefault="006410E1" w:rsidP="00995BE6">
            <w:pPr>
              <w:spacing w:before="120" w:after="120"/>
              <w:rPr>
                <w:sz w:val="16"/>
                <w:szCs w:val="16"/>
              </w:rPr>
            </w:pPr>
            <w:r>
              <w:rPr>
                <w:sz w:val="16"/>
              </w:rPr>
              <w:t>(EÚ) č. 3/2014</w:t>
            </w:r>
          </w:p>
        </w:tc>
        <w:tc>
          <w:tcPr>
            <w:tcW w:w="1950" w:type="dxa"/>
            <w:tcBorders>
              <w:top w:val="single" w:sz="6" w:space="0" w:color="auto"/>
            </w:tcBorders>
          </w:tcPr>
          <w:p w14:paraId="0556ECD6" w14:textId="77777777" w:rsidR="006410E1" w:rsidRPr="0049703B" w:rsidRDefault="006410E1" w:rsidP="00995BE6">
            <w:pPr>
              <w:spacing w:before="120" w:after="120"/>
              <w:jc w:val="center"/>
              <w:rPr>
                <w:sz w:val="16"/>
                <w:szCs w:val="16"/>
              </w:rPr>
            </w:pPr>
            <w:r>
              <w:rPr>
                <w:sz w:val="16"/>
              </w:rPr>
              <w:t>E</w:t>
            </w:r>
          </w:p>
        </w:tc>
        <w:tc>
          <w:tcPr>
            <w:tcW w:w="1843" w:type="dxa"/>
            <w:tcBorders>
              <w:top w:val="single" w:sz="6" w:space="0" w:color="auto"/>
            </w:tcBorders>
          </w:tcPr>
          <w:p w14:paraId="72C87C58" w14:textId="77777777" w:rsidR="006410E1" w:rsidRPr="00FE7FBF" w:rsidRDefault="006410E1" w:rsidP="00995BE6">
            <w:pPr>
              <w:spacing w:before="120" w:after="120"/>
              <w:jc w:val="center"/>
              <w:rPr>
                <w:sz w:val="16"/>
                <w:szCs w:val="16"/>
              </w:rPr>
            </w:pPr>
            <w:r>
              <w:rPr>
                <w:sz w:val="16"/>
              </w:rPr>
              <w:t>E</w:t>
            </w:r>
          </w:p>
        </w:tc>
        <w:tc>
          <w:tcPr>
            <w:tcW w:w="1758" w:type="dxa"/>
            <w:tcBorders>
              <w:top w:val="single" w:sz="6" w:space="0" w:color="auto"/>
            </w:tcBorders>
          </w:tcPr>
          <w:p w14:paraId="10573B6D" w14:textId="77777777" w:rsidR="006410E1" w:rsidRPr="00FE7FBF" w:rsidRDefault="006410E1" w:rsidP="00995BE6">
            <w:pPr>
              <w:spacing w:before="120" w:after="120"/>
              <w:jc w:val="center"/>
              <w:rPr>
                <w:sz w:val="16"/>
                <w:szCs w:val="16"/>
              </w:rPr>
            </w:pPr>
            <w:r>
              <w:rPr>
                <w:sz w:val="16"/>
              </w:rPr>
              <w:t>neuplatňuje sa</w:t>
            </w:r>
          </w:p>
        </w:tc>
      </w:tr>
      <w:tr w:rsidR="006410E1" w14:paraId="291E9F14" w14:textId="77777777" w:rsidTr="00FA6C1E">
        <w:trPr>
          <w:cantSplit/>
          <w:trHeight w:val="510"/>
          <w:jc w:val="center"/>
        </w:trPr>
        <w:tc>
          <w:tcPr>
            <w:tcW w:w="695" w:type="dxa"/>
          </w:tcPr>
          <w:p w14:paraId="03D60464" w14:textId="77777777" w:rsidR="006410E1" w:rsidRPr="00FE7FBF" w:rsidRDefault="006410E1" w:rsidP="00995BE6">
            <w:pPr>
              <w:spacing w:before="120" w:after="120"/>
              <w:rPr>
                <w:sz w:val="16"/>
                <w:szCs w:val="16"/>
              </w:rPr>
            </w:pPr>
            <w:r>
              <w:rPr>
                <w:sz w:val="16"/>
              </w:rPr>
              <w:lastRenderedPageBreak/>
              <w:t>47</w:t>
            </w:r>
          </w:p>
        </w:tc>
        <w:tc>
          <w:tcPr>
            <w:tcW w:w="2380" w:type="dxa"/>
          </w:tcPr>
          <w:p w14:paraId="44731053" w14:textId="77777777" w:rsidR="006410E1" w:rsidRPr="00FE7FBF" w:rsidRDefault="006410E1" w:rsidP="00995BE6">
            <w:pPr>
              <w:spacing w:before="120" w:after="120"/>
              <w:rPr>
                <w:sz w:val="16"/>
                <w:szCs w:val="16"/>
              </w:rPr>
            </w:pPr>
            <w:r>
              <w:rPr>
                <w:sz w:val="16"/>
              </w:rPr>
              <w:t xml:space="preserve">Povinné označenia </w:t>
            </w:r>
          </w:p>
        </w:tc>
        <w:tc>
          <w:tcPr>
            <w:tcW w:w="1488" w:type="dxa"/>
          </w:tcPr>
          <w:p w14:paraId="0D460923" w14:textId="77777777" w:rsidR="006410E1" w:rsidRDefault="006410E1" w:rsidP="00995BE6">
            <w:pPr>
              <w:spacing w:before="120" w:after="120"/>
              <w:rPr>
                <w:sz w:val="16"/>
                <w:szCs w:val="16"/>
              </w:rPr>
            </w:pPr>
            <w:r>
              <w:rPr>
                <w:sz w:val="16"/>
              </w:rPr>
              <w:t>2009/139/EHS</w:t>
            </w:r>
          </w:p>
          <w:p w14:paraId="52D9340B" w14:textId="77777777" w:rsidR="006410E1" w:rsidRPr="00FE7FBF" w:rsidRDefault="006410E1" w:rsidP="00995BE6">
            <w:pPr>
              <w:spacing w:before="120" w:after="120"/>
              <w:rPr>
                <w:sz w:val="16"/>
                <w:szCs w:val="16"/>
              </w:rPr>
            </w:pPr>
            <w:r>
              <w:rPr>
                <w:sz w:val="16"/>
              </w:rPr>
              <w:t>(EÚ) č. 901/2014</w:t>
            </w:r>
          </w:p>
        </w:tc>
        <w:tc>
          <w:tcPr>
            <w:tcW w:w="1950" w:type="dxa"/>
          </w:tcPr>
          <w:p w14:paraId="71AE69E7" w14:textId="77777777" w:rsidR="006410E1" w:rsidRPr="0049703B" w:rsidRDefault="006410E1" w:rsidP="00995BE6">
            <w:pPr>
              <w:spacing w:before="120" w:after="120"/>
              <w:jc w:val="center"/>
              <w:rPr>
                <w:sz w:val="16"/>
                <w:szCs w:val="16"/>
              </w:rPr>
            </w:pPr>
            <w:r>
              <w:rPr>
                <w:sz w:val="16"/>
              </w:rPr>
              <w:t>E</w:t>
            </w:r>
          </w:p>
        </w:tc>
        <w:tc>
          <w:tcPr>
            <w:tcW w:w="1843" w:type="dxa"/>
          </w:tcPr>
          <w:p w14:paraId="4B21AFF0" w14:textId="77777777" w:rsidR="006410E1" w:rsidRPr="00FE7FBF" w:rsidRDefault="006410E1" w:rsidP="00995BE6">
            <w:pPr>
              <w:spacing w:before="120" w:after="120"/>
              <w:jc w:val="center"/>
              <w:rPr>
                <w:sz w:val="16"/>
                <w:szCs w:val="16"/>
              </w:rPr>
            </w:pPr>
            <w:r>
              <w:rPr>
                <w:sz w:val="16"/>
              </w:rPr>
              <w:t>E</w:t>
            </w:r>
          </w:p>
        </w:tc>
        <w:tc>
          <w:tcPr>
            <w:tcW w:w="1758" w:type="dxa"/>
          </w:tcPr>
          <w:p w14:paraId="66676F1D" w14:textId="77777777" w:rsidR="006410E1" w:rsidRPr="00596BCB" w:rsidRDefault="006410E1" w:rsidP="00995BE6">
            <w:pPr>
              <w:spacing w:before="120" w:after="120"/>
              <w:jc w:val="center"/>
              <w:rPr>
                <w:sz w:val="16"/>
                <w:szCs w:val="16"/>
                <w:highlight w:val="yellow"/>
              </w:rPr>
            </w:pPr>
            <w:r>
              <w:rPr>
                <w:sz w:val="16"/>
              </w:rPr>
              <w:t>E</w:t>
            </w:r>
          </w:p>
        </w:tc>
      </w:tr>
      <w:tr w:rsidR="006410E1" w14:paraId="469A6EE8" w14:textId="77777777" w:rsidTr="00FA6C1E">
        <w:trPr>
          <w:cantSplit/>
          <w:trHeight w:val="510"/>
          <w:jc w:val="center"/>
        </w:trPr>
        <w:tc>
          <w:tcPr>
            <w:tcW w:w="695" w:type="dxa"/>
          </w:tcPr>
          <w:p w14:paraId="16C97931" w14:textId="77777777" w:rsidR="006410E1" w:rsidRPr="00FE7FBF" w:rsidRDefault="006410E1" w:rsidP="00995BE6">
            <w:pPr>
              <w:spacing w:before="120" w:after="120"/>
              <w:rPr>
                <w:sz w:val="16"/>
                <w:szCs w:val="16"/>
              </w:rPr>
            </w:pPr>
            <w:r>
              <w:rPr>
                <w:sz w:val="16"/>
              </w:rPr>
              <w:t>48</w:t>
            </w:r>
          </w:p>
        </w:tc>
        <w:tc>
          <w:tcPr>
            <w:tcW w:w="2380" w:type="dxa"/>
          </w:tcPr>
          <w:p w14:paraId="4A3B05BF" w14:textId="77777777" w:rsidR="006410E1" w:rsidRPr="00FE7FBF" w:rsidRDefault="006410E1" w:rsidP="00995BE6">
            <w:pPr>
              <w:spacing w:before="120" w:after="120"/>
              <w:rPr>
                <w:sz w:val="16"/>
                <w:szCs w:val="16"/>
              </w:rPr>
            </w:pPr>
            <w:r>
              <w:rPr>
                <w:sz w:val="16"/>
              </w:rPr>
              <w:t>Elektrická bezpečnosť hybridných a elektrických vozidiel</w:t>
            </w:r>
          </w:p>
        </w:tc>
        <w:tc>
          <w:tcPr>
            <w:tcW w:w="1488" w:type="dxa"/>
          </w:tcPr>
          <w:p w14:paraId="55584C06" w14:textId="77777777" w:rsidR="006410E1" w:rsidRDefault="006410E1" w:rsidP="00995BE6">
            <w:pPr>
              <w:spacing w:before="120" w:after="120"/>
              <w:rPr>
                <w:sz w:val="16"/>
                <w:szCs w:val="16"/>
              </w:rPr>
            </w:pPr>
            <w:r>
              <w:rPr>
                <w:sz w:val="16"/>
              </w:rPr>
              <w:t>(EÚ) č. 3/2014</w:t>
            </w:r>
          </w:p>
        </w:tc>
        <w:tc>
          <w:tcPr>
            <w:tcW w:w="1950" w:type="dxa"/>
          </w:tcPr>
          <w:p w14:paraId="376961A4" w14:textId="77777777" w:rsidR="006410E1" w:rsidRPr="00FE7FBF" w:rsidRDefault="006410E1" w:rsidP="00995BE6">
            <w:pPr>
              <w:spacing w:before="120" w:after="120"/>
              <w:jc w:val="center"/>
              <w:rPr>
                <w:sz w:val="16"/>
                <w:szCs w:val="16"/>
              </w:rPr>
            </w:pPr>
            <w:r>
              <w:rPr>
                <w:sz w:val="16"/>
              </w:rPr>
              <w:t>H</w:t>
            </w:r>
          </w:p>
        </w:tc>
        <w:tc>
          <w:tcPr>
            <w:tcW w:w="1843" w:type="dxa"/>
          </w:tcPr>
          <w:p w14:paraId="60D393CA" w14:textId="77777777" w:rsidR="006410E1" w:rsidRPr="00FE7FBF" w:rsidRDefault="006410E1" w:rsidP="00995BE6">
            <w:pPr>
              <w:spacing w:before="120" w:after="120"/>
              <w:jc w:val="center"/>
              <w:rPr>
                <w:sz w:val="16"/>
                <w:szCs w:val="16"/>
              </w:rPr>
            </w:pPr>
            <w:r>
              <w:rPr>
                <w:sz w:val="16"/>
              </w:rPr>
              <w:t>H/I</w:t>
            </w:r>
            <w:r w:rsidRPr="0049703B">
              <w:rPr>
                <w:rStyle w:val="EndnoteReference"/>
                <w:sz w:val="16"/>
                <w:szCs w:val="16"/>
              </w:rPr>
              <w:endnoteReference w:id="17"/>
            </w:r>
          </w:p>
        </w:tc>
        <w:tc>
          <w:tcPr>
            <w:tcW w:w="1758" w:type="dxa"/>
          </w:tcPr>
          <w:p w14:paraId="2FD9839A" w14:textId="10BC360D" w:rsidR="006410E1" w:rsidRPr="00596BCB" w:rsidRDefault="00237B4E" w:rsidP="00995BE6">
            <w:pPr>
              <w:spacing w:before="120" w:after="120"/>
              <w:jc w:val="center"/>
              <w:rPr>
                <w:sz w:val="16"/>
                <w:szCs w:val="16"/>
                <w:highlight w:val="yellow"/>
              </w:rPr>
            </w:pPr>
            <w:r>
              <w:rPr>
                <w:sz w:val="16"/>
              </w:rPr>
              <w:t>H</w:t>
            </w:r>
            <w:r w:rsidR="006410E1" w:rsidRPr="003854EA">
              <w:rPr>
                <w:rStyle w:val="EndnoteReference"/>
                <w:sz w:val="16"/>
                <w:szCs w:val="16"/>
              </w:rPr>
              <w:endnoteReference w:id="18"/>
            </w:r>
          </w:p>
        </w:tc>
      </w:tr>
      <w:tr w:rsidR="006410E1" w14:paraId="4B35DB59" w14:textId="77777777" w:rsidTr="00FA6C1E">
        <w:trPr>
          <w:cantSplit/>
          <w:trHeight w:val="510"/>
          <w:jc w:val="center"/>
        </w:trPr>
        <w:tc>
          <w:tcPr>
            <w:tcW w:w="695" w:type="dxa"/>
          </w:tcPr>
          <w:p w14:paraId="2D9D8A75" w14:textId="77777777" w:rsidR="006410E1" w:rsidRPr="00FE7FBF" w:rsidRDefault="006410E1" w:rsidP="00995BE6">
            <w:pPr>
              <w:spacing w:before="120" w:after="120"/>
              <w:rPr>
                <w:sz w:val="16"/>
                <w:szCs w:val="16"/>
              </w:rPr>
            </w:pPr>
            <w:r>
              <w:rPr>
                <w:sz w:val="16"/>
              </w:rPr>
              <w:t>49</w:t>
            </w:r>
          </w:p>
        </w:tc>
        <w:tc>
          <w:tcPr>
            <w:tcW w:w="2380" w:type="dxa"/>
          </w:tcPr>
          <w:p w14:paraId="0FD56B9F" w14:textId="77777777" w:rsidR="006410E1" w:rsidRDefault="006410E1" w:rsidP="00995BE6">
            <w:pPr>
              <w:spacing w:before="120" w:after="120"/>
              <w:rPr>
                <w:sz w:val="16"/>
                <w:szCs w:val="16"/>
              </w:rPr>
            </w:pPr>
            <w:r>
              <w:rPr>
                <w:sz w:val="16"/>
              </w:rPr>
              <w:t>Vyhlásenie výrobcu o skúške odolnosti systémov, komponentov a zariadení dôležitých pre funkčnú bezpečnosť</w:t>
            </w:r>
          </w:p>
        </w:tc>
        <w:tc>
          <w:tcPr>
            <w:tcW w:w="1488" w:type="dxa"/>
          </w:tcPr>
          <w:p w14:paraId="098E6052" w14:textId="77777777" w:rsidR="006410E1" w:rsidRPr="008F1522" w:rsidRDefault="006410E1" w:rsidP="00995BE6">
            <w:pPr>
              <w:spacing w:before="120" w:after="120"/>
              <w:rPr>
                <w:sz w:val="16"/>
                <w:szCs w:val="16"/>
              </w:rPr>
            </w:pPr>
            <w:r>
              <w:rPr>
                <w:sz w:val="16"/>
              </w:rPr>
              <w:t>(EÚ) č. 3/2014</w:t>
            </w:r>
          </w:p>
        </w:tc>
        <w:tc>
          <w:tcPr>
            <w:tcW w:w="1950" w:type="dxa"/>
          </w:tcPr>
          <w:p w14:paraId="3611EE0D" w14:textId="77777777" w:rsidR="006410E1" w:rsidRPr="00E149AE" w:rsidRDefault="006410E1" w:rsidP="00995BE6">
            <w:pPr>
              <w:spacing w:before="120" w:after="120"/>
              <w:jc w:val="center"/>
              <w:rPr>
                <w:sz w:val="16"/>
                <w:szCs w:val="16"/>
              </w:rPr>
            </w:pPr>
            <w:r>
              <w:rPr>
                <w:sz w:val="16"/>
              </w:rPr>
              <w:t>B</w:t>
            </w:r>
          </w:p>
        </w:tc>
        <w:tc>
          <w:tcPr>
            <w:tcW w:w="1843" w:type="dxa"/>
          </w:tcPr>
          <w:p w14:paraId="68E62E67" w14:textId="77777777" w:rsidR="006410E1" w:rsidRPr="00FE7FBF" w:rsidRDefault="006410E1" w:rsidP="00995BE6">
            <w:pPr>
              <w:spacing w:before="120" w:after="120"/>
              <w:jc w:val="center"/>
              <w:rPr>
                <w:sz w:val="16"/>
                <w:szCs w:val="16"/>
              </w:rPr>
            </w:pPr>
            <w:r>
              <w:rPr>
                <w:sz w:val="16"/>
              </w:rPr>
              <w:t>neuplatňuje sa</w:t>
            </w:r>
          </w:p>
        </w:tc>
        <w:tc>
          <w:tcPr>
            <w:tcW w:w="1758" w:type="dxa"/>
          </w:tcPr>
          <w:p w14:paraId="618F22C5" w14:textId="77777777" w:rsidR="006410E1" w:rsidRPr="00596BCB" w:rsidRDefault="006410E1" w:rsidP="00995BE6">
            <w:pPr>
              <w:spacing w:before="120" w:after="120"/>
              <w:jc w:val="center"/>
              <w:rPr>
                <w:sz w:val="16"/>
                <w:szCs w:val="16"/>
                <w:highlight w:val="yellow"/>
              </w:rPr>
            </w:pPr>
            <w:r>
              <w:rPr>
                <w:sz w:val="16"/>
              </w:rPr>
              <w:t>neuplatňuje sa</w:t>
            </w:r>
          </w:p>
        </w:tc>
      </w:tr>
      <w:tr w:rsidR="006410E1" w14:paraId="558E334E" w14:textId="77777777" w:rsidTr="00FA6C1E">
        <w:trPr>
          <w:cantSplit/>
          <w:trHeight w:val="510"/>
          <w:jc w:val="center"/>
        </w:trPr>
        <w:tc>
          <w:tcPr>
            <w:tcW w:w="695" w:type="dxa"/>
          </w:tcPr>
          <w:p w14:paraId="6C2CC1DE" w14:textId="77777777" w:rsidR="006410E1" w:rsidRPr="00FE7FBF" w:rsidRDefault="006410E1" w:rsidP="00995BE6">
            <w:pPr>
              <w:spacing w:before="120" w:after="120"/>
              <w:rPr>
                <w:sz w:val="16"/>
                <w:szCs w:val="16"/>
              </w:rPr>
            </w:pPr>
            <w:r>
              <w:rPr>
                <w:sz w:val="16"/>
              </w:rPr>
              <w:t>50</w:t>
            </w:r>
          </w:p>
        </w:tc>
        <w:tc>
          <w:tcPr>
            <w:tcW w:w="2380" w:type="dxa"/>
          </w:tcPr>
          <w:p w14:paraId="0C164801" w14:textId="77777777" w:rsidR="006410E1" w:rsidRDefault="006410E1" w:rsidP="00995BE6">
            <w:pPr>
              <w:spacing w:before="120" w:after="120"/>
              <w:rPr>
                <w:sz w:val="16"/>
                <w:szCs w:val="16"/>
              </w:rPr>
            </w:pPr>
            <w:r>
              <w:rPr>
                <w:sz w:val="16"/>
              </w:rPr>
              <w:t>Predné a zadné ochranné konštrukcie</w:t>
            </w:r>
          </w:p>
        </w:tc>
        <w:tc>
          <w:tcPr>
            <w:tcW w:w="1488" w:type="dxa"/>
          </w:tcPr>
          <w:p w14:paraId="4DD506A2" w14:textId="77777777" w:rsidR="006410E1" w:rsidRPr="008F1522" w:rsidRDefault="006410E1" w:rsidP="00995BE6">
            <w:pPr>
              <w:spacing w:before="120" w:after="120"/>
              <w:rPr>
                <w:sz w:val="16"/>
                <w:szCs w:val="16"/>
              </w:rPr>
            </w:pPr>
            <w:r>
              <w:rPr>
                <w:sz w:val="16"/>
              </w:rPr>
              <w:t>(EÚ) č. 3/2014</w:t>
            </w:r>
          </w:p>
        </w:tc>
        <w:tc>
          <w:tcPr>
            <w:tcW w:w="1950" w:type="dxa"/>
          </w:tcPr>
          <w:p w14:paraId="006C5E81" w14:textId="77777777" w:rsidR="006410E1" w:rsidRPr="00E149AE" w:rsidRDefault="006410E1" w:rsidP="00995BE6">
            <w:pPr>
              <w:spacing w:before="120" w:after="120"/>
              <w:jc w:val="center"/>
              <w:rPr>
                <w:sz w:val="16"/>
                <w:szCs w:val="16"/>
              </w:rPr>
            </w:pPr>
            <w:r>
              <w:rPr>
                <w:sz w:val="16"/>
              </w:rPr>
              <w:t>C</w:t>
            </w:r>
          </w:p>
        </w:tc>
        <w:tc>
          <w:tcPr>
            <w:tcW w:w="1843" w:type="dxa"/>
          </w:tcPr>
          <w:p w14:paraId="587232AF" w14:textId="77777777" w:rsidR="006410E1" w:rsidRPr="0049703B" w:rsidRDefault="006410E1" w:rsidP="00995BE6">
            <w:pPr>
              <w:spacing w:before="120" w:after="120"/>
              <w:jc w:val="center"/>
              <w:rPr>
                <w:sz w:val="16"/>
                <w:szCs w:val="16"/>
              </w:rPr>
            </w:pPr>
            <w:r>
              <w:rPr>
                <w:sz w:val="16"/>
              </w:rPr>
              <w:t>E</w:t>
            </w:r>
          </w:p>
        </w:tc>
        <w:tc>
          <w:tcPr>
            <w:tcW w:w="1758" w:type="dxa"/>
          </w:tcPr>
          <w:p w14:paraId="300F49C7" w14:textId="77777777" w:rsidR="006410E1" w:rsidRPr="00596BCB" w:rsidRDefault="006410E1" w:rsidP="00995BE6">
            <w:pPr>
              <w:spacing w:before="120" w:after="120"/>
              <w:jc w:val="center"/>
              <w:rPr>
                <w:sz w:val="16"/>
                <w:szCs w:val="16"/>
                <w:highlight w:val="yellow"/>
              </w:rPr>
            </w:pPr>
            <w:r>
              <w:rPr>
                <w:sz w:val="16"/>
              </w:rPr>
              <w:t>E</w:t>
            </w:r>
          </w:p>
        </w:tc>
      </w:tr>
      <w:tr w:rsidR="006410E1" w14:paraId="438A49F7" w14:textId="77777777" w:rsidTr="00FA6C1E">
        <w:trPr>
          <w:cantSplit/>
          <w:trHeight w:val="510"/>
          <w:jc w:val="center"/>
        </w:trPr>
        <w:tc>
          <w:tcPr>
            <w:tcW w:w="695" w:type="dxa"/>
          </w:tcPr>
          <w:p w14:paraId="4B531346" w14:textId="77777777" w:rsidR="006410E1" w:rsidRPr="00FE7FBF" w:rsidRDefault="006410E1" w:rsidP="00995BE6">
            <w:pPr>
              <w:spacing w:before="120" w:after="120"/>
              <w:rPr>
                <w:sz w:val="16"/>
                <w:szCs w:val="16"/>
              </w:rPr>
            </w:pPr>
            <w:r>
              <w:rPr>
                <w:sz w:val="16"/>
              </w:rPr>
              <w:t>51</w:t>
            </w:r>
          </w:p>
        </w:tc>
        <w:tc>
          <w:tcPr>
            <w:tcW w:w="2380" w:type="dxa"/>
          </w:tcPr>
          <w:p w14:paraId="4D173966" w14:textId="77777777" w:rsidR="006410E1" w:rsidRDefault="006410E1" w:rsidP="00995BE6">
            <w:pPr>
              <w:spacing w:before="120" w:after="120"/>
              <w:rPr>
                <w:sz w:val="16"/>
                <w:szCs w:val="16"/>
              </w:rPr>
            </w:pPr>
            <w:r>
              <w:rPr>
                <w:sz w:val="16"/>
              </w:rPr>
              <w:t xml:space="preserve">Ochranná konštrukcia chrániaca pri prevrátení (ROPS) v prípade vozidiel kategórie L7e–B2 </w:t>
            </w:r>
          </w:p>
        </w:tc>
        <w:tc>
          <w:tcPr>
            <w:tcW w:w="1488" w:type="dxa"/>
          </w:tcPr>
          <w:p w14:paraId="0F01D726" w14:textId="77777777" w:rsidR="006410E1" w:rsidRPr="008F1522" w:rsidRDefault="006410E1" w:rsidP="00995BE6">
            <w:pPr>
              <w:spacing w:before="120" w:after="120"/>
              <w:rPr>
                <w:sz w:val="16"/>
                <w:szCs w:val="16"/>
              </w:rPr>
            </w:pPr>
            <w:r>
              <w:rPr>
                <w:sz w:val="16"/>
              </w:rPr>
              <w:t>(EÚ) č. 3/2014</w:t>
            </w:r>
          </w:p>
        </w:tc>
        <w:tc>
          <w:tcPr>
            <w:tcW w:w="1950" w:type="dxa"/>
          </w:tcPr>
          <w:p w14:paraId="54A77F28" w14:textId="77777777" w:rsidR="006410E1" w:rsidRPr="00E149AE" w:rsidRDefault="006410E1" w:rsidP="00995BE6">
            <w:pPr>
              <w:spacing w:before="120" w:after="120"/>
              <w:jc w:val="center"/>
              <w:rPr>
                <w:sz w:val="16"/>
                <w:szCs w:val="16"/>
              </w:rPr>
            </w:pPr>
            <w:r>
              <w:rPr>
                <w:sz w:val="16"/>
              </w:rPr>
              <w:t>A</w:t>
            </w:r>
          </w:p>
        </w:tc>
        <w:tc>
          <w:tcPr>
            <w:tcW w:w="1843" w:type="dxa"/>
          </w:tcPr>
          <w:p w14:paraId="38C5FDC5" w14:textId="77777777" w:rsidR="006410E1" w:rsidRPr="00FE7FBF" w:rsidRDefault="006410E1" w:rsidP="00995BE6">
            <w:pPr>
              <w:spacing w:before="120" w:after="120"/>
              <w:jc w:val="center"/>
              <w:rPr>
                <w:sz w:val="16"/>
                <w:szCs w:val="16"/>
              </w:rPr>
            </w:pPr>
            <w:r>
              <w:rPr>
                <w:sz w:val="16"/>
              </w:rPr>
              <w:t>H</w:t>
            </w:r>
          </w:p>
        </w:tc>
        <w:tc>
          <w:tcPr>
            <w:tcW w:w="1758" w:type="dxa"/>
          </w:tcPr>
          <w:p w14:paraId="1EA5390C" w14:textId="77777777" w:rsidR="006410E1" w:rsidRPr="00596BCB" w:rsidRDefault="006410E1" w:rsidP="00995BE6">
            <w:pPr>
              <w:spacing w:before="120" w:after="120"/>
              <w:jc w:val="center"/>
              <w:rPr>
                <w:sz w:val="16"/>
                <w:szCs w:val="16"/>
                <w:highlight w:val="yellow"/>
              </w:rPr>
            </w:pPr>
            <w:r>
              <w:rPr>
                <w:sz w:val="16"/>
              </w:rPr>
              <w:t>neuplatňuje sa</w:t>
            </w:r>
          </w:p>
        </w:tc>
      </w:tr>
      <w:tr w:rsidR="006410E1" w14:paraId="7171A9AE" w14:textId="77777777" w:rsidTr="00FA6C1E">
        <w:trPr>
          <w:cantSplit/>
          <w:trHeight w:val="510"/>
          <w:jc w:val="center"/>
        </w:trPr>
        <w:tc>
          <w:tcPr>
            <w:tcW w:w="695" w:type="dxa"/>
          </w:tcPr>
          <w:p w14:paraId="2B4462F2" w14:textId="77777777" w:rsidR="006410E1" w:rsidRPr="00FE7FBF" w:rsidRDefault="006410E1" w:rsidP="00995BE6">
            <w:pPr>
              <w:spacing w:before="120" w:after="120"/>
              <w:rPr>
                <w:sz w:val="16"/>
                <w:szCs w:val="16"/>
              </w:rPr>
            </w:pPr>
            <w:r>
              <w:rPr>
                <w:sz w:val="16"/>
              </w:rPr>
              <w:t>52</w:t>
            </w:r>
          </w:p>
        </w:tc>
        <w:tc>
          <w:tcPr>
            <w:tcW w:w="2380" w:type="dxa"/>
          </w:tcPr>
          <w:p w14:paraId="7994AC10" w14:textId="77777777" w:rsidR="006410E1" w:rsidRDefault="006410E1" w:rsidP="00995BE6">
            <w:pPr>
              <w:spacing w:before="120" w:after="120"/>
              <w:rPr>
                <w:sz w:val="16"/>
                <w:szCs w:val="16"/>
              </w:rPr>
            </w:pPr>
            <w:r>
              <w:rPr>
                <w:sz w:val="16"/>
              </w:rPr>
              <w:t>Miesta na sedenie (sedadlá a sedacie plochy)</w:t>
            </w:r>
          </w:p>
        </w:tc>
        <w:tc>
          <w:tcPr>
            <w:tcW w:w="1488" w:type="dxa"/>
          </w:tcPr>
          <w:p w14:paraId="5799CCF5" w14:textId="77777777" w:rsidR="006410E1" w:rsidRPr="008F1522" w:rsidRDefault="006410E1" w:rsidP="00995BE6">
            <w:pPr>
              <w:spacing w:before="120" w:after="120"/>
              <w:rPr>
                <w:sz w:val="16"/>
                <w:szCs w:val="16"/>
              </w:rPr>
            </w:pPr>
            <w:r>
              <w:rPr>
                <w:sz w:val="16"/>
              </w:rPr>
              <w:t>(EÚ) č. 3/2014</w:t>
            </w:r>
          </w:p>
        </w:tc>
        <w:tc>
          <w:tcPr>
            <w:tcW w:w="1950" w:type="dxa"/>
          </w:tcPr>
          <w:p w14:paraId="4258C99E" w14:textId="77777777" w:rsidR="006410E1" w:rsidRPr="00E149AE" w:rsidRDefault="006410E1" w:rsidP="00995BE6">
            <w:pPr>
              <w:spacing w:before="120" w:after="120"/>
              <w:jc w:val="center"/>
              <w:rPr>
                <w:sz w:val="16"/>
                <w:szCs w:val="16"/>
              </w:rPr>
            </w:pPr>
            <w:r>
              <w:rPr>
                <w:sz w:val="16"/>
              </w:rPr>
              <w:t>C</w:t>
            </w:r>
          </w:p>
        </w:tc>
        <w:tc>
          <w:tcPr>
            <w:tcW w:w="1843" w:type="dxa"/>
          </w:tcPr>
          <w:p w14:paraId="633B7A7A" w14:textId="77777777" w:rsidR="006410E1" w:rsidRPr="0049703B" w:rsidRDefault="006410E1" w:rsidP="00995BE6">
            <w:pPr>
              <w:spacing w:before="120" w:after="120"/>
              <w:jc w:val="center"/>
              <w:rPr>
                <w:sz w:val="16"/>
                <w:szCs w:val="16"/>
                <w:highlight w:val="yellow"/>
              </w:rPr>
            </w:pPr>
            <w:r>
              <w:rPr>
                <w:sz w:val="16"/>
              </w:rPr>
              <w:t>E/I</w:t>
            </w:r>
          </w:p>
        </w:tc>
        <w:tc>
          <w:tcPr>
            <w:tcW w:w="1758" w:type="dxa"/>
          </w:tcPr>
          <w:p w14:paraId="7BD6907B" w14:textId="77777777" w:rsidR="006410E1" w:rsidRPr="0049703B" w:rsidRDefault="006410E1" w:rsidP="00995BE6">
            <w:pPr>
              <w:spacing w:before="120" w:after="120"/>
              <w:jc w:val="center"/>
              <w:rPr>
                <w:sz w:val="16"/>
                <w:szCs w:val="16"/>
                <w:highlight w:val="yellow"/>
              </w:rPr>
            </w:pPr>
            <w:r>
              <w:rPr>
                <w:sz w:val="16"/>
              </w:rPr>
              <w:t>E</w:t>
            </w:r>
            <w:r w:rsidRPr="0049703B">
              <w:rPr>
                <w:rStyle w:val="EndnoteReference"/>
                <w:sz w:val="16"/>
                <w:szCs w:val="16"/>
              </w:rPr>
              <w:endnoteReference w:id="19"/>
            </w:r>
            <w:r>
              <w:rPr>
                <w:sz w:val="16"/>
              </w:rPr>
              <w:t>/I</w:t>
            </w:r>
          </w:p>
        </w:tc>
      </w:tr>
      <w:tr w:rsidR="006410E1" w14:paraId="5CBEFCB2" w14:textId="77777777" w:rsidTr="00FA6C1E">
        <w:trPr>
          <w:cantSplit/>
          <w:trHeight w:val="510"/>
          <w:jc w:val="center"/>
        </w:trPr>
        <w:tc>
          <w:tcPr>
            <w:tcW w:w="695" w:type="dxa"/>
          </w:tcPr>
          <w:p w14:paraId="308760BD" w14:textId="77777777" w:rsidR="006410E1" w:rsidRPr="00FE7FBF" w:rsidRDefault="006410E1" w:rsidP="00995BE6">
            <w:pPr>
              <w:spacing w:before="120" w:after="120"/>
              <w:rPr>
                <w:sz w:val="16"/>
                <w:szCs w:val="16"/>
              </w:rPr>
            </w:pPr>
            <w:r>
              <w:rPr>
                <w:sz w:val="16"/>
              </w:rPr>
              <w:t>53</w:t>
            </w:r>
          </w:p>
        </w:tc>
        <w:tc>
          <w:tcPr>
            <w:tcW w:w="2380" w:type="dxa"/>
          </w:tcPr>
          <w:p w14:paraId="5496F51F" w14:textId="77777777" w:rsidR="006410E1" w:rsidRDefault="006410E1" w:rsidP="00995BE6">
            <w:pPr>
              <w:spacing w:before="120" w:after="120"/>
              <w:rPr>
                <w:sz w:val="16"/>
                <w:szCs w:val="16"/>
              </w:rPr>
            </w:pPr>
            <w:r>
              <w:rPr>
                <w:sz w:val="16"/>
              </w:rPr>
              <w:t>Ovládateľnosť, vlastnosti zatáčania a schopnosť otáčania</w:t>
            </w:r>
          </w:p>
        </w:tc>
        <w:tc>
          <w:tcPr>
            <w:tcW w:w="1488" w:type="dxa"/>
          </w:tcPr>
          <w:p w14:paraId="3E468486" w14:textId="77777777" w:rsidR="006410E1" w:rsidRPr="008F1522" w:rsidRDefault="006410E1" w:rsidP="00995BE6">
            <w:pPr>
              <w:spacing w:before="120" w:after="120"/>
              <w:rPr>
                <w:sz w:val="16"/>
                <w:szCs w:val="16"/>
              </w:rPr>
            </w:pPr>
            <w:r>
              <w:rPr>
                <w:sz w:val="16"/>
              </w:rPr>
              <w:t>(EÚ) č. 3/2014</w:t>
            </w:r>
          </w:p>
        </w:tc>
        <w:tc>
          <w:tcPr>
            <w:tcW w:w="1950" w:type="dxa"/>
          </w:tcPr>
          <w:p w14:paraId="3256CF7D" w14:textId="77777777" w:rsidR="006410E1" w:rsidRPr="00E149AE" w:rsidRDefault="006410E1" w:rsidP="00995BE6">
            <w:pPr>
              <w:spacing w:before="120" w:after="120"/>
              <w:jc w:val="center"/>
              <w:rPr>
                <w:sz w:val="16"/>
                <w:szCs w:val="16"/>
              </w:rPr>
            </w:pPr>
            <w:r>
              <w:rPr>
                <w:sz w:val="16"/>
              </w:rPr>
              <w:t>C</w:t>
            </w:r>
          </w:p>
        </w:tc>
        <w:tc>
          <w:tcPr>
            <w:tcW w:w="1843" w:type="dxa"/>
          </w:tcPr>
          <w:p w14:paraId="4762BAD6" w14:textId="77777777" w:rsidR="006410E1" w:rsidRPr="00FE7FBF" w:rsidRDefault="006410E1" w:rsidP="00995BE6">
            <w:pPr>
              <w:spacing w:before="120" w:after="120"/>
              <w:jc w:val="center"/>
              <w:rPr>
                <w:sz w:val="16"/>
                <w:szCs w:val="16"/>
              </w:rPr>
            </w:pPr>
            <w:r>
              <w:rPr>
                <w:sz w:val="16"/>
              </w:rPr>
              <w:t>C</w:t>
            </w:r>
          </w:p>
        </w:tc>
        <w:tc>
          <w:tcPr>
            <w:tcW w:w="1758" w:type="dxa"/>
          </w:tcPr>
          <w:p w14:paraId="31A68813" w14:textId="41FFCAD4" w:rsidR="006410E1" w:rsidRPr="00302B9D" w:rsidRDefault="006F1D9E" w:rsidP="00302B9D">
            <w:pPr>
              <w:spacing w:before="120" w:after="120"/>
              <w:jc w:val="center"/>
              <w:rPr>
                <w:sz w:val="16"/>
                <w:szCs w:val="16"/>
              </w:rPr>
            </w:pPr>
            <w:r>
              <w:rPr>
                <w:sz w:val="16"/>
              </w:rPr>
              <w:t>E</w:t>
            </w:r>
            <w:r w:rsidR="009E48B4">
              <w:rPr>
                <w:rStyle w:val="EndnoteReference"/>
                <w:sz w:val="16"/>
                <w:szCs w:val="16"/>
              </w:rPr>
              <w:endnoteReference w:id="20"/>
            </w:r>
          </w:p>
        </w:tc>
      </w:tr>
      <w:tr w:rsidR="006410E1" w14:paraId="285022D4" w14:textId="77777777" w:rsidTr="00FA6C1E">
        <w:trPr>
          <w:cantSplit/>
          <w:trHeight w:val="510"/>
          <w:jc w:val="center"/>
        </w:trPr>
        <w:tc>
          <w:tcPr>
            <w:tcW w:w="695" w:type="dxa"/>
          </w:tcPr>
          <w:p w14:paraId="25F1108F" w14:textId="77777777" w:rsidR="006410E1" w:rsidRPr="00FE7FBF" w:rsidRDefault="006410E1" w:rsidP="00995BE6">
            <w:pPr>
              <w:spacing w:before="120" w:after="120"/>
              <w:rPr>
                <w:sz w:val="16"/>
                <w:szCs w:val="16"/>
              </w:rPr>
            </w:pPr>
            <w:r>
              <w:rPr>
                <w:sz w:val="16"/>
              </w:rPr>
              <w:t>54</w:t>
            </w:r>
          </w:p>
        </w:tc>
        <w:tc>
          <w:tcPr>
            <w:tcW w:w="2380" w:type="dxa"/>
          </w:tcPr>
          <w:p w14:paraId="2C14F3E6" w14:textId="77777777" w:rsidR="006410E1" w:rsidRDefault="006410E1" w:rsidP="00995BE6">
            <w:pPr>
              <w:spacing w:before="120" w:after="120"/>
              <w:rPr>
                <w:sz w:val="16"/>
                <w:szCs w:val="16"/>
              </w:rPr>
            </w:pPr>
            <w:r>
              <w:rPr>
                <w:sz w:val="16"/>
              </w:rPr>
              <w:t>Tabuľka s obmedzením najvyššej rýchlosti vozidla</w:t>
            </w:r>
          </w:p>
        </w:tc>
        <w:tc>
          <w:tcPr>
            <w:tcW w:w="1488" w:type="dxa"/>
          </w:tcPr>
          <w:p w14:paraId="3ADD9001" w14:textId="77777777" w:rsidR="006410E1" w:rsidRPr="008F1522" w:rsidRDefault="006410E1" w:rsidP="00995BE6">
            <w:pPr>
              <w:spacing w:before="120" w:after="120"/>
              <w:rPr>
                <w:sz w:val="16"/>
                <w:szCs w:val="16"/>
              </w:rPr>
            </w:pPr>
            <w:r>
              <w:rPr>
                <w:sz w:val="16"/>
              </w:rPr>
              <w:t>(EÚ) č. 3/2014</w:t>
            </w:r>
          </w:p>
        </w:tc>
        <w:tc>
          <w:tcPr>
            <w:tcW w:w="1950" w:type="dxa"/>
          </w:tcPr>
          <w:p w14:paraId="60EA3AD9" w14:textId="77777777" w:rsidR="006410E1" w:rsidRPr="0049703B" w:rsidRDefault="006410E1" w:rsidP="00995BE6">
            <w:pPr>
              <w:spacing w:before="120" w:after="120"/>
              <w:jc w:val="center"/>
              <w:rPr>
                <w:sz w:val="16"/>
                <w:szCs w:val="16"/>
              </w:rPr>
            </w:pPr>
            <w:r>
              <w:rPr>
                <w:sz w:val="16"/>
              </w:rPr>
              <w:t>E</w:t>
            </w:r>
          </w:p>
        </w:tc>
        <w:tc>
          <w:tcPr>
            <w:tcW w:w="1843" w:type="dxa"/>
          </w:tcPr>
          <w:p w14:paraId="14E0716C" w14:textId="77777777" w:rsidR="006410E1" w:rsidRPr="0049703B" w:rsidRDefault="006410E1" w:rsidP="00995BE6">
            <w:pPr>
              <w:spacing w:before="120" w:after="120"/>
              <w:jc w:val="center"/>
              <w:rPr>
                <w:sz w:val="16"/>
                <w:szCs w:val="16"/>
              </w:rPr>
            </w:pPr>
            <w:r>
              <w:rPr>
                <w:sz w:val="16"/>
              </w:rPr>
              <w:t>E</w:t>
            </w:r>
          </w:p>
        </w:tc>
        <w:tc>
          <w:tcPr>
            <w:tcW w:w="1758" w:type="dxa"/>
          </w:tcPr>
          <w:p w14:paraId="016C06DE" w14:textId="77777777" w:rsidR="006410E1" w:rsidRPr="00596BCB" w:rsidRDefault="006410E1" w:rsidP="00995BE6">
            <w:pPr>
              <w:spacing w:before="120" w:after="120"/>
              <w:jc w:val="center"/>
              <w:rPr>
                <w:sz w:val="16"/>
                <w:szCs w:val="16"/>
                <w:highlight w:val="yellow"/>
              </w:rPr>
            </w:pPr>
            <w:r>
              <w:rPr>
                <w:sz w:val="16"/>
              </w:rPr>
              <w:t>neuplatňuje sa</w:t>
            </w:r>
          </w:p>
        </w:tc>
      </w:tr>
      <w:tr w:rsidR="006410E1" w14:paraId="55406B73" w14:textId="77777777" w:rsidTr="00FA6C1E">
        <w:trPr>
          <w:cantSplit/>
          <w:trHeight w:val="510"/>
          <w:jc w:val="center"/>
        </w:trPr>
        <w:tc>
          <w:tcPr>
            <w:tcW w:w="695" w:type="dxa"/>
          </w:tcPr>
          <w:p w14:paraId="2554F0FE" w14:textId="77777777" w:rsidR="006410E1" w:rsidRPr="00FE7FBF" w:rsidRDefault="006410E1" w:rsidP="00995BE6">
            <w:pPr>
              <w:spacing w:before="120" w:after="120"/>
              <w:rPr>
                <w:sz w:val="16"/>
                <w:szCs w:val="16"/>
              </w:rPr>
            </w:pPr>
            <w:r>
              <w:rPr>
                <w:sz w:val="16"/>
              </w:rPr>
              <w:t>55</w:t>
            </w:r>
          </w:p>
        </w:tc>
        <w:tc>
          <w:tcPr>
            <w:tcW w:w="2380" w:type="dxa"/>
          </w:tcPr>
          <w:p w14:paraId="46ADF450" w14:textId="77777777" w:rsidR="006410E1" w:rsidRPr="00971DBA" w:rsidRDefault="006410E1" w:rsidP="00995BE6">
            <w:pPr>
              <w:spacing w:before="120" w:after="120"/>
              <w:rPr>
                <w:sz w:val="16"/>
                <w:szCs w:val="16"/>
              </w:rPr>
            </w:pPr>
            <w:r>
              <w:rPr>
                <w:sz w:val="16"/>
              </w:rPr>
              <w:t>Ochrana cestujúcich vo vozidle vrátane vnútorného vybavenia a dverí vozidla</w:t>
            </w:r>
          </w:p>
        </w:tc>
        <w:tc>
          <w:tcPr>
            <w:tcW w:w="1488" w:type="dxa"/>
          </w:tcPr>
          <w:p w14:paraId="1A826D74" w14:textId="77777777" w:rsidR="006410E1" w:rsidRPr="008F1522" w:rsidRDefault="006410E1" w:rsidP="00995BE6">
            <w:pPr>
              <w:spacing w:before="120" w:after="120"/>
              <w:rPr>
                <w:sz w:val="16"/>
                <w:szCs w:val="16"/>
              </w:rPr>
            </w:pPr>
            <w:r>
              <w:rPr>
                <w:sz w:val="16"/>
              </w:rPr>
              <w:t>(EÚ) č. 3/2014</w:t>
            </w:r>
          </w:p>
        </w:tc>
        <w:tc>
          <w:tcPr>
            <w:tcW w:w="1950" w:type="dxa"/>
          </w:tcPr>
          <w:p w14:paraId="18ADC8C5" w14:textId="77777777" w:rsidR="006410E1" w:rsidRPr="00E149AE" w:rsidRDefault="006410E1" w:rsidP="00995BE6">
            <w:pPr>
              <w:spacing w:before="120" w:after="120"/>
              <w:jc w:val="center"/>
              <w:rPr>
                <w:sz w:val="16"/>
                <w:szCs w:val="16"/>
              </w:rPr>
            </w:pPr>
            <w:r>
              <w:rPr>
                <w:sz w:val="16"/>
              </w:rPr>
              <w:t>C</w:t>
            </w:r>
          </w:p>
        </w:tc>
        <w:tc>
          <w:tcPr>
            <w:tcW w:w="1843" w:type="dxa"/>
          </w:tcPr>
          <w:p w14:paraId="5DFBE7EF" w14:textId="77777777" w:rsidR="006410E1" w:rsidRPr="0049703B" w:rsidRDefault="006410E1" w:rsidP="00995BE6">
            <w:pPr>
              <w:spacing w:before="120" w:after="120"/>
              <w:jc w:val="center"/>
              <w:rPr>
                <w:sz w:val="16"/>
                <w:szCs w:val="16"/>
              </w:rPr>
            </w:pPr>
            <w:r>
              <w:rPr>
                <w:sz w:val="16"/>
              </w:rPr>
              <w:t>E</w:t>
            </w:r>
          </w:p>
        </w:tc>
        <w:tc>
          <w:tcPr>
            <w:tcW w:w="1758" w:type="dxa"/>
          </w:tcPr>
          <w:p w14:paraId="23FDA8C6" w14:textId="77777777" w:rsidR="006410E1" w:rsidRPr="00596BCB" w:rsidRDefault="006410E1" w:rsidP="00995BE6">
            <w:pPr>
              <w:spacing w:before="120" w:after="120"/>
              <w:jc w:val="center"/>
              <w:rPr>
                <w:sz w:val="16"/>
                <w:szCs w:val="16"/>
                <w:highlight w:val="yellow"/>
              </w:rPr>
            </w:pPr>
            <w:r>
              <w:rPr>
                <w:sz w:val="16"/>
              </w:rPr>
              <w:t>E</w:t>
            </w:r>
          </w:p>
        </w:tc>
      </w:tr>
      <w:tr w:rsidR="006410E1" w14:paraId="69703AC8" w14:textId="77777777" w:rsidTr="00FA6C1E">
        <w:trPr>
          <w:cantSplit/>
          <w:trHeight w:val="510"/>
          <w:jc w:val="center"/>
        </w:trPr>
        <w:tc>
          <w:tcPr>
            <w:tcW w:w="695" w:type="dxa"/>
          </w:tcPr>
          <w:p w14:paraId="23670B79" w14:textId="77777777" w:rsidR="006410E1" w:rsidRPr="00FE7FBF" w:rsidRDefault="006410E1" w:rsidP="00995BE6">
            <w:pPr>
              <w:spacing w:before="120" w:after="120"/>
              <w:rPr>
                <w:sz w:val="16"/>
                <w:szCs w:val="16"/>
              </w:rPr>
            </w:pPr>
            <w:r>
              <w:rPr>
                <w:sz w:val="16"/>
              </w:rPr>
              <w:t>56</w:t>
            </w:r>
          </w:p>
        </w:tc>
        <w:tc>
          <w:tcPr>
            <w:tcW w:w="2380" w:type="dxa"/>
          </w:tcPr>
          <w:p w14:paraId="432FDBA0" w14:textId="77777777" w:rsidR="006410E1" w:rsidRPr="00971DBA" w:rsidRDefault="006410E1" w:rsidP="00995BE6">
            <w:pPr>
              <w:spacing w:before="120" w:after="120"/>
              <w:rPr>
                <w:sz w:val="16"/>
                <w:szCs w:val="16"/>
              </w:rPr>
            </w:pPr>
            <w:r>
              <w:rPr>
                <w:sz w:val="16"/>
              </w:rPr>
              <w:t>Konštrukčná integrita vozidla</w:t>
            </w:r>
          </w:p>
        </w:tc>
        <w:tc>
          <w:tcPr>
            <w:tcW w:w="1488" w:type="dxa"/>
          </w:tcPr>
          <w:p w14:paraId="1E096B95" w14:textId="77777777" w:rsidR="006410E1" w:rsidRPr="008F1522" w:rsidRDefault="006410E1" w:rsidP="00995BE6">
            <w:pPr>
              <w:spacing w:before="120" w:after="120"/>
              <w:rPr>
                <w:sz w:val="16"/>
                <w:szCs w:val="16"/>
              </w:rPr>
            </w:pPr>
            <w:r>
              <w:rPr>
                <w:sz w:val="16"/>
              </w:rPr>
              <w:t>(EÚ) č. 3/2014</w:t>
            </w:r>
          </w:p>
        </w:tc>
        <w:tc>
          <w:tcPr>
            <w:tcW w:w="1950" w:type="dxa"/>
          </w:tcPr>
          <w:p w14:paraId="6A710087" w14:textId="77777777" w:rsidR="006410E1" w:rsidRPr="00E149AE" w:rsidRDefault="006410E1" w:rsidP="00995BE6">
            <w:pPr>
              <w:spacing w:before="120" w:after="120"/>
              <w:jc w:val="center"/>
              <w:rPr>
                <w:sz w:val="16"/>
                <w:szCs w:val="16"/>
              </w:rPr>
            </w:pPr>
            <w:r>
              <w:rPr>
                <w:sz w:val="16"/>
              </w:rPr>
              <w:t>B</w:t>
            </w:r>
          </w:p>
        </w:tc>
        <w:tc>
          <w:tcPr>
            <w:tcW w:w="1843" w:type="dxa"/>
          </w:tcPr>
          <w:p w14:paraId="0C2E2D3D" w14:textId="77777777" w:rsidR="006410E1" w:rsidRPr="00FE7FBF" w:rsidRDefault="006410E1" w:rsidP="00995BE6">
            <w:pPr>
              <w:spacing w:before="120" w:after="120"/>
              <w:jc w:val="center"/>
              <w:rPr>
                <w:sz w:val="16"/>
                <w:szCs w:val="16"/>
              </w:rPr>
            </w:pPr>
            <w:r>
              <w:rPr>
                <w:sz w:val="16"/>
              </w:rPr>
              <w:t>C</w:t>
            </w:r>
          </w:p>
        </w:tc>
        <w:tc>
          <w:tcPr>
            <w:tcW w:w="1758" w:type="dxa"/>
          </w:tcPr>
          <w:p w14:paraId="628A29BE" w14:textId="77777777" w:rsidR="006410E1" w:rsidRPr="00596BCB" w:rsidRDefault="006410E1" w:rsidP="00995BE6">
            <w:pPr>
              <w:spacing w:before="120" w:after="120"/>
              <w:jc w:val="center"/>
              <w:rPr>
                <w:sz w:val="16"/>
                <w:szCs w:val="16"/>
                <w:highlight w:val="yellow"/>
              </w:rPr>
            </w:pPr>
            <w:r>
              <w:rPr>
                <w:sz w:val="16"/>
              </w:rPr>
              <w:t>C</w:t>
            </w:r>
          </w:p>
        </w:tc>
      </w:tr>
      <w:tr w:rsidR="006410E1" w14:paraId="40D22EF9" w14:textId="77777777" w:rsidTr="00FA6C1E">
        <w:trPr>
          <w:cantSplit/>
          <w:trHeight w:val="510"/>
          <w:jc w:val="center"/>
        </w:trPr>
        <w:tc>
          <w:tcPr>
            <w:tcW w:w="695" w:type="dxa"/>
          </w:tcPr>
          <w:p w14:paraId="118C05EB" w14:textId="77777777" w:rsidR="006410E1" w:rsidRPr="00FE7FBF" w:rsidRDefault="006410E1" w:rsidP="00995BE6">
            <w:pPr>
              <w:spacing w:before="120" w:after="120"/>
              <w:rPr>
                <w:sz w:val="16"/>
                <w:szCs w:val="16"/>
              </w:rPr>
            </w:pPr>
            <w:r>
              <w:rPr>
                <w:sz w:val="16"/>
              </w:rPr>
              <w:t>57</w:t>
            </w:r>
          </w:p>
        </w:tc>
        <w:tc>
          <w:tcPr>
            <w:tcW w:w="2380" w:type="dxa"/>
          </w:tcPr>
          <w:p w14:paraId="43CBB421" w14:textId="77777777" w:rsidR="006410E1" w:rsidRDefault="006410E1" w:rsidP="00995BE6">
            <w:pPr>
              <w:spacing w:before="120" w:after="120"/>
              <w:rPr>
                <w:sz w:val="16"/>
                <w:szCs w:val="16"/>
              </w:rPr>
            </w:pPr>
            <w:r>
              <w:rPr>
                <w:sz w:val="16"/>
              </w:rPr>
              <w:t>Nakladacie plošiny</w:t>
            </w:r>
          </w:p>
        </w:tc>
        <w:tc>
          <w:tcPr>
            <w:tcW w:w="1488" w:type="dxa"/>
          </w:tcPr>
          <w:p w14:paraId="78CA32D2" w14:textId="77777777" w:rsidR="006410E1" w:rsidRDefault="006410E1" w:rsidP="00995BE6">
            <w:pPr>
              <w:spacing w:before="120" w:after="120"/>
              <w:rPr>
                <w:sz w:val="16"/>
                <w:szCs w:val="16"/>
              </w:rPr>
            </w:pPr>
            <w:r>
              <w:rPr>
                <w:sz w:val="16"/>
              </w:rPr>
              <w:t>(EÚ) č. 44/2014</w:t>
            </w:r>
          </w:p>
        </w:tc>
        <w:tc>
          <w:tcPr>
            <w:tcW w:w="1950" w:type="dxa"/>
          </w:tcPr>
          <w:p w14:paraId="000CA485" w14:textId="77777777" w:rsidR="006410E1" w:rsidRPr="00E149AE" w:rsidRDefault="006410E1" w:rsidP="00995BE6">
            <w:pPr>
              <w:spacing w:before="120" w:after="120"/>
              <w:jc w:val="center"/>
              <w:rPr>
                <w:sz w:val="16"/>
                <w:szCs w:val="16"/>
              </w:rPr>
            </w:pPr>
            <w:r>
              <w:rPr>
                <w:sz w:val="16"/>
              </w:rPr>
              <w:t>C</w:t>
            </w:r>
          </w:p>
        </w:tc>
        <w:tc>
          <w:tcPr>
            <w:tcW w:w="1843" w:type="dxa"/>
          </w:tcPr>
          <w:p w14:paraId="00102A1C" w14:textId="77777777" w:rsidR="006410E1" w:rsidRPr="00FE7FBF" w:rsidRDefault="006410E1" w:rsidP="00995BE6">
            <w:pPr>
              <w:spacing w:before="120" w:after="120"/>
              <w:jc w:val="center"/>
              <w:rPr>
                <w:sz w:val="16"/>
                <w:szCs w:val="16"/>
              </w:rPr>
            </w:pPr>
            <w:r>
              <w:rPr>
                <w:sz w:val="16"/>
              </w:rPr>
              <w:t>C</w:t>
            </w:r>
          </w:p>
        </w:tc>
        <w:tc>
          <w:tcPr>
            <w:tcW w:w="1758" w:type="dxa"/>
          </w:tcPr>
          <w:p w14:paraId="072C1299" w14:textId="77777777" w:rsidR="006410E1" w:rsidRPr="00596BCB" w:rsidRDefault="006410E1" w:rsidP="00995BE6">
            <w:pPr>
              <w:spacing w:before="120" w:after="120"/>
              <w:jc w:val="center"/>
              <w:rPr>
                <w:sz w:val="16"/>
                <w:szCs w:val="16"/>
                <w:highlight w:val="yellow"/>
              </w:rPr>
            </w:pPr>
            <w:r>
              <w:rPr>
                <w:sz w:val="16"/>
              </w:rPr>
              <w:t>E</w:t>
            </w:r>
          </w:p>
        </w:tc>
      </w:tr>
      <w:tr w:rsidR="006410E1" w14:paraId="53DAC9B7" w14:textId="77777777" w:rsidTr="00FA6C1E">
        <w:trPr>
          <w:cantSplit/>
          <w:trHeight w:val="510"/>
          <w:jc w:val="center"/>
        </w:trPr>
        <w:tc>
          <w:tcPr>
            <w:tcW w:w="695" w:type="dxa"/>
          </w:tcPr>
          <w:p w14:paraId="5A60DD0E" w14:textId="77777777" w:rsidR="006410E1" w:rsidRPr="00FE7FBF" w:rsidRDefault="006410E1" w:rsidP="00995BE6">
            <w:pPr>
              <w:spacing w:before="120" w:after="120"/>
              <w:rPr>
                <w:sz w:val="16"/>
                <w:szCs w:val="16"/>
              </w:rPr>
            </w:pPr>
            <w:r>
              <w:rPr>
                <w:sz w:val="16"/>
              </w:rPr>
              <w:t>58</w:t>
            </w:r>
          </w:p>
        </w:tc>
        <w:tc>
          <w:tcPr>
            <w:tcW w:w="2380" w:type="dxa"/>
          </w:tcPr>
          <w:p w14:paraId="510D42E4" w14:textId="77777777" w:rsidR="006410E1" w:rsidRDefault="006410E1" w:rsidP="00995BE6">
            <w:pPr>
              <w:spacing w:before="120" w:after="120"/>
              <w:rPr>
                <w:sz w:val="16"/>
                <w:szCs w:val="16"/>
              </w:rPr>
            </w:pPr>
            <w:r>
              <w:rPr>
                <w:sz w:val="16"/>
              </w:rPr>
              <w:t>Palubná diagnostika (OBD)</w:t>
            </w:r>
          </w:p>
        </w:tc>
        <w:tc>
          <w:tcPr>
            <w:tcW w:w="1488" w:type="dxa"/>
          </w:tcPr>
          <w:p w14:paraId="04CC18BF" w14:textId="77777777" w:rsidR="006410E1" w:rsidRDefault="006410E1" w:rsidP="00995BE6">
            <w:pPr>
              <w:spacing w:before="120" w:after="120"/>
              <w:rPr>
                <w:sz w:val="16"/>
                <w:szCs w:val="16"/>
              </w:rPr>
            </w:pPr>
            <w:r>
              <w:rPr>
                <w:sz w:val="16"/>
              </w:rPr>
              <w:t>(EÚ) č. 44/2014</w:t>
            </w:r>
          </w:p>
        </w:tc>
        <w:tc>
          <w:tcPr>
            <w:tcW w:w="1950" w:type="dxa"/>
          </w:tcPr>
          <w:p w14:paraId="24DE0ACA" w14:textId="77777777" w:rsidR="006410E1" w:rsidRPr="00E149AE" w:rsidRDefault="006410E1" w:rsidP="00995BE6">
            <w:pPr>
              <w:spacing w:before="120" w:after="120"/>
              <w:jc w:val="center"/>
              <w:rPr>
                <w:sz w:val="16"/>
                <w:szCs w:val="16"/>
              </w:rPr>
            </w:pPr>
            <w:r>
              <w:rPr>
                <w:sz w:val="16"/>
              </w:rPr>
              <w:t>B</w:t>
            </w:r>
          </w:p>
        </w:tc>
        <w:tc>
          <w:tcPr>
            <w:tcW w:w="1843" w:type="dxa"/>
          </w:tcPr>
          <w:p w14:paraId="7550B215" w14:textId="77777777" w:rsidR="006410E1" w:rsidRPr="00FE7FBF" w:rsidRDefault="006410E1" w:rsidP="00995BE6">
            <w:pPr>
              <w:spacing w:before="120" w:after="120"/>
              <w:jc w:val="center"/>
              <w:rPr>
                <w:sz w:val="16"/>
                <w:szCs w:val="16"/>
              </w:rPr>
            </w:pPr>
            <w:r>
              <w:rPr>
                <w:sz w:val="16"/>
              </w:rPr>
              <w:t>C/I</w:t>
            </w:r>
          </w:p>
        </w:tc>
        <w:tc>
          <w:tcPr>
            <w:tcW w:w="1758" w:type="dxa"/>
          </w:tcPr>
          <w:p w14:paraId="33CCD381" w14:textId="77777777" w:rsidR="006410E1" w:rsidRPr="00596BCB" w:rsidRDefault="006410E1" w:rsidP="00995BE6">
            <w:pPr>
              <w:spacing w:before="120" w:after="120"/>
              <w:jc w:val="center"/>
              <w:rPr>
                <w:sz w:val="16"/>
                <w:szCs w:val="16"/>
                <w:highlight w:val="yellow"/>
              </w:rPr>
            </w:pPr>
            <w:r>
              <w:rPr>
                <w:sz w:val="16"/>
              </w:rPr>
              <w:t>neuplatňuje sa</w:t>
            </w:r>
          </w:p>
        </w:tc>
      </w:tr>
      <w:tr w:rsidR="006410E1" w14:paraId="7553773C" w14:textId="77777777" w:rsidTr="00FA6C1E">
        <w:trPr>
          <w:cantSplit/>
          <w:trHeight w:val="510"/>
          <w:jc w:val="center"/>
        </w:trPr>
        <w:tc>
          <w:tcPr>
            <w:tcW w:w="695" w:type="dxa"/>
          </w:tcPr>
          <w:p w14:paraId="0B7940C2" w14:textId="77777777" w:rsidR="006410E1" w:rsidRPr="00FE7FBF" w:rsidRDefault="006410E1" w:rsidP="00995BE6">
            <w:pPr>
              <w:spacing w:before="120" w:after="120"/>
              <w:rPr>
                <w:sz w:val="16"/>
                <w:szCs w:val="16"/>
              </w:rPr>
            </w:pPr>
            <w:r>
              <w:rPr>
                <w:sz w:val="16"/>
              </w:rPr>
              <w:t>59</w:t>
            </w:r>
          </w:p>
        </w:tc>
        <w:tc>
          <w:tcPr>
            <w:tcW w:w="2380" w:type="dxa"/>
          </w:tcPr>
          <w:p w14:paraId="45B60CB2" w14:textId="77777777" w:rsidR="006410E1" w:rsidRDefault="006410E1" w:rsidP="00995BE6">
            <w:pPr>
              <w:spacing w:before="120" w:after="120"/>
              <w:rPr>
                <w:sz w:val="16"/>
                <w:szCs w:val="16"/>
              </w:rPr>
            </w:pPr>
            <w:r>
              <w:rPr>
                <w:sz w:val="16"/>
              </w:rPr>
              <w:t>Prístup k informáciám o opravách a údržbe</w:t>
            </w:r>
          </w:p>
        </w:tc>
        <w:tc>
          <w:tcPr>
            <w:tcW w:w="1488" w:type="dxa"/>
          </w:tcPr>
          <w:p w14:paraId="7411E7AC" w14:textId="77777777" w:rsidR="006410E1" w:rsidRDefault="006410E1" w:rsidP="00995BE6">
            <w:pPr>
              <w:spacing w:before="120" w:after="120"/>
              <w:rPr>
                <w:sz w:val="16"/>
                <w:szCs w:val="16"/>
              </w:rPr>
            </w:pPr>
            <w:r>
              <w:rPr>
                <w:sz w:val="16"/>
              </w:rPr>
              <w:t>(EÚ) č. 44/2014</w:t>
            </w:r>
          </w:p>
        </w:tc>
        <w:tc>
          <w:tcPr>
            <w:tcW w:w="1950" w:type="dxa"/>
          </w:tcPr>
          <w:p w14:paraId="6DF1979C" w14:textId="77777777" w:rsidR="006410E1" w:rsidRPr="00E149AE" w:rsidRDefault="006410E1" w:rsidP="00995BE6">
            <w:pPr>
              <w:spacing w:before="120" w:after="120"/>
              <w:jc w:val="center"/>
              <w:rPr>
                <w:sz w:val="16"/>
                <w:szCs w:val="16"/>
              </w:rPr>
            </w:pPr>
            <w:r>
              <w:rPr>
                <w:sz w:val="16"/>
              </w:rPr>
              <w:t>neuplatňuje sa</w:t>
            </w:r>
          </w:p>
        </w:tc>
        <w:tc>
          <w:tcPr>
            <w:tcW w:w="1843" w:type="dxa"/>
          </w:tcPr>
          <w:p w14:paraId="68522BB0" w14:textId="77777777" w:rsidR="006410E1" w:rsidRPr="00FE7FBF" w:rsidRDefault="006410E1" w:rsidP="00995BE6">
            <w:pPr>
              <w:spacing w:before="120" w:after="120"/>
              <w:jc w:val="center"/>
              <w:rPr>
                <w:sz w:val="16"/>
                <w:szCs w:val="16"/>
              </w:rPr>
            </w:pPr>
            <w:r>
              <w:rPr>
                <w:sz w:val="16"/>
              </w:rPr>
              <w:t>neuplatňuje sa</w:t>
            </w:r>
          </w:p>
        </w:tc>
        <w:tc>
          <w:tcPr>
            <w:tcW w:w="1758" w:type="dxa"/>
          </w:tcPr>
          <w:p w14:paraId="3362EE0F" w14:textId="77777777" w:rsidR="006410E1" w:rsidRPr="00596BCB" w:rsidRDefault="006410E1" w:rsidP="00995BE6">
            <w:pPr>
              <w:spacing w:before="120" w:after="120"/>
              <w:jc w:val="center"/>
              <w:rPr>
                <w:sz w:val="16"/>
                <w:szCs w:val="16"/>
                <w:highlight w:val="yellow"/>
              </w:rPr>
            </w:pPr>
            <w:r>
              <w:rPr>
                <w:sz w:val="16"/>
              </w:rPr>
              <w:t>neuplatňuje sa</w:t>
            </w:r>
          </w:p>
        </w:tc>
      </w:tr>
    </w:tbl>
    <w:p w14:paraId="0F1EB3C7" w14:textId="77777777" w:rsidR="00D44777" w:rsidRDefault="00D44777" w:rsidP="00D44777">
      <w:pPr>
        <w:pStyle w:val="BodyText"/>
      </w:pPr>
      <w:r>
        <w:t xml:space="preserve">X: Prostredníctvom osvedčenia o typovom schválení ES alebo EÚ udeleného schvaľovacím orgánom v krajine EHP alebo na Alandských ostrovoch, ktoré žiadateľ </w:t>
      </w:r>
      <w:r>
        <w:lastRenderedPageBreak/>
        <w:t>predložil na schválenie, osvedčenia o typovom schválení EHK OSN udeleného schvaľovacím orgánom štátu využívajúceho príslušný predpis EHK OSN alebo potvrdenia preukazujúceho schválenie v súlade s týmito osvedčeniami.</w:t>
      </w:r>
    </w:p>
    <w:p w14:paraId="27E387FA" w14:textId="77777777" w:rsidR="00D44777" w:rsidRDefault="00D44777" w:rsidP="00D44777">
      <w:pPr>
        <w:pStyle w:val="BodyText"/>
      </w:pPr>
      <w:r>
        <w:t>A: Prostredníctvom správy určenej technickej služby alebo iného členského štátu EHP v súlade s ich rozsahom akreditácie.</w:t>
      </w:r>
    </w:p>
    <w:p w14:paraId="5EE43B83" w14:textId="77777777" w:rsidR="00D44777" w:rsidRDefault="00D44777" w:rsidP="00D44777">
      <w:pPr>
        <w:pStyle w:val="BodyText"/>
      </w:pPr>
      <w:r>
        <w:t>H: Prostredníctvom správy schváleného odborníka v súlade s jeho rozsahom akreditácie.</w:t>
      </w:r>
    </w:p>
    <w:p w14:paraId="74CC0B8B" w14:textId="77777777" w:rsidR="00D44777" w:rsidRDefault="00D44777" w:rsidP="00D44777">
      <w:pPr>
        <w:pStyle w:val="BodyText"/>
      </w:pPr>
      <w:r>
        <w:t>B: Prostredníctvom osvedčenia vydaného výrobcom alebo jeho zástupcom, ktoré je založené na skúškach, výpočtoch a meraniach; v osvedčení musí byť uvedený podrobný dokument preukazujúci zhodu, ktorý musí byť v prípade potreby predložený na žiadosť osobe vykonávajúcej schvaľovanie alebo kontrolu.</w:t>
      </w:r>
    </w:p>
    <w:p w14:paraId="52E3D678" w14:textId="77777777" w:rsidR="00D44777" w:rsidRDefault="00D44777" w:rsidP="00D44777">
      <w:pPr>
        <w:pStyle w:val="BodyText"/>
      </w:pPr>
      <w:r>
        <w:t>C: Žiadateľ musí kontrolórovi vykonávajúcemu typové schválenie alebo kontrolu uspokojivým spôsobom preukázať, že boli splnené základné požiadavky stanovené v nariadení.</w:t>
      </w:r>
    </w:p>
    <w:p w14:paraId="09A7A6EB" w14:textId="77777777" w:rsidR="00D44777" w:rsidRDefault="00D44777" w:rsidP="00D44777">
      <w:pPr>
        <w:pStyle w:val="BodyText"/>
      </w:pPr>
      <w:r>
        <w:t>E: Pri kontrole vozidla v súvislosti so schválením alebo kontrolou.</w:t>
      </w:r>
    </w:p>
    <w:p w14:paraId="7FBB395E" w14:textId="77777777" w:rsidR="00D44777" w:rsidRDefault="00D44777" w:rsidP="00D44777">
      <w:pPr>
        <w:pStyle w:val="BodyText"/>
      </w:pPr>
      <w:r>
        <w:t>I: V prípade vozidiel vyrábaných vo veľkých sériách pre trhy v USA, Japonsku, Južnej Kórei a Kanade bude ako dôkaz o súlade s požiadavkami v rámci schvaľovania jednotlivých vozidiel a kontroly pri registrácii slúžiť správa predložená výrobcom alebo oprávneným orgánom, v ktorej sa uvádza, že dané vozidlo spĺňa požiadavky predmetnej krajiny s ohľadom na rok modelu alebo značku schválenia. Táto metóda preukazovania sa môže použiť aj pri neupravených komponentoch, systémoch a samostatných technických jednotkách upravených vozidiel.</w:t>
      </w:r>
    </w:p>
    <w:p w14:paraId="4C94CD99" w14:textId="77777777" w:rsidR="00D44777" w:rsidRDefault="00D44777" w:rsidP="00D44777">
      <w:pPr>
        <w:pStyle w:val="BodyText"/>
      </w:pPr>
      <w:r>
        <w:t>Prijateľnou alternatívou k úrovni požiadaviek stanovenej v tabuľke je aj preukázanie súladu metódou na vyššej úrovni v nasledujúcom poradí: X, A, H, B, C, E. Metóda preukazovania I sa uplatňuje len na vozidlá, ktoré spĺňajú definíciu.</w:t>
      </w:r>
    </w:p>
    <w:p w14:paraId="03A04991" w14:textId="77777777" w:rsidR="00D44777" w:rsidRDefault="00D44777" w:rsidP="00D44777">
      <w:pPr>
        <w:pStyle w:val="BodyText"/>
      </w:pPr>
      <w:r>
        <w:t>Pri kontrolách pri registrácii a úprave iného vozidla ako vozidla s typovým schválením ES alebo EÚ a vozidla upraveného z vozidla s typovým schválením ES alebo EÚ sa na preukázanie súladu môžu použiť limitné hodnoty stanovené v smernici alebo nariadení EÚ a platné pri kontrole výrobnej zhody.</w:t>
      </w:r>
    </w:p>
    <w:p w14:paraId="3732F121" w14:textId="77777777" w:rsidR="00D44777" w:rsidRDefault="00D44777" w:rsidP="00D44777">
      <w:pPr>
        <w:pStyle w:val="BodyText"/>
      </w:pPr>
      <w:r>
        <w:t>Vyššie uvedené body 20, 28 a 37 sa neuplatňujú na elektrické vozidlá bez spaľovacieho motora. Výnimky stanovené v smerniciach v bodoch 18, 19, 29, 32 až 34, 41, 43 a 46 sa vzťahujú na mopedy s nízkym výkonom.</w:t>
      </w:r>
    </w:p>
    <w:p w14:paraId="2F9DB281" w14:textId="19D78599" w:rsidR="00327422" w:rsidRPr="00B357E0" w:rsidRDefault="00327422" w:rsidP="0079432B">
      <w:pPr>
        <w:pStyle w:val="BodyText"/>
        <w:ind w:left="0"/>
      </w:pPr>
    </w:p>
    <w:sectPr w:rsidR="00327422" w:rsidRPr="00B357E0" w:rsidSect="00CA13C1">
      <w:headerReference w:type="default" r:id="rId12"/>
      <w:headerReference w:type="first" r:id="rId13"/>
      <w:footerReference w:type="first" r:id="rId14"/>
      <w:pgSz w:w="11906" w:h="16838" w:code="9"/>
      <w:pgMar w:top="567" w:right="1134" w:bottom="1021" w:left="113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19AB" w14:textId="77777777" w:rsidR="0046186B" w:rsidRDefault="0046186B" w:rsidP="00E578A9">
      <w:pPr>
        <w:spacing w:after="0" w:line="240" w:lineRule="auto"/>
      </w:pPr>
      <w:r>
        <w:separator/>
      </w:r>
    </w:p>
  </w:endnote>
  <w:endnote w:type="continuationSeparator" w:id="0">
    <w:p w14:paraId="0A7D21B2" w14:textId="77777777" w:rsidR="0046186B" w:rsidRDefault="0046186B" w:rsidP="00E578A9">
      <w:pPr>
        <w:spacing w:after="0" w:line="240" w:lineRule="auto"/>
      </w:pPr>
      <w:r>
        <w:continuationSeparator/>
      </w:r>
    </w:p>
  </w:endnote>
  <w:endnote w:type="continuationNotice" w:id="1">
    <w:p w14:paraId="0F5B4750" w14:textId="77777777" w:rsidR="0046186B" w:rsidRDefault="0046186B">
      <w:pPr>
        <w:spacing w:after="0" w:line="240" w:lineRule="auto"/>
      </w:pPr>
    </w:p>
  </w:endnote>
  <w:endnote w:id="2">
    <w:p w14:paraId="1E122512"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V prípade palivovej nádrže, ktorá nie je vyrobená z kovu alebo je určená na iné palivo ako benzín, musí byť preukázaný súlad s požiadavkami smernice alebo nariadenia EÚ.</w:t>
      </w:r>
    </w:p>
  </w:endnote>
  <w:endnote w:id="3">
    <w:p w14:paraId="3924E926"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V </w:t>
      </w:r>
      <w:r>
        <w:rPr>
          <w:rFonts w:ascii="Verdana" w:hAnsi="Verdana"/>
          <w:sz w:val="16"/>
        </w:rPr>
        <w:t>prípade kovovej palivovej nádrže určenej na benzín kontrolór preverí pevnosť upevnenia a utesnenie spojení.</w:t>
      </w:r>
    </w:p>
  </w:endnote>
  <w:endnote w:id="4">
    <w:p w14:paraId="581126D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Maximálna </w:t>
      </w:r>
      <w:r>
        <w:rPr>
          <w:rFonts w:ascii="Verdana" w:hAnsi="Verdana"/>
          <w:sz w:val="16"/>
        </w:rPr>
        <w:t>technicky prípustná hmotnosť sa zapisuje do registra na základe správy o nosnosti uvedenej výrobcom.</w:t>
      </w:r>
    </w:p>
  </w:endnote>
  <w:endnote w:id="5">
    <w:p w14:paraId="095B548F" w14:textId="53BAC0DF"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Zhoda </w:t>
      </w:r>
      <w:r>
        <w:rPr>
          <w:rFonts w:ascii="Verdana" w:hAnsi="Verdana"/>
          <w:sz w:val="16"/>
        </w:rPr>
        <w:t>výfukových emisií sa môže technicky preukázať pomocou meraní v prevádzke v súlade s limitnými hodnotami stanovenými v nariadení Fínskej agentúry pre dopravu a komunikácie TRAFICOM/497838/03.04.03.00/2019. Zhoda výfukových emisií upraveného individuálneho vozidla sa môže technicky preukázať pomocou meraní v prevádzke tak, aby hodnota CO vo výfukových emisiách nepresahovala 3,5 % a hodnota HC bola 600 ppm.</w:t>
      </w:r>
    </w:p>
  </w:endnote>
  <w:endnote w:id="6">
    <w:p w14:paraId="42505FBF" w14:textId="77777777"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Ak </w:t>
      </w:r>
      <w:r>
        <w:rPr>
          <w:rFonts w:ascii="Verdana" w:hAnsi="Verdana"/>
          <w:sz w:val="16"/>
        </w:rPr>
        <w:t>bolo vozidlo upravené tak, aby zodpovedalo vozidlu s typovým schválením EÚ alebo ES.</w:t>
      </w:r>
    </w:p>
  </w:endnote>
  <w:endnote w:id="7">
    <w:p w14:paraId="20760C43"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Náhradný </w:t>
      </w:r>
      <w:r>
        <w:rPr>
          <w:rFonts w:ascii="Verdana" w:hAnsi="Verdana"/>
          <w:sz w:val="16"/>
        </w:rPr>
        <w:t>katalyzátor vozidla s typovým schválením ES alebo EÚ.</w:t>
      </w:r>
    </w:p>
  </w:endnote>
  <w:endnote w:id="8">
    <w:p w14:paraId="7746165E" w14:textId="47CDD3A1" w:rsidR="00AC3C67" w:rsidRPr="0013622C" w:rsidRDefault="00AC3C67" w:rsidP="009173F4">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Hladina </w:t>
      </w:r>
      <w:r>
        <w:rPr>
          <w:rFonts w:ascii="Verdana" w:hAnsi="Verdana"/>
          <w:sz w:val="16"/>
        </w:rPr>
        <w:t>hluku nesmie prekročiť váženú hladinu hluku A: a) 96 dB, ak objem motora nepresahuje 80 kubických centimetrov; b) 99 decibelov, ak je objem valcov väčší ako 80 kubických centimetrov, ale nie väčší ako 175 kubických centimetrov; alebo c) 103 decibelov, ak je objem valcov väčší ako 175 kubických centimetrov. Metóda merania musí byť metódou uvedenou v prílohe 3 k nariadeniu Fínskej agentúry pre dopravu a komunikácie TRAFICOM/497838/03.04.03.00/2019 o úprave konštrukcie vozidla kategórie L.</w:t>
      </w:r>
    </w:p>
  </w:endnote>
  <w:endnote w:id="9">
    <w:p w14:paraId="783A9370" w14:textId="25C3109D"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Skúška </w:t>
      </w:r>
      <w:r>
        <w:rPr>
          <w:rFonts w:ascii="Verdana" w:hAnsi="Verdana"/>
          <w:sz w:val="16"/>
        </w:rPr>
        <w:t>zoslabovania brzdného účinku sa nemusí vykonať, ak oprávnený odborník môže na základe predchádzajúcich skúšok overiť, či vozidlo vybavené skúšanými časťami použitými v brzdovom systéme spĺňa požiadavky na skúšku zoslabovania brzdného účinku. Súlad s požiadavkami uvedenými v prílohe 2 k nariadeniu TRAFICOM/497838/03.04.03.00/2019 možno akceptovať aj pri kontrole pri registrácii vozidla dovezeného alebo vyrobeného ako upraveného individuálneho vozidla a individuálne vyrobeného vozidla.  Protiblokovacie brzdy nie sú povinné.</w:t>
      </w:r>
    </w:p>
  </w:endnote>
  <w:endnote w:id="10">
    <w:p w14:paraId="03218434" w14:textId="01150A62" w:rsidR="00AC3C67" w:rsidRPr="003A3A7F" w:rsidRDefault="00AC3C67" w:rsidP="006410E1">
      <w:pPr>
        <w:pStyle w:val="EndnoteText"/>
        <w:rPr>
          <w:rFonts w:ascii="Verdana" w:hAnsi="Verdana"/>
        </w:rPr>
      </w:pPr>
      <w:r>
        <w:rPr>
          <w:rStyle w:val="EndnoteReference"/>
          <w:rFonts w:ascii="Verdana" w:hAnsi="Verdana"/>
          <w:sz w:val="16"/>
          <w:szCs w:val="16"/>
        </w:rPr>
        <w:endnoteRef/>
      </w:r>
      <w:r>
        <w:rPr>
          <w:rFonts w:ascii="Verdana" w:hAnsi="Verdana"/>
        </w:rPr>
        <w:t xml:space="preserve"> </w:t>
      </w:r>
      <w:r>
        <w:rPr>
          <w:rFonts w:ascii="Verdana" w:hAnsi="Verdana"/>
          <w:sz w:val="16"/>
        </w:rPr>
        <w:t xml:space="preserve">Metóda </w:t>
      </w:r>
      <w:r>
        <w:rPr>
          <w:rFonts w:ascii="Verdana" w:hAnsi="Verdana"/>
          <w:sz w:val="16"/>
        </w:rPr>
        <w:t xml:space="preserve">preukazovania sa môže uplatňovať na iné vozidlá, ako sú upravené individuálne vozidlá. Protiblokovacie brzdy sú však povinné, ak by sa pri danom vozidle vyžadovali na základe nariadení (EÚ) č. 168/2013 a (EÚ) č. 3/2014. </w:t>
      </w:r>
    </w:p>
  </w:endnote>
  <w:endnote w:id="11">
    <w:p w14:paraId="37D978F6" w14:textId="1DA33557" w:rsidR="00AC3C67" w:rsidRPr="00FD18C9" w:rsidRDefault="00AC3C67" w:rsidP="006410E1">
      <w:pPr>
        <w:pStyle w:val="EndnoteText"/>
        <w:rPr>
          <w:rFonts w:ascii="Verdana" w:hAnsi="Verdana"/>
          <w:sz w:val="16"/>
          <w:szCs w:val="16"/>
          <w:highlight w:val="cyan"/>
          <w:u w:val="single"/>
        </w:rPr>
      </w:pPr>
      <w:r>
        <w:rPr>
          <w:rStyle w:val="EndnoteReference"/>
          <w:rFonts w:ascii="Verdana" w:hAnsi="Verdana"/>
          <w:sz w:val="16"/>
          <w:szCs w:val="16"/>
        </w:rPr>
        <w:endnoteRef/>
      </w:r>
      <w:r>
        <w:rPr>
          <w:rFonts w:ascii="Verdana" w:hAnsi="Verdana"/>
          <w:sz w:val="16"/>
        </w:rPr>
        <w:t xml:space="preserve"> </w:t>
      </w:r>
      <w:r>
        <w:rPr>
          <w:rFonts w:ascii="Verdana" w:hAnsi="Verdana"/>
          <w:color w:val="000000"/>
          <w:sz w:val="16"/>
        </w:rPr>
        <w:t xml:space="preserve">Vzhľadom </w:t>
      </w:r>
      <w:r>
        <w:rPr>
          <w:rFonts w:ascii="Verdana" w:hAnsi="Verdana"/>
          <w:color w:val="000000"/>
          <w:sz w:val="16"/>
        </w:rPr>
        <w:t>na to, že je montáž svetiel povinná, musia sa dodržiavať požiadavky predmetného štátu. Montáž akýchkoľvek ďalších svetiel sa môže vykonať v súlade s požiadavkami predmetného štátu alebo požiadavkami EÚ s uvedením zhody pri posúdení vozidla vykonanom v súvislosti s jeho schválením alebo kontrolou technického stavu</w:t>
      </w:r>
      <w:r>
        <w:rPr>
          <w:color w:val="000000"/>
          <w:sz w:val="16"/>
        </w:rPr>
        <w:t>.</w:t>
      </w:r>
    </w:p>
  </w:endnote>
  <w:endnote w:id="12">
    <w:p w14:paraId="2D024672" w14:textId="7F9D3160" w:rsidR="00AC3C67" w:rsidRPr="007D361B"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Výnimky z požiadaviek na montáž svetiel sa môžu povoliť za predpokladu, že sú namontované povinné svetlá a elektrické pripojenie svetiel je v súlade s požiadavkami. Okrem toho musí montáž svetla spĺňať požiadavky geometrickej viditeľnosti a farba svetla musí byť v súlade s požiadavkami. Alternatívne možno dodržať ustanovenia nariadenia Fínskej agentúry pre dopravu a komunikácie TRAFICOM/497838/03.04.03.00/2019 týkajúce sa osvetľovacích zariadení pre motocykle a mopedy a ich montáže.</w:t>
      </w:r>
    </w:p>
  </w:endnote>
  <w:endnote w:id="13">
    <w:p w14:paraId="4B553C0F" w14:textId="7FCA45D2"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napToGrid w:val="0"/>
          <w:sz w:val="16"/>
        </w:rPr>
        <w:t xml:space="preserve">Pri </w:t>
      </w:r>
      <w:r>
        <w:rPr>
          <w:rFonts w:ascii="Verdana" w:hAnsi="Verdana"/>
          <w:snapToGrid w:val="0"/>
          <w:sz w:val="16"/>
        </w:rPr>
        <w:t xml:space="preserve">úprave systému nabíjania alebo zapaľovania vozidla so zážihovým motorom, ktoré nemá elektronické systémy priamo ovplyvňujúce ovládanie vozidla, ako sú elektronické brzdy, sa vozidlo považuje za vozidlo spĺňajúce požiadavky elektromagnetickej kompatibility, pokiaľ ide o úpravy systému nabíjania alebo zapaľovania, ak sú zariadenia systému nabíjania alebo zapaľovania chránené kovovými krytmi a drôty zapaľovacej sviečky a ich konektory (čiapočky zapaľovacích sviečok) sú chránené.  </w:t>
      </w:r>
    </w:p>
  </w:endnote>
  <w:endnote w:id="14">
    <w:p w14:paraId="1FEDF194" w14:textId="77777777" w:rsidR="00AC3C67" w:rsidRPr="00B6695F"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Vyžaduje </w:t>
      </w:r>
      <w:r>
        <w:rPr>
          <w:rFonts w:ascii="Verdana" w:hAnsi="Verdana"/>
          <w:sz w:val="16"/>
        </w:rPr>
        <w:t>sa skúška za jazdy a skúška pri stojacom vozidle. Požiadavky prílohy VII k smernici alebo nariadenia EÚ, ktoré sa týkajú povrchu skúšobnej dráhy, sa nemusia uplatňovať, ak povrch neznižuje hluk v porovnaní s povrchom, ktorý je v súlade so smernicou alebo nariadením EÚ. Ak sa pri skúške za jazdy použije iný skúšobný podklad ako podklad, ktorý je v súlade so smernicou alebo nariadením EÚ, od výsledku merania sa odpočíta 1 dB(A). Pri kontrolách pri registrácii alebo úprave ojazdeného vozidla sa na zaistenie kvality výroby pripočíta k tolerancii tolerancia 2 dB(A) v súlade so smernicou alebo nariadením EÚ na použitie v prípade hluku vyprodukovaného idúcim vozidlom. Kontrolór zaznamená výsledok skúšky pri stojacom vozidle do registračných informácií.</w:t>
      </w:r>
    </w:p>
  </w:endnote>
  <w:endnote w:id="15">
    <w:p w14:paraId="06598459" w14:textId="2AD93902" w:rsidR="00AC3C67" w:rsidRPr="00DC5A79" w:rsidRDefault="00AC3C67" w:rsidP="006410E1">
      <w:pPr>
        <w:pStyle w:val="EndnoteText"/>
        <w:rPr>
          <w:rFonts w:ascii="Verdana" w:hAnsi="Verdana"/>
          <w:sz w:val="16"/>
          <w:szCs w:val="16"/>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Pri </w:t>
      </w:r>
      <w:r>
        <w:rPr>
          <w:rFonts w:ascii="Verdana" w:hAnsi="Verdana"/>
          <w:sz w:val="16"/>
        </w:rPr>
        <w:t>kontrole pri registrácii možno preukázať zhodu vozidla dovezeného alebo vyrobeného ako upraveného individuálneho vozidla podľa nariadenia Fínskej agentúry pre dopravu a komunikácie TRAFICOM/497838/03.04.03.00/2019. Metóda merania je metóda uvedená v prílohe 3 k uvedenému nariadeniu (TRAFICOM/497838/03.04.03.00/2019).</w:t>
      </w:r>
    </w:p>
  </w:endnote>
  <w:endnote w:id="16">
    <w:p w14:paraId="33370C0C" w14:textId="77777777"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w:t>
      </w:r>
      <w:r>
        <w:rPr>
          <w:rFonts w:ascii="Verdana" w:hAnsi="Verdana"/>
          <w:sz w:val="16"/>
        </w:rPr>
        <w:t>Náhradný tlmič vozidla s typovým schválením ES alebo EÚ. Označenie typového schválenia sa však nevyžaduje pre tlmič, ktorý nahrádza originálny komponent ako samostatná jednotka, s typovým schválením získaným pred 1. júlom 2007.</w:t>
      </w:r>
    </w:p>
  </w:endnote>
  <w:endnote w:id="17">
    <w:p w14:paraId="61D5E74C" w14:textId="3E868EF8" w:rsidR="00AC3C67" w:rsidRPr="00385256" w:rsidRDefault="00AC3C67" w:rsidP="006410E1">
      <w:pPr>
        <w:pStyle w:val="Revision"/>
      </w:pPr>
      <w:r>
        <w:rPr>
          <w:rStyle w:val="EndnoteReference"/>
          <w:sz w:val="16"/>
          <w:szCs w:val="16"/>
        </w:rPr>
        <w:endnoteRef/>
      </w:r>
      <w:r>
        <w:rPr>
          <w:color w:val="000000"/>
          <w:sz w:val="16"/>
        </w:rPr>
        <w:t xml:space="preserve"> </w:t>
      </w:r>
      <w:r>
        <w:rPr>
          <w:color w:val="000000"/>
          <w:sz w:val="16"/>
        </w:rPr>
        <w:t xml:space="preserve">Systém </w:t>
      </w:r>
      <w:r>
        <w:rPr>
          <w:color w:val="000000"/>
          <w:sz w:val="16"/>
        </w:rPr>
        <w:t>nabíjania vozidla môže byť upravený tak, aby bolo vozidlo kompatibilné s nabíjacími systémami, ktoré sa bežne používajú vo Fínsku. Zhodu upraveného systému nabíjania z hľadiska elektrickej bezpečnosti možno preukázať pomocou metód preukazovania A, H alebo B. Nevyžaduje sa žiadne stanovenie emisií vodíka.</w:t>
      </w:r>
    </w:p>
  </w:endnote>
  <w:endnote w:id="18">
    <w:p w14:paraId="66173EA0" w14:textId="55B75C93" w:rsidR="00AC3C67" w:rsidRPr="00385256" w:rsidRDefault="00AC3C67" w:rsidP="006410E1">
      <w:pPr>
        <w:pStyle w:val="EndnoteText"/>
        <w:rPr>
          <w:rFonts w:ascii="Verdana" w:hAnsi="Verdana"/>
          <w:sz w:val="16"/>
          <w:szCs w:val="16"/>
          <w:highlight w:val="yellow"/>
        </w:rPr>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Nevyžaduje </w:t>
      </w:r>
      <w:r>
        <w:rPr>
          <w:rFonts w:ascii="Verdana" w:hAnsi="Verdana"/>
          <w:sz w:val="16"/>
        </w:rPr>
        <w:t>sa žiadne stanovenie emisií vodíka.</w:t>
      </w:r>
    </w:p>
  </w:endnote>
  <w:endnote w:id="19">
    <w:p w14:paraId="0517A5CF" w14:textId="03F9F791" w:rsidR="00AC3C67" w:rsidRDefault="00AC3C67" w:rsidP="006410E1">
      <w:pPr>
        <w:pStyle w:val="EndnoteText"/>
      </w:pPr>
      <w:r>
        <w:rPr>
          <w:rStyle w:val="EndnoteReference"/>
          <w:rFonts w:ascii="Verdana" w:hAnsi="Verdana"/>
          <w:sz w:val="16"/>
          <w:szCs w:val="16"/>
        </w:rPr>
        <w:endnoteRef/>
      </w:r>
      <w:r>
        <w:rPr>
          <w:rFonts w:ascii="Verdana" w:hAnsi="Verdana"/>
          <w:sz w:val="16"/>
        </w:rPr>
        <w:t xml:space="preserve"> </w:t>
      </w:r>
      <w:r>
        <w:rPr>
          <w:rFonts w:ascii="Verdana" w:hAnsi="Verdana"/>
          <w:sz w:val="16"/>
        </w:rPr>
        <w:t xml:space="preserve">Sedadlá </w:t>
      </w:r>
      <w:r>
        <w:rPr>
          <w:rFonts w:ascii="Verdana" w:hAnsi="Verdana"/>
          <w:sz w:val="16"/>
        </w:rPr>
        <w:t>sa však akceptujú ako miesta na sedenie v prípade vozidiel kategórie L5e s karosériou.</w:t>
      </w:r>
    </w:p>
  </w:endnote>
  <w:endnote w:id="20">
    <w:p w14:paraId="304764C0" w14:textId="728BBB56" w:rsidR="00AC3C67" w:rsidRDefault="00AC3C67">
      <w:pPr>
        <w:pStyle w:val="EndnoteText"/>
        <w:rPr>
          <w:rFonts w:ascii="Verdana" w:hAnsi="Verdana" w:cstheme="minorHAnsi"/>
          <w:sz w:val="16"/>
          <w:szCs w:val="16"/>
        </w:rPr>
      </w:pPr>
      <w:r>
        <w:rPr>
          <w:rStyle w:val="EndnoteReference"/>
          <w:rFonts w:ascii="Verdana" w:hAnsi="Verdana" w:cstheme="minorHAnsi"/>
          <w:sz w:val="16"/>
          <w:szCs w:val="16"/>
        </w:rPr>
        <w:endnoteRef/>
      </w:r>
      <w:r>
        <w:rPr>
          <w:rFonts w:ascii="Verdana" w:hAnsi="Verdana"/>
          <w:sz w:val="16"/>
        </w:rPr>
        <w:t xml:space="preserve"> </w:t>
      </w:r>
      <w:r>
        <w:rPr>
          <w:rFonts w:ascii="Verdana" w:hAnsi="Verdana"/>
          <w:sz w:val="16"/>
        </w:rPr>
        <w:t xml:space="preserve">Zhoda </w:t>
      </w:r>
      <w:r>
        <w:rPr>
          <w:rFonts w:ascii="Verdana" w:hAnsi="Verdana"/>
          <w:sz w:val="16"/>
        </w:rPr>
        <w:t>sa dá preukázať v súlade s prílohou 1 k nariadeniu Fínskej agentúry pre dopravu a komunikácie TRAFICOM/497838/03.04.03.00/2019.</w:t>
      </w:r>
    </w:p>
    <w:p w14:paraId="005811D7" w14:textId="7AC97707" w:rsidR="00AC3C67" w:rsidRPr="009E48B4" w:rsidRDefault="00AC3C67">
      <w:pPr>
        <w:pStyle w:val="EndnoteText"/>
        <w:rPr>
          <w:rFonts w:ascii="Verdana" w:hAnsi="Verdana" w:cstheme="minorHAnsi"/>
          <w:sz w:val="16"/>
          <w:szCs w:val="16"/>
        </w:rPr>
      </w:pPr>
      <w:r>
        <w:rPr>
          <w:rStyle w:val="EndnoteReference"/>
          <w:rFonts w:ascii="Verdana" w:hAnsi="Verdana"/>
          <w:sz w:val="16"/>
        </w:rPr>
        <w:t>xx</w:t>
      </w:r>
      <w:r>
        <w:rPr>
          <w:rStyle w:val="EndnoteReference"/>
        </w:rPr>
        <w:t xml:space="preserve"> </w:t>
      </w:r>
      <w:r>
        <w:rPr>
          <w:rFonts w:ascii="Verdana" w:hAnsi="Verdana"/>
          <w:sz w:val="16"/>
        </w:rPr>
        <w:t xml:space="preserve">Musí sa poskytnúť správa o výkone motora. V prípade motorov vyrábaných vo veľkých sériách sa môže ako správa o výkone motora použiť osvedčenie výrobcu o maximálnom čistom výkone. V osvedčení musí byť uvedený motor, na ktorý sa vzťahuje.  Osvedčenie o výkone motora vozidla vyrobeného ako upraveného individuálneho vozidla alebo motora upraveného z motora vyrobeného vo veľkých sériách sa musí zakladať na meraní výkonu vozidla vybaveného špecifickým motorom. Osvedčenie o meraní výkonu musí byť správa o meraní vypracovaná meracím zariadením s grafickou schémou výkonu motora, ktorou sa udávajú hodnoty výkonu, krútiaceho momentu, plniaceho tlaku a otáčok meraných meracím zariadením. Osvedčenie musí obsahovať aj VIN meraného vozidla. Osvedčenie o meraní výkonu vystaví strana, ktorá meranie vykonala. V správach o výkone preplňovaných motorov sa uvedie plniaci tlak meraný pri meraní výkonu pri otáčkach maximálneho výkonu, ako aj najvyšší nameraný plniaci tlak;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5106" w14:textId="77777777" w:rsidR="00AC3C67" w:rsidRPr="004F132E" w:rsidRDefault="00AC3C67" w:rsidP="004F132E">
    <w:pPr>
      <w:pStyle w:val="Footer"/>
      <w:spacing w:line="276" w:lineRule="auto"/>
      <w:rPr>
        <w:b/>
      </w:rPr>
    </w:pPr>
    <w:r>
      <w:t xml:space="preserve">Fínska </w:t>
    </w:r>
    <w:r>
      <w:t xml:space="preserve">agentúra pre dopravu a komunikácie Traficom </w:t>
    </w:r>
    <w:r>
      <w:rPr>
        <w:rFonts w:ascii="Segoe UI Emoji" w:hAnsi="Segoe UI Emoji"/>
      </w:rPr>
      <w:t>▪</w:t>
    </w:r>
    <w:r>
      <w:t xml:space="preserve"> P.O. Box 320, 00059 TRAFICOM Tel. + 029 534 5000 </w:t>
    </w:r>
    <w:r>
      <w:rPr>
        <w:rFonts w:ascii="Segoe UI Emoji" w:hAnsi="Segoe UI Emoji"/>
      </w:rPr>
      <w:t>▪</w:t>
    </w:r>
    <w:r>
      <w:t xml:space="preserve"> IČ spoločnosti FI-29247533 </w:t>
    </w:r>
    <w:r>
      <w:rPr>
        <w:b/>
      </w:rPr>
      <w:t>www.traficom.fi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06B67" w14:textId="77777777" w:rsidR="0046186B" w:rsidRDefault="0046186B" w:rsidP="00E578A9">
      <w:pPr>
        <w:spacing w:after="0" w:line="240" w:lineRule="auto"/>
      </w:pPr>
      <w:r>
        <w:separator/>
      </w:r>
    </w:p>
  </w:footnote>
  <w:footnote w:type="continuationSeparator" w:id="0">
    <w:p w14:paraId="294538AA" w14:textId="77777777" w:rsidR="0046186B" w:rsidRDefault="0046186B" w:rsidP="00E578A9">
      <w:pPr>
        <w:spacing w:after="0" w:line="240" w:lineRule="auto"/>
      </w:pPr>
      <w:r>
        <w:continuationSeparator/>
      </w:r>
    </w:p>
  </w:footnote>
  <w:footnote w:type="continuationNotice" w:id="1">
    <w:p w14:paraId="70F64B0E" w14:textId="77777777" w:rsidR="0046186B" w:rsidRDefault="00461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21B3" w14:textId="7872D945"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4385" behindDoc="0" locked="0" layoutInCell="1" allowOverlap="1" wp14:anchorId="023BE702" wp14:editId="4F19DB2B">
          <wp:simplePos x="0" y="0"/>
          <wp:positionH relativeFrom="page">
            <wp:posOffset>733331</wp:posOffset>
          </wp:positionH>
          <wp:positionV relativeFrom="page">
            <wp:posOffset>398352</wp:posOffset>
          </wp:positionV>
          <wp:extent cx="2127272" cy="467999"/>
          <wp:effectExtent l="0" t="0" r="6350" b="8255"/>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Návrh nariadenia</w:t>
    </w:r>
    <w:r>
      <w:rPr>
        <w:b/>
        <w:sz w:val="22"/>
      </w:rPr>
      <w:tab/>
    </w:r>
    <w:r>
      <w:rPr>
        <w:rStyle w:val="PageNumber"/>
      </w:rPr>
      <w:fldChar w:fldCharType="begin"/>
    </w:r>
    <w:r>
      <w:rPr>
        <w:rStyle w:val="PageNumber"/>
      </w:rPr>
      <w:instrText xml:space="preserve"> PAGE </w:instrText>
    </w:r>
    <w:r>
      <w:rPr>
        <w:rStyle w:val="PageNumber"/>
      </w:rPr>
      <w:fldChar w:fldCharType="separate"/>
    </w:r>
    <w:r w:rsidR="005F5A46">
      <w:rPr>
        <w:rStyle w:val="PageNumber"/>
      </w:rPr>
      <w:t>8</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5F5A46">
      <w:rPr>
        <w:rStyle w:val="PageNumber"/>
      </w:rPr>
      <w:t>16</w:t>
    </w:r>
    <w:r>
      <w:rPr>
        <w:rStyle w:val="PageNumber"/>
      </w:rPr>
      <w:fldChar w:fldCharType="end"/>
    </w:r>
    <w:r>
      <w:t>)</w:t>
    </w:r>
  </w:p>
  <w:p w14:paraId="480C7CC2" w14:textId="77777777" w:rsidR="00AC3C67" w:rsidRDefault="00AC3C67" w:rsidP="001F4EA9">
    <w:pPr>
      <w:pStyle w:val="Header"/>
      <w:tabs>
        <w:tab w:val="clear" w:pos="4819"/>
        <w:tab w:val="left" w:pos="5103"/>
      </w:tabs>
      <w:ind w:left="851" w:firstLine="4252"/>
    </w:pPr>
  </w:p>
  <w:p w14:paraId="221B092E" w14:textId="77777777" w:rsidR="00AC3C67" w:rsidRDefault="00AC3C67" w:rsidP="001F4EA9">
    <w:pPr>
      <w:pStyle w:val="Header"/>
      <w:tabs>
        <w:tab w:val="clear" w:pos="4819"/>
        <w:tab w:val="left" w:pos="5103"/>
      </w:tabs>
      <w:ind w:left="851" w:firstLine="4252"/>
      <w:rPr>
        <w:szCs w:val="20"/>
      </w:rPr>
    </w:pPr>
    <w:r>
      <w:t>TRAFICOM/562980/03.04.03.00/2022</w:t>
    </w:r>
  </w:p>
  <w:p w14:paraId="507661D7" w14:textId="0662AF61" w:rsidR="00AC3C67" w:rsidRPr="001F4EA9" w:rsidRDefault="00AC3C67" w:rsidP="001F4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3206" w14:textId="3A31CA77" w:rsidR="00AC3C67" w:rsidRDefault="00AC3C67" w:rsidP="001F4EA9">
    <w:pPr>
      <w:pStyle w:val="Header"/>
      <w:tabs>
        <w:tab w:val="clear" w:pos="4819"/>
        <w:tab w:val="left" w:pos="5103"/>
      </w:tabs>
      <w:ind w:left="851" w:firstLine="4252"/>
    </w:pPr>
    <w:r>
      <w:rPr>
        <w:noProof/>
        <w:color w:val="000000" w:themeColor="text1"/>
      </w:rPr>
      <w:drawing>
        <wp:anchor distT="0" distB="0" distL="114300" distR="114300" simplePos="0" relativeHeight="251666433" behindDoc="0" locked="0" layoutInCell="1" allowOverlap="1" wp14:anchorId="2B54CD3E" wp14:editId="6F5281DC">
          <wp:simplePos x="0" y="0"/>
          <wp:positionH relativeFrom="page">
            <wp:posOffset>733331</wp:posOffset>
          </wp:positionH>
          <wp:positionV relativeFrom="page">
            <wp:posOffset>398352</wp:posOffset>
          </wp:positionV>
          <wp:extent cx="2127272" cy="467999"/>
          <wp:effectExtent l="0" t="0" r="6350" b="8255"/>
          <wp:wrapNone/>
          <wp:docPr id="11" name="Kuv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72" cy="467999"/>
                  </a:xfrm>
                  <a:prstGeom prst="rect">
                    <a:avLst/>
                  </a:prstGeom>
                </pic:spPr>
              </pic:pic>
            </a:graphicData>
          </a:graphic>
          <wp14:sizeRelH relativeFrom="margin">
            <wp14:pctWidth>0</wp14:pctWidth>
          </wp14:sizeRelH>
          <wp14:sizeRelV relativeFrom="margin">
            <wp14:pctHeight>0</wp14:pctHeight>
          </wp14:sizeRelV>
        </wp:anchor>
      </w:drawing>
    </w:r>
    <w:r>
      <w:rPr>
        <w:b/>
        <w:color w:val="000000" w:themeColor="text1"/>
        <w:sz w:val="22"/>
      </w:rPr>
      <w:t xml:space="preserve">Návrh </w:t>
    </w:r>
    <w:r>
      <w:rPr>
        <w:b/>
        <w:color w:val="000000" w:themeColor="text1"/>
        <w:sz w:val="22"/>
      </w:rPr>
      <w:t>nariadenia</w:t>
    </w:r>
    <w:r>
      <w:rPr>
        <w:b/>
        <w:sz w:val="22"/>
      </w:rPr>
      <w:tab/>
    </w:r>
    <w:r>
      <w:rPr>
        <w:rStyle w:val="PageNumber"/>
      </w:rPr>
      <w:fldChar w:fldCharType="begin"/>
    </w:r>
    <w:r>
      <w:rPr>
        <w:rStyle w:val="PageNumber"/>
      </w:rPr>
      <w:instrText xml:space="preserve"> PAGE </w:instrText>
    </w:r>
    <w:r>
      <w:rPr>
        <w:rStyle w:val="PageNumber"/>
      </w:rPr>
      <w:fldChar w:fldCharType="separate"/>
    </w:r>
    <w:r w:rsidR="00A53761">
      <w:rPr>
        <w:rStyle w:val="PageNumber"/>
      </w:rPr>
      <w:t>1</w:t>
    </w:r>
    <w:r>
      <w:rPr>
        <w:rStyle w:val="PageNumber"/>
      </w:rPr>
      <w:fldChar w:fldCharType="end"/>
    </w:r>
    <w:r>
      <w:t xml:space="preserve"> (</w:t>
    </w:r>
    <w:r>
      <w:rPr>
        <w:rStyle w:val="PageNumber"/>
      </w:rPr>
      <w:fldChar w:fldCharType="begin"/>
    </w:r>
    <w:r>
      <w:rPr>
        <w:rStyle w:val="PageNumber"/>
      </w:rPr>
      <w:instrText xml:space="preserve"> NUMPAGES </w:instrText>
    </w:r>
    <w:r>
      <w:rPr>
        <w:rStyle w:val="PageNumber"/>
      </w:rPr>
      <w:fldChar w:fldCharType="separate"/>
    </w:r>
    <w:r w:rsidR="00A53761">
      <w:rPr>
        <w:rStyle w:val="PageNumber"/>
      </w:rPr>
      <w:t>16</w:t>
    </w:r>
    <w:r>
      <w:rPr>
        <w:rStyle w:val="PageNumber"/>
      </w:rPr>
      <w:fldChar w:fldCharType="end"/>
    </w:r>
    <w:r>
      <w:t>)</w:t>
    </w:r>
  </w:p>
  <w:p w14:paraId="0E0FEE85" w14:textId="77777777" w:rsidR="00AC3C67" w:rsidRDefault="00AC3C67" w:rsidP="001F4EA9">
    <w:pPr>
      <w:pStyle w:val="Header"/>
      <w:tabs>
        <w:tab w:val="clear" w:pos="4819"/>
        <w:tab w:val="left" w:pos="5103"/>
      </w:tabs>
      <w:ind w:left="851" w:firstLine="4252"/>
    </w:pPr>
  </w:p>
  <w:p w14:paraId="143E0BBB" w14:textId="3E7FB82C" w:rsidR="00AC3C67" w:rsidRDefault="00AC3C67" w:rsidP="001F4EA9">
    <w:pPr>
      <w:pStyle w:val="Header"/>
      <w:tabs>
        <w:tab w:val="clear" w:pos="4819"/>
        <w:tab w:val="left" w:pos="5103"/>
      </w:tabs>
      <w:ind w:left="851" w:firstLine="4252"/>
      <w:rPr>
        <w:szCs w:val="20"/>
      </w:rPr>
    </w:pPr>
    <w:r>
      <w:t>TRAFICOM/562980/03.04.03.00/2022</w:t>
    </w:r>
  </w:p>
  <w:p w14:paraId="3646FF41" w14:textId="28DE0C83" w:rsidR="00AC3C67" w:rsidRPr="001F4EA9" w:rsidRDefault="00AC3C67" w:rsidP="001F4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6ED2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60E8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6EBB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6E4D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2A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307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04F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EFE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28BC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345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0EB5"/>
    <w:multiLevelType w:val="hybridMultilevel"/>
    <w:tmpl w:val="3F98219A"/>
    <w:lvl w:ilvl="0" w:tplc="AB74F128">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1" w15:restartNumberingAfterBreak="0">
    <w:nsid w:val="06FA528E"/>
    <w:multiLevelType w:val="hybridMultilevel"/>
    <w:tmpl w:val="D4B484C2"/>
    <w:lvl w:ilvl="0" w:tplc="9E6AB6E4">
      <w:start w:val="1"/>
      <w:numFmt w:val="decimal"/>
      <w:pStyle w:val="Liiteotsikko"/>
      <w:lvlText w:val="Liite %1"/>
      <w:lvlJc w:val="left"/>
      <w:pPr>
        <w:ind w:left="720" w:hanging="360"/>
      </w:pPr>
      <w:rPr>
        <w:rFonts w:ascii="Verdana" w:hAnsi="Verdana" w:hint="default"/>
        <w:b/>
        <w:i w:val="0"/>
        <w:caps w:val="0"/>
        <w:strike w:val="0"/>
        <w:dstrike w:val="0"/>
        <w:vanish w:val="0"/>
        <w:color w:val="000000"/>
        <w:sz w:val="20"/>
        <w:szCs w:val="16"/>
        <w:u w:val="none"/>
        <w:vertAlign w:val="base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7AF624E"/>
    <w:multiLevelType w:val="hybridMultilevel"/>
    <w:tmpl w:val="1FB606CC"/>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3" w15:restartNumberingAfterBreak="0">
    <w:nsid w:val="0C7A5F2A"/>
    <w:multiLevelType w:val="hybridMultilevel"/>
    <w:tmpl w:val="68E81D7A"/>
    <w:lvl w:ilvl="0" w:tplc="0372A25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4" w15:restartNumberingAfterBreak="0">
    <w:nsid w:val="0ECF4C9D"/>
    <w:multiLevelType w:val="hybridMultilevel"/>
    <w:tmpl w:val="C42C789A"/>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5" w15:restartNumberingAfterBreak="0">
    <w:nsid w:val="1C784CAF"/>
    <w:multiLevelType w:val="hybridMultilevel"/>
    <w:tmpl w:val="EB70A9B4"/>
    <w:lvl w:ilvl="0" w:tplc="4F24A372">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6" w15:restartNumberingAfterBreak="0">
    <w:nsid w:val="1CC97591"/>
    <w:multiLevelType w:val="multilevel"/>
    <w:tmpl w:val="3C0E3FC0"/>
    <w:lvl w:ilvl="0">
      <w:start w:val="1"/>
      <w:numFmt w:val="bullet"/>
      <w:pStyle w:val="List"/>
      <w:lvlText w:val=""/>
      <w:lvlJc w:val="left"/>
      <w:pPr>
        <w:tabs>
          <w:tab w:val="num" w:pos="1134"/>
        </w:tabs>
        <w:ind w:left="1418" w:hanging="284"/>
      </w:pPr>
      <w:rPr>
        <w:rFonts w:ascii="Symbol" w:hAnsi="Symbol" w:hint="default"/>
      </w:rPr>
    </w:lvl>
    <w:lvl w:ilvl="1">
      <w:start w:val="1"/>
      <w:numFmt w:val="bullet"/>
      <w:lvlText w:val="o"/>
      <w:lvlJc w:val="left"/>
      <w:pPr>
        <w:tabs>
          <w:tab w:val="num" w:pos="1531"/>
        </w:tabs>
        <w:ind w:left="1701" w:hanging="283"/>
      </w:pPr>
      <w:rPr>
        <w:rFonts w:ascii="Courier New" w:hAnsi="Courier New" w:hint="default"/>
      </w:rPr>
    </w:lvl>
    <w:lvl w:ilvl="2">
      <w:start w:val="1"/>
      <w:numFmt w:val="bullet"/>
      <w:lvlText w:val=""/>
      <w:lvlJc w:val="left"/>
      <w:pPr>
        <w:ind w:left="1985" w:hanging="284"/>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8863BB"/>
    <w:multiLevelType w:val="hybridMultilevel"/>
    <w:tmpl w:val="A568F1D0"/>
    <w:lvl w:ilvl="0" w:tplc="536E10E6">
      <w:start w:val="1"/>
      <w:numFmt w:val="decimal"/>
      <w:pStyle w:val="Taulukko-otsikko"/>
      <w:lvlText w:val="Taulukko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18" w15:restartNumberingAfterBreak="0">
    <w:nsid w:val="31635228"/>
    <w:multiLevelType w:val="hybridMultilevel"/>
    <w:tmpl w:val="4824E434"/>
    <w:lvl w:ilvl="0" w:tplc="D02A5286">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9"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0" w15:restartNumberingAfterBreak="0">
    <w:nsid w:val="3DD83DFA"/>
    <w:multiLevelType w:val="hybridMultilevel"/>
    <w:tmpl w:val="880004E0"/>
    <w:lvl w:ilvl="0" w:tplc="41444804">
      <w:start w:val="1"/>
      <w:numFmt w:val="decimal"/>
      <w:lvlText w:val="Taulukko %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1"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22" w15:restartNumberingAfterBreak="0">
    <w:nsid w:val="481B6E59"/>
    <w:multiLevelType w:val="hybridMultilevel"/>
    <w:tmpl w:val="0AB4FF46"/>
    <w:lvl w:ilvl="0" w:tplc="ABC2D738">
      <w:start w:val="1"/>
      <w:numFmt w:val="decimal"/>
      <w:lvlText w:val="Liite %1"/>
      <w:lvlJc w:val="left"/>
      <w:pPr>
        <w:ind w:left="360" w:hanging="360"/>
      </w:pPr>
      <w:rPr>
        <w:rFonts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3" w15:restartNumberingAfterBreak="0">
    <w:nsid w:val="4A3D4D62"/>
    <w:multiLevelType w:val="multilevel"/>
    <w:tmpl w:val="AD02A0D8"/>
    <w:lvl w:ilvl="0">
      <w:start w:val="1"/>
      <w:numFmt w:val="decimal"/>
      <w:pStyle w:val="Heading1"/>
      <w:lvlText w:val="%1"/>
      <w:lvlJc w:val="left"/>
      <w:pPr>
        <w:tabs>
          <w:tab w:val="num" w:pos="742"/>
        </w:tabs>
        <w:ind w:left="742" w:hanging="600"/>
      </w:pPr>
      <w:rPr>
        <w:rFonts w:hint="default"/>
        <w:sz w:val="22"/>
      </w:rPr>
    </w:lvl>
    <w:lvl w:ilvl="1">
      <w:start w:val="1"/>
      <w:numFmt w:val="decimal"/>
      <w:pStyle w:val="Heading2"/>
      <w:lvlText w:val="%1.%2"/>
      <w:lvlJc w:val="left"/>
      <w:pPr>
        <w:tabs>
          <w:tab w:val="num" w:pos="942"/>
        </w:tabs>
        <w:ind w:left="942" w:hanging="80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42"/>
        </w:tabs>
        <w:ind w:left="1142" w:hanging="1000"/>
      </w:pPr>
      <w:rPr>
        <w:rFonts w:hint="default"/>
      </w:rPr>
    </w:lvl>
    <w:lvl w:ilvl="3">
      <w:start w:val="1"/>
      <w:numFmt w:val="decimal"/>
      <w:pStyle w:val="Heading4"/>
      <w:lvlText w:val="%1.%2.%3.%4"/>
      <w:lvlJc w:val="left"/>
      <w:pPr>
        <w:tabs>
          <w:tab w:val="num" w:pos="1342"/>
        </w:tabs>
        <w:ind w:left="1342" w:hanging="1200"/>
      </w:pPr>
      <w:rPr>
        <w:rFonts w:hint="default"/>
      </w:rPr>
    </w:lvl>
    <w:lvl w:ilvl="4">
      <w:start w:val="1"/>
      <w:numFmt w:val="decimal"/>
      <w:pStyle w:val="Heading5"/>
      <w:lvlText w:val="%1.%2.%3.%4.%5"/>
      <w:lvlJc w:val="left"/>
      <w:pPr>
        <w:tabs>
          <w:tab w:val="num" w:pos="1542"/>
        </w:tabs>
        <w:ind w:left="1542" w:hanging="1400"/>
      </w:pPr>
      <w:rPr>
        <w:rFonts w:hint="default"/>
      </w:rPr>
    </w:lvl>
    <w:lvl w:ilvl="5">
      <w:start w:val="1"/>
      <w:numFmt w:val="decimal"/>
      <w:pStyle w:val="Heading6"/>
      <w:lvlText w:val="%1.%2.%3.%4.%5.%6"/>
      <w:lvlJc w:val="left"/>
      <w:pPr>
        <w:tabs>
          <w:tab w:val="num" w:pos="1742"/>
        </w:tabs>
        <w:ind w:left="1742" w:hanging="1600"/>
      </w:pPr>
      <w:rPr>
        <w:rFonts w:hint="default"/>
      </w:rPr>
    </w:lvl>
    <w:lvl w:ilvl="6">
      <w:start w:val="1"/>
      <w:numFmt w:val="decimal"/>
      <w:lvlText w:val="%1.%2.%3.%4.%5.%6.%7."/>
      <w:lvlJc w:val="left"/>
      <w:pPr>
        <w:tabs>
          <w:tab w:val="num" w:pos="4701"/>
        </w:tabs>
        <w:ind w:left="3981" w:hanging="1080"/>
      </w:pPr>
      <w:rPr>
        <w:rFonts w:hint="default"/>
      </w:rPr>
    </w:lvl>
    <w:lvl w:ilvl="7">
      <w:start w:val="1"/>
      <w:numFmt w:val="decimal"/>
      <w:lvlText w:val="%1.%2.%3.%4.%5.%6.%7.%8."/>
      <w:lvlJc w:val="left"/>
      <w:pPr>
        <w:tabs>
          <w:tab w:val="num" w:pos="5421"/>
        </w:tabs>
        <w:ind w:left="4485" w:hanging="1224"/>
      </w:pPr>
      <w:rPr>
        <w:rFonts w:hint="default"/>
      </w:rPr>
    </w:lvl>
    <w:lvl w:ilvl="8">
      <w:start w:val="1"/>
      <w:numFmt w:val="decimal"/>
      <w:lvlText w:val="%1.%2.%3.%4.%5.%6.%7.%8.%9."/>
      <w:lvlJc w:val="left"/>
      <w:pPr>
        <w:tabs>
          <w:tab w:val="num" w:pos="6141"/>
        </w:tabs>
        <w:ind w:left="5061" w:hanging="1440"/>
      </w:pPr>
      <w:rPr>
        <w:rFonts w:hint="default"/>
      </w:rPr>
    </w:lvl>
  </w:abstractNum>
  <w:abstractNum w:abstractNumId="24" w15:restartNumberingAfterBreak="0">
    <w:nsid w:val="4C657A61"/>
    <w:multiLevelType w:val="hybridMultilevel"/>
    <w:tmpl w:val="2C3C4284"/>
    <w:lvl w:ilvl="0" w:tplc="040B0011">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5" w15:restartNumberingAfterBreak="0">
    <w:nsid w:val="51044CAA"/>
    <w:multiLevelType w:val="hybridMultilevel"/>
    <w:tmpl w:val="E89E959A"/>
    <w:lvl w:ilvl="0" w:tplc="718EB8E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26" w15:restartNumberingAfterBreak="0">
    <w:nsid w:val="54BB5FB8"/>
    <w:multiLevelType w:val="hybridMultilevel"/>
    <w:tmpl w:val="30F81F0C"/>
    <w:lvl w:ilvl="0" w:tplc="7A7099B2">
      <w:start w:val="1"/>
      <w:numFmt w:val="decimal"/>
      <w:pStyle w:val="Caption"/>
      <w:lvlText w:val="Kuva %1"/>
      <w:lvlJc w:val="left"/>
      <w:pPr>
        <w:ind w:left="149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7" w15:restartNumberingAfterBreak="0">
    <w:nsid w:val="567F7EF4"/>
    <w:multiLevelType w:val="hybridMultilevel"/>
    <w:tmpl w:val="47DAD410"/>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8" w15:restartNumberingAfterBreak="0">
    <w:nsid w:val="5C42159B"/>
    <w:multiLevelType w:val="hybridMultilevel"/>
    <w:tmpl w:val="0A66587C"/>
    <w:lvl w:ilvl="0" w:tplc="FF0612FC">
      <w:start w:val="1"/>
      <w:numFmt w:val="decimal"/>
      <w:lvlText w:val="Liite %1"/>
      <w:lvlJc w:val="left"/>
      <w:pPr>
        <w:ind w:left="1854" w:hanging="360"/>
      </w:pPr>
      <w:rPr>
        <w:rFonts w:ascii="Verdana" w:hAnsi="Verdana" w:hint="default"/>
        <w:b w:val="0"/>
        <w:i/>
        <w:caps w:val="0"/>
        <w:strike w:val="0"/>
        <w:dstrike w:val="0"/>
        <w:vanish w:val="0"/>
        <w:color w:val="000000"/>
        <w:sz w:val="20"/>
        <w:szCs w:val="16"/>
        <w:u w:val="none"/>
        <w:vertAlign w:val="baseline"/>
      </w:r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29" w15:restartNumberingAfterBreak="0">
    <w:nsid w:val="5E1B7FD5"/>
    <w:multiLevelType w:val="hybridMultilevel"/>
    <w:tmpl w:val="AE048600"/>
    <w:lvl w:ilvl="0" w:tplc="040B0001">
      <w:start w:val="1"/>
      <w:numFmt w:val="bullet"/>
      <w:lvlText w:val=""/>
      <w:lvlJc w:val="left"/>
      <w:pPr>
        <w:ind w:left="2702" w:hanging="360"/>
      </w:pPr>
      <w:rPr>
        <w:rFonts w:ascii="Symbol" w:hAnsi="Symbol" w:hint="default"/>
      </w:rPr>
    </w:lvl>
    <w:lvl w:ilvl="1" w:tplc="040B0003" w:tentative="1">
      <w:start w:val="1"/>
      <w:numFmt w:val="bullet"/>
      <w:lvlText w:val="o"/>
      <w:lvlJc w:val="left"/>
      <w:pPr>
        <w:ind w:left="3422" w:hanging="360"/>
      </w:pPr>
      <w:rPr>
        <w:rFonts w:ascii="Courier New" w:hAnsi="Courier New" w:cs="Courier New" w:hint="default"/>
      </w:rPr>
    </w:lvl>
    <w:lvl w:ilvl="2" w:tplc="040B0005" w:tentative="1">
      <w:start w:val="1"/>
      <w:numFmt w:val="bullet"/>
      <w:lvlText w:val=""/>
      <w:lvlJc w:val="left"/>
      <w:pPr>
        <w:ind w:left="4142" w:hanging="360"/>
      </w:pPr>
      <w:rPr>
        <w:rFonts w:ascii="Wingdings" w:hAnsi="Wingdings" w:hint="default"/>
      </w:rPr>
    </w:lvl>
    <w:lvl w:ilvl="3" w:tplc="040B0001" w:tentative="1">
      <w:start w:val="1"/>
      <w:numFmt w:val="bullet"/>
      <w:lvlText w:val=""/>
      <w:lvlJc w:val="left"/>
      <w:pPr>
        <w:ind w:left="4862" w:hanging="360"/>
      </w:pPr>
      <w:rPr>
        <w:rFonts w:ascii="Symbol" w:hAnsi="Symbol" w:hint="default"/>
      </w:rPr>
    </w:lvl>
    <w:lvl w:ilvl="4" w:tplc="040B0003" w:tentative="1">
      <w:start w:val="1"/>
      <w:numFmt w:val="bullet"/>
      <w:lvlText w:val="o"/>
      <w:lvlJc w:val="left"/>
      <w:pPr>
        <w:ind w:left="5582" w:hanging="360"/>
      </w:pPr>
      <w:rPr>
        <w:rFonts w:ascii="Courier New" w:hAnsi="Courier New" w:cs="Courier New" w:hint="default"/>
      </w:rPr>
    </w:lvl>
    <w:lvl w:ilvl="5" w:tplc="040B0005" w:tentative="1">
      <w:start w:val="1"/>
      <w:numFmt w:val="bullet"/>
      <w:lvlText w:val=""/>
      <w:lvlJc w:val="left"/>
      <w:pPr>
        <w:ind w:left="6302" w:hanging="360"/>
      </w:pPr>
      <w:rPr>
        <w:rFonts w:ascii="Wingdings" w:hAnsi="Wingdings" w:hint="default"/>
      </w:rPr>
    </w:lvl>
    <w:lvl w:ilvl="6" w:tplc="040B0001" w:tentative="1">
      <w:start w:val="1"/>
      <w:numFmt w:val="bullet"/>
      <w:lvlText w:val=""/>
      <w:lvlJc w:val="left"/>
      <w:pPr>
        <w:ind w:left="7022" w:hanging="360"/>
      </w:pPr>
      <w:rPr>
        <w:rFonts w:ascii="Symbol" w:hAnsi="Symbol" w:hint="default"/>
      </w:rPr>
    </w:lvl>
    <w:lvl w:ilvl="7" w:tplc="040B0003" w:tentative="1">
      <w:start w:val="1"/>
      <w:numFmt w:val="bullet"/>
      <w:lvlText w:val="o"/>
      <w:lvlJc w:val="left"/>
      <w:pPr>
        <w:ind w:left="7742" w:hanging="360"/>
      </w:pPr>
      <w:rPr>
        <w:rFonts w:ascii="Courier New" w:hAnsi="Courier New" w:cs="Courier New" w:hint="default"/>
      </w:rPr>
    </w:lvl>
    <w:lvl w:ilvl="8" w:tplc="040B0005" w:tentative="1">
      <w:start w:val="1"/>
      <w:numFmt w:val="bullet"/>
      <w:lvlText w:val=""/>
      <w:lvlJc w:val="left"/>
      <w:pPr>
        <w:ind w:left="8462" w:hanging="360"/>
      </w:pPr>
      <w:rPr>
        <w:rFonts w:ascii="Wingdings" w:hAnsi="Wingdings" w:hint="default"/>
      </w:rPr>
    </w:lvl>
  </w:abstractNum>
  <w:abstractNum w:abstractNumId="30" w15:restartNumberingAfterBreak="0">
    <w:nsid w:val="601F439F"/>
    <w:multiLevelType w:val="hybridMultilevel"/>
    <w:tmpl w:val="EDAEECC4"/>
    <w:lvl w:ilvl="0" w:tplc="CED2F0D0">
      <w:numFmt w:val="bullet"/>
      <w:lvlText w:val="-"/>
      <w:lvlJc w:val="left"/>
      <w:pPr>
        <w:ind w:left="1494" w:hanging="360"/>
      </w:pPr>
      <w:rPr>
        <w:rFonts w:ascii="Verdana" w:eastAsia="Times New Roman" w:hAnsi="Verdana"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1" w15:restartNumberingAfterBreak="0">
    <w:nsid w:val="61025C43"/>
    <w:multiLevelType w:val="multilevel"/>
    <w:tmpl w:val="F550B460"/>
    <w:lvl w:ilvl="0">
      <w:start w:val="1"/>
      <w:numFmt w:val="bullet"/>
      <w:lvlText w:val=""/>
      <w:lvlJc w:val="left"/>
      <w:pPr>
        <w:ind w:left="1494" w:hanging="360"/>
      </w:pPr>
      <w:rPr>
        <w:rFonts w:ascii="Symbol" w:hAnsi="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num w:numId="1" w16cid:durableId="1058356350">
    <w:abstractNumId w:val="23"/>
  </w:num>
  <w:num w:numId="2" w16cid:durableId="1569611426">
    <w:abstractNumId w:val="16"/>
  </w:num>
  <w:num w:numId="3" w16cid:durableId="1546411870">
    <w:abstractNumId w:val="9"/>
  </w:num>
  <w:num w:numId="4" w16cid:durableId="215745928">
    <w:abstractNumId w:val="7"/>
  </w:num>
  <w:num w:numId="5" w16cid:durableId="848644617">
    <w:abstractNumId w:val="6"/>
  </w:num>
  <w:num w:numId="6" w16cid:durableId="332340273">
    <w:abstractNumId w:val="5"/>
  </w:num>
  <w:num w:numId="7" w16cid:durableId="893468681">
    <w:abstractNumId w:val="4"/>
  </w:num>
  <w:num w:numId="8" w16cid:durableId="1922526473">
    <w:abstractNumId w:val="8"/>
  </w:num>
  <w:num w:numId="9" w16cid:durableId="531110013">
    <w:abstractNumId w:val="3"/>
  </w:num>
  <w:num w:numId="10" w16cid:durableId="1650668456">
    <w:abstractNumId w:val="2"/>
  </w:num>
  <w:num w:numId="11" w16cid:durableId="1471362190">
    <w:abstractNumId w:val="1"/>
  </w:num>
  <w:num w:numId="12" w16cid:durableId="241568572">
    <w:abstractNumId w:val="0"/>
  </w:num>
  <w:num w:numId="13" w16cid:durableId="754285331">
    <w:abstractNumId w:val="31"/>
  </w:num>
  <w:num w:numId="14" w16cid:durableId="1278412921">
    <w:abstractNumId w:val="29"/>
  </w:num>
  <w:num w:numId="15" w16cid:durableId="904532932">
    <w:abstractNumId w:val="16"/>
  </w:num>
  <w:num w:numId="16" w16cid:durableId="1674067442">
    <w:abstractNumId w:val="26"/>
  </w:num>
  <w:num w:numId="17" w16cid:durableId="929318904">
    <w:abstractNumId w:val="28"/>
  </w:num>
  <w:num w:numId="18" w16cid:durableId="1705713016">
    <w:abstractNumId w:val="22"/>
  </w:num>
  <w:num w:numId="19" w16cid:durableId="71513899">
    <w:abstractNumId w:val="20"/>
  </w:num>
  <w:num w:numId="20" w16cid:durableId="549340372">
    <w:abstractNumId w:val="17"/>
  </w:num>
  <w:num w:numId="21" w16cid:durableId="1302227258">
    <w:abstractNumId w:val="11"/>
  </w:num>
  <w:num w:numId="22" w16cid:durableId="920408836">
    <w:abstractNumId w:val="12"/>
  </w:num>
  <w:num w:numId="23" w16cid:durableId="1283733774">
    <w:abstractNumId w:val="15"/>
  </w:num>
  <w:num w:numId="24" w16cid:durableId="593515822">
    <w:abstractNumId w:val="18"/>
  </w:num>
  <w:num w:numId="25" w16cid:durableId="1413624878">
    <w:abstractNumId w:val="10"/>
  </w:num>
  <w:num w:numId="26" w16cid:durableId="1571765667">
    <w:abstractNumId w:val="30"/>
  </w:num>
  <w:num w:numId="27" w16cid:durableId="1356423485">
    <w:abstractNumId w:val="13"/>
  </w:num>
  <w:num w:numId="28" w16cid:durableId="1859729337">
    <w:abstractNumId w:val="24"/>
  </w:num>
  <w:num w:numId="29" w16cid:durableId="460656231">
    <w:abstractNumId w:val="21"/>
    <w:lvlOverride w:ilvl="0">
      <w:startOverride w:val="1"/>
    </w:lvlOverride>
  </w:num>
  <w:num w:numId="30" w16cid:durableId="596909344">
    <w:abstractNumId w:val="19"/>
  </w:num>
  <w:num w:numId="31" w16cid:durableId="11248059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0656385">
    <w:abstractNumId w:val="23"/>
  </w:num>
  <w:num w:numId="33" w16cid:durableId="2032297468">
    <w:abstractNumId w:val="23"/>
  </w:num>
  <w:num w:numId="34" w16cid:durableId="1495295257">
    <w:abstractNumId w:val="25"/>
  </w:num>
  <w:num w:numId="35" w16cid:durableId="709694757">
    <w:abstractNumId w:val="14"/>
  </w:num>
  <w:num w:numId="36" w16cid:durableId="1952273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A9"/>
    <w:rsid w:val="00000F0E"/>
    <w:rsid w:val="000036B4"/>
    <w:rsid w:val="000061B6"/>
    <w:rsid w:val="00007B27"/>
    <w:rsid w:val="00010AA4"/>
    <w:rsid w:val="00013AEB"/>
    <w:rsid w:val="00014225"/>
    <w:rsid w:val="00030B54"/>
    <w:rsid w:val="000369C0"/>
    <w:rsid w:val="000429A7"/>
    <w:rsid w:val="00050CC8"/>
    <w:rsid w:val="00057733"/>
    <w:rsid w:val="00064E7C"/>
    <w:rsid w:val="00071B49"/>
    <w:rsid w:val="000723E1"/>
    <w:rsid w:val="00072831"/>
    <w:rsid w:val="00075BF6"/>
    <w:rsid w:val="00076E02"/>
    <w:rsid w:val="000840CD"/>
    <w:rsid w:val="0008692A"/>
    <w:rsid w:val="00093E6D"/>
    <w:rsid w:val="000A1E04"/>
    <w:rsid w:val="000A7446"/>
    <w:rsid w:val="000B0690"/>
    <w:rsid w:val="000B1ED6"/>
    <w:rsid w:val="000B2E86"/>
    <w:rsid w:val="000B5E64"/>
    <w:rsid w:val="000B6F44"/>
    <w:rsid w:val="000B7572"/>
    <w:rsid w:val="000C4F7E"/>
    <w:rsid w:val="000C74AB"/>
    <w:rsid w:val="000D279D"/>
    <w:rsid w:val="000D397C"/>
    <w:rsid w:val="000D5516"/>
    <w:rsid w:val="000D7806"/>
    <w:rsid w:val="000D7C01"/>
    <w:rsid w:val="000F4D8F"/>
    <w:rsid w:val="000F4DF8"/>
    <w:rsid w:val="00100203"/>
    <w:rsid w:val="00101193"/>
    <w:rsid w:val="001047D2"/>
    <w:rsid w:val="00121BF2"/>
    <w:rsid w:val="00122DC6"/>
    <w:rsid w:val="001263AE"/>
    <w:rsid w:val="001277FA"/>
    <w:rsid w:val="00127E0F"/>
    <w:rsid w:val="00131706"/>
    <w:rsid w:val="00135E93"/>
    <w:rsid w:val="00136363"/>
    <w:rsid w:val="00136442"/>
    <w:rsid w:val="0014017D"/>
    <w:rsid w:val="00146FBD"/>
    <w:rsid w:val="00151C1A"/>
    <w:rsid w:val="00154442"/>
    <w:rsid w:val="00156931"/>
    <w:rsid w:val="00172FA8"/>
    <w:rsid w:val="00183AA4"/>
    <w:rsid w:val="00184016"/>
    <w:rsid w:val="00187EA1"/>
    <w:rsid w:val="00191F95"/>
    <w:rsid w:val="001A34DC"/>
    <w:rsid w:val="001A3DDA"/>
    <w:rsid w:val="001B3A06"/>
    <w:rsid w:val="001B3D26"/>
    <w:rsid w:val="001B5A67"/>
    <w:rsid w:val="001B700A"/>
    <w:rsid w:val="001B7139"/>
    <w:rsid w:val="001C2A0F"/>
    <w:rsid w:val="001C3B85"/>
    <w:rsid w:val="001C5940"/>
    <w:rsid w:val="001C6E1F"/>
    <w:rsid w:val="001D2DA4"/>
    <w:rsid w:val="001D47A5"/>
    <w:rsid w:val="001E155D"/>
    <w:rsid w:val="001E6905"/>
    <w:rsid w:val="001F496D"/>
    <w:rsid w:val="001F4EA9"/>
    <w:rsid w:val="001F5F1E"/>
    <w:rsid w:val="001F7F82"/>
    <w:rsid w:val="0021220D"/>
    <w:rsid w:val="0021376B"/>
    <w:rsid w:val="0021377D"/>
    <w:rsid w:val="00226CD0"/>
    <w:rsid w:val="00227E1B"/>
    <w:rsid w:val="00234902"/>
    <w:rsid w:val="00237B4E"/>
    <w:rsid w:val="00240B2E"/>
    <w:rsid w:val="00243DB0"/>
    <w:rsid w:val="00250C38"/>
    <w:rsid w:val="00250C67"/>
    <w:rsid w:val="002519F0"/>
    <w:rsid w:val="00253527"/>
    <w:rsid w:val="002535A9"/>
    <w:rsid w:val="0025433C"/>
    <w:rsid w:val="002561B1"/>
    <w:rsid w:val="00256CE9"/>
    <w:rsid w:val="00264FBD"/>
    <w:rsid w:val="00270DE2"/>
    <w:rsid w:val="00271646"/>
    <w:rsid w:val="00272344"/>
    <w:rsid w:val="00274D74"/>
    <w:rsid w:val="00274FD9"/>
    <w:rsid w:val="0027620E"/>
    <w:rsid w:val="00281E7B"/>
    <w:rsid w:val="00292F4C"/>
    <w:rsid w:val="002948EA"/>
    <w:rsid w:val="002A1CE8"/>
    <w:rsid w:val="002A3FA9"/>
    <w:rsid w:val="002A6D06"/>
    <w:rsid w:val="002A74E9"/>
    <w:rsid w:val="002B0963"/>
    <w:rsid w:val="002B186A"/>
    <w:rsid w:val="002B7972"/>
    <w:rsid w:val="002C3FBE"/>
    <w:rsid w:val="002C491E"/>
    <w:rsid w:val="002D059A"/>
    <w:rsid w:val="002D338F"/>
    <w:rsid w:val="002D39C4"/>
    <w:rsid w:val="002E304A"/>
    <w:rsid w:val="002E367F"/>
    <w:rsid w:val="002E53B7"/>
    <w:rsid w:val="002F452E"/>
    <w:rsid w:val="002F6451"/>
    <w:rsid w:val="002F6DB4"/>
    <w:rsid w:val="002F745A"/>
    <w:rsid w:val="00302B9D"/>
    <w:rsid w:val="00302C4C"/>
    <w:rsid w:val="0030460E"/>
    <w:rsid w:val="00312B25"/>
    <w:rsid w:val="00320D0E"/>
    <w:rsid w:val="00322BEC"/>
    <w:rsid w:val="003260DA"/>
    <w:rsid w:val="003264D0"/>
    <w:rsid w:val="00327422"/>
    <w:rsid w:val="003331E7"/>
    <w:rsid w:val="003418C1"/>
    <w:rsid w:val="00342095"/>
    <w:rsid w:val="00342297"/>
    <w:rsid w:val="00346367"/>
    <w:rsid w:val="003531B4"/>
    <w:rsid w:val="00357DB7"/>
    <w:rsid w:val="00361882"/>
    <w:rsid w:val="00367382"/>
    <w:rsid w:val="00367B20"/>
    <w:rsid w:val="00373977"/>
    <w:rsid w:val="003749F1"/>
    <w:rsid w:val="00376954"/>
    <w:rsid w:val="00382E3E"/>
    <w:rsid w:val="003850C3"/>
    <w:rsid w:val="00386C3A"/>
    <w:rsid w:val="003A0401"/>
    <w:rsid w:val="003A0EA8"/>
    <w:rsid w:val="003B6173"/>
    <w:rsid w:val="003C023B"/>
    <w:rsid w:val="003C2E91"/>
    <w:rsid w:val="003C3125"/>
    <w:rsid w:val="003C5F3C"/>
    <w:rsid w:val="003C6572"/>
    <w:rsid w:val="003C769A"/>
    <w:rsid w:val="003C76C3"/>
    <w:rsid w:val="003D1B81"/>
    <w:rsid w:val="003D4CDC"/>
    <w:rsid w:val="003D6580"/>
    <w:rsid w:val="003F669E"/>
    <w:rsid w:val="0040546B"/>
    <w:rsid w:val="004113E7"/>
    <w:rsid w:val="00413988"/>
    <w:rsid w:val="00415CDB"/>
    <w:rsid w:val="004214F8"/>
    <w:rsid w:val="00423466"/>
    <w:rsid w:val="00423FA7"/>
    <w:rsid w:val="00425E5A"/>
    <w:rsid w:val="00426F38"/>
    <w:rsid w:val="004401FD"/>
    <w:rsid w:val="00444A71"/>
    <w:rsid w:val="0045290D"/>
    <w:rsid w:val="004613B3"/>
    <w:rsid w:val="004615BC"/>
    <w:rsid w:val="0046186B"/>
    <w:rsid w:val="00470170"/>
    <w:rsid w:val="00471C01"/>
    <w:rsid w:val="00484ED6"/>
    <w:rsid w:val="00486C15"/>
    <w:rsid w:val="00491E0F"/>
    <w:rsid w:val="004B0AC0"/>
    <w:rsid w:val="004B2759"/>
    <w:rsid w:val="004B72CC"/>
    <w:rsid w:val="004B79D0"/>
    <w:rsid w:val="004C45A1"/>
    <w:rsid w:val="004D36AA"/>
    <w:rsid w:val="004D6E61"/>
    <w:rsid w:val="004E01F1"/>
    <w:rsid w:val="004E1C7B"/>
    <w:rsid w:val="004E23E8"/>
    <w:rsid w:val="004E2FD2"/>
    <w:rsid w:val="004E43BB"/>
    <w:rsid w:val="004E5904"/>
    <w:rsid w:val="004F00BB"/>
    <w:rsid w:val="004F132E"/>
    <w:rsid w:val="004F1FFD"/>
    <w:rsid w:val="0050058D"/>
    <w:rsid w:val="005025B0"/>
    <w:rsid w:val="00504640"/>
    <w:rsid w:val="005076EE"/>
    <w:rsid w:val="00514726"/>
    <w:rsid w:val="00516C9A"/>
    <w:rsid w:val="005177C1"/>
    <w:rsid w:val="00527426"/>
    <w:rsid w:val="005335F4"/>
    <w:rsid w:val="005418C6"/>
    <w:rsid w:val="00541A75"/>
    <w:rsid w:val="00545D22"/>
    <w:rsid w:val="00550147"/>
    <w:rsid w:val="005608CC"/>
    <w:rsid w:val="00563C22"/>
    <w:rsid w:val="0056458C"/>
    <w:rsid w:val="005662BD"/>
    <w:rsid w:val="00574633"/>
    <w:rsid w:val="00580FEA"/>
    <w:rsid w:val="00582FCF"/>
    <w:rsid w:val="00586737"/>
    <w:rsid w:val="00594A1C"/>
    <w:rsid w:val="00595343"/>
    <w:rsid w:val="00596063"/>
    <w:rsid w:val="005A32E0"/>
    <w:rsid w:val="005A53A8"/>
    <w:rsid w:val="005A6497"/>
    <w:rsid w:val="005A6857"/>
    <w:rsid w:val="005A69D5"/>
    <w:rsid w:val="005A79AF"/>
    <w:rsid w:val="005B3B59"/>
    <w:rsid w:val="005B4609"/>
    <w:rsid w:val="005B4D00"/>
    <w:rsid w:val="005B4D36"/>
    <w:rsid w:val="005C1817"/>
    <w:rsid w:val="005C209E"/>
    <w:rsid w:val="005D016C"/>
    <w:rsid w:val="005D1106"/>
    <w:rsid w:val="005D12A7"/>
    <w:rsid w:val="005D1A2B"/>
    <w:rsid w:val="005D1B80"/>
    <w:rsid w:val="005D35C5"/>
    <w:rsid w:val="005D4B8F"/>
    <w:rsid w:val="005D55F9"/>
    <w:rsid w:val="005D7469"/>
    <w:rsid w:val="005E3D0C"/>
    <w:rsid w:val="005E4BD5"/>
    <w:rsid w:val="005E549A"/>
    <w:rsid w:val="005E6690"/>
    <w:rsid w:val="005F2407"/>
    <w:rsid w:val="005F5A46"/>
    <w:rsid w:val="005F5FA6"/>
    <w:rsid w:val="00602439"/>
    <w:rsid w:val="006102F5"/>
    <w:rsid w:val="00610C2B"/>
    <w:rsid w:val="00612976"/>
    <w:rsid w:val="00614EB5"/>
    <w:rsid w:val="0061536C"/>
    <w:rsid w:val="0061604B"/>
    <w:rsid w:val="0062085E"/>
    <w:rsid w:val="00620AD8"/>
    <w:rsid w:val="00623B6F"/>
    <w:rsid w:val="0062496A"/>
    <w:rsid w:val="00626C8B"/>
    <w:rsid w:val="0062719C"/>
    <w:rsid w:val="00633549"/>
    <w:rsid w:val="00634EC2"/>
    <w:rsid w:val="0063704D"/>
    <w:rsid w:val="006410E1"/>
    <w:rsid w:val="00646154"/>
    <w:rsid w:val="00646AC4"/>
    <w:rsid w:val="00650E61"/>
    <w:rsid w:val="00651ABD"/>
    <w:rsid w:val="00652EFB"/>
    <w:rsid w:val="0065574A"/>
    <w:rsid w:val="006569B5"/>
    <w:rsid w:val="00661EA7"/>
    <w:rsid w:val="006728BE"/>
    <w:rsid w:val="006801C8"/>
    <w:rsid w:val="00682344"/>
    <w:rsid w:val="006862DE"/>
    <w:rsid w:val="0068703D"/>
    <w:rsid w:val="006919E4"/>
    <w:rsid w:val="00693FC6"/>
    <w:rsid w:val="00694FFF"/>
    <w:rsid w:val="006A609B"/>
    <w:rsid w:val="006A6E2C"/>
    <w:rsid w:val="006B6BDF"/>
    <w:rsid w:val="006C01C9"/>
    <w:rsid w:val="006C0976"/>
    <w:rsid w:val="006C1436"/>
    <w:rsid w:val="006C5F64"/>
    <w:rsid w:val="006D04DD"/>
    <w:rsid w:val="006D0DF1"/>
    <w:rsid w:val="006D36B1"/>
    <w:rsid w:val="006D5668"/>
    <w:rsid w:val="006D5AFF"/>
    <w:rsid w:val="006D6D9A"/>
    <w:rsid w:val="006E041A"/>
    <w:rsid w:val="006E3055"/>
    <w:rsid w:val="006E6BF1"/>
    <w:rsid w:val="006E7EE1"/>
    <w:rsid w:val="006F11DA"/>
    <w:rsid w:val="006F1D9E"/>
    <w:rsid w:val="006F6774"/>
    <w:rsid w:val="006F7E2F"/>
    <w:rsid w:val="00701539"/>
    <w:rsid w:val="0070300E"/>
    <w:rsid w:val="00706B24"/>
    <w:rsid w:val="00707D96"/>
    <w:rsid w:val="00710F0B"/>
    <w:rsid w:val="007132AB"/>
    <w:rsid w:val="00722750"/>
    <w:rsid w:val="007229B4"/>
    <w:rsid w:val="00725023"/>
    <w:rsid w:val="00725751"/>
    <w:rsid w:val="00727CD6"/>
    <w:rsid w:val="007328A5"/>
    <w:rsid w:val="00733B72"/>
    <w:rsid w:val="00740D28"/>
    <w:rsid w:val="00745BD3"/>
    <w:rsid w:val="00760E3F"/>
    <w:rsid w:val="00762B37"/>
    <w:rsid w:val="007655AC"/>
    <w:rsid w:val="00765836"/>
    <w:rsid w:val="00767E10"/>
    <w:rsid w:val="00774F0F"/>
    <w:rsid w:val="00780AE1"/>
    <w:rsid w:val="00782705"/>
    <w:rsid w:val="00784D65"/>
    <w:rsid w:val="00785999"/>
    <w:rsid w:val="00785C95"/>
    <w:rsid w:val="00785F7A"/>
    <w:rsid w:val="0078714F"/>
    <w:rsid w:val="00791190"/>
    <w:rsid w:val="0079337D"/>
    <w:rsid w:val="0079432B"/>
    <w:rsid w:val="00796064"/>
    <w:rsid w:val="007A3ADB"/>
    <w:rsid w:val="007B196E"/>
    <w:rsid w:val="007B3A69"/>
    <w:rsid w:val="007B7926"/>
    <w:rsid w:val="007B7DCA"/>
    <w:rsid w:val="007C1095"/>
    <w:rsid w:val="007D2BF7"/>
    <w:rsid w:val="007E1100"/>
    <w:rsid w:val="007E6846"/>
    <w:rsid w:val="007E71B3"/>
    <w:rsid w:val="007F28FF"/>
    <w:rsid w:val="007F319A"/>
    <w:rsid w:val="007F5F7F"/>
    <w:rsid w:val="00800A79"/>
    <w:rsid w:val="00801CC5"/>
    <w:rsid w:val="00802AAB"/>
    <w:rsid w:val="00802F1C"/>
    <w:rsid w:val="00811E06"/>
    <w:rsid w:val="008224D7"/>
    <w:rsid w:val="00824B21"/>
    <w:rsid w:val="00825E27"/>
    <w:rsid w:val="008268D0"/>
    <w:rsid w:val="00827135"/>
    <w:rsid w:val="00831D68"/>
    <w:rsid w:val="0083592E"/>
    <w:rsid w:val="00835FB2"/>
    <w:rsid w:val="008451EC"/>
    <w:rsid w:val="0084615D"/>
    <w:rsid w:val="0084625E"/>
    <w:rsid w:val="008476BF"/>
    <w:rsid w:val="008522A5"/>
    <w:rsid w:val="008524A5"/>
    <w:rsid w:val="008628EA"/>
    <w:rsid w:val="00862E47"/>
    <w:rsid w:val="00864197"/>
    <w:rsid w:val="00873774"/>
    <w:rsid w:val="008820E2"/>
    <w:rsid w:val="008833C6"/>
    <w:rsid w:val="008909CE"/>
    <w:rsid w:val="00891E07"/>
    <w:rsid w:val="00892F1A"/>
    <w:rsid w:val="00893A45"/>
    <w:rsid w:val="00894279"/>
    <w:rsid w:val="008962E2"/>
    <w:rsid w:val="008A003E"/>
    <w:rsid w:val="008A1881"/>
    <w:rsid w:val="008A31CC"/>
    <w:rsid w:val="008A7658"/>
    <w:rsid w:val="008B1443"/>
    <w:rsid w:val="008B250E"/>
    <w:rsid w:val="008B3A2A"/>
    <w:rsid w:val="008B49DA"/>
    <w:rsid w:val="008B68BE"/>
    <w:rsid w:val="008B761A"/>
    <w:rsid w:val="008C258A"/>
    <w:rsid w:val="008C5082"/>
    <w:rsid w:val="008D54F4"/>
    <w:rsid w:val="008E34D1"/>
    <w:rsid w:val="008E4CEA"/>
    <w:rsid w:val="008E52BC"/>
    <w:rsid w:val="008E56AD"/>
    <w:rsid w:val="008F0045"/>
    <w:rsid w:val="008F1700"/>
    <w:rsid w:val="00900E21"/>
    <w:rsid w:val="00903477"/>
    <w:rsid w:val="00903BAB"/>
    <w:rsid w:val="00907D74"/>
    <w:rsid w:val="00911681"/>
    <w:rsid w:val="009124A8"/>
    <w:rsid w:val="00913805"/>
    <w:rsid w:val="0091382F"/>
    <w:rsid w:val="00913BC3"/>
    <w:rsid w:val="009173F4"/>
    <w:rsid w:val="00917B06"/>
    <w:rsid w:val="009200A6"/>
    <w:rsid w:val="00921B7A"/>
    <w:rsid w:val="00922304"/>
    <w:rsid w:val="0092590C"/>
    <w:rsid w:val="009269FA"/>
    <w:rsid w:val="00931934"/>
    <w:rsid w:val="009326E6"/>
    <w:rsid w:val="0094067E"/>
    <w:rsid w:val="00942CD6"/>
    <w:rsid w:val="00946EE8"/>
    <w:rsid w:val="009520D8"/>
    <w:rsid w:val="00952650"/>
    <w:rsid w:val="00952F54"/>
    <w:rsid w:val="00953B8C"/>
    <w:rsid w:val="00954A4A"/>
    <w:rsid w:val="009626D9"/>
    <w:rsid w:val="00975522"/>
    <w:rsid w:val="0097653F"/>
    <w:rsid w:val="009851AC"/>
    <w:rsid w:val="009919B8"/>
    <w:rsid w:val="0099325C"/>
    <w:rsid w:val="00993CC4"/>
    <w:rsid w:val="00995BE6"/>
    <w:rsid w:val="009A1022"/>
    <w:rsid w:val="009A26D6"/>
    <w:rsid w:val="009A3289"/>
    <w:rsid w:val="009A7A61"/>
    <w:rsid w:val="009B0094"/>
    <w:rsid w:val="009B0A91"/>
    <w:rsid w:val="009B3AE8"/>
    <w:rsid w:val="009C0141"/>
    <w:rsid w:val="009C0499"/>
    <w:rsid w:val="009C0BE9"/>
    <w:rsid w:val="009C28DA"/>
    <w:rsid w:val="009C44E1"/>
    <w:rsid w:val="009C51D5"/>
    <w:rsid w:val="009C5880"/>
    <w:rsid w:val="009C744F"/>
    <w:rsid w:val="009C7733"/>
    <w:rsid w:val="009C7F87"/>
    <w:rsid w:val="009D0431"/>
    <w:rsid w:val="009E22DE"/>
    <w:rsid w:val="009E3CD0"/>
    <w:rsid w:val="009E48B4"/>
    <w:rsid w:val="009F1C86"/>
    <w:rsid w:val="009F1F89"/>
    <w:rsid w:val="009F6501"/>
    <w:rsid w:val="009F7641"/>
    <w:rsid w:val="00A0399E"/>
    <w:rsid w:val="00A04ABE"/>
    <w:rsid w:val="00A05FE9"/>
    <w:rsid w:val="00A0689B"/>
    <w:rsid w:val="00A15911"/>
    <w:rsid w:val="00A20326"/>
    <w:rsid w:val="00A204DE"/>
    <w:rsid w:val="00A320A8"/>
    <w:rsid w:val="00A4117F"/>
    <w:rsid w:val="00A42962"/>
    <w:rsid w:val="00A47934"/>
    <w:rsid w:val="00A53761"/>
    <w:rsid w:val="00A55677"/>
    <w:rsid w:val="00A55C33"/>
    <w:rsid w:val="00A56616"/>
    <w:rsid w:val="00A63542"/>
    <w:rsid w:val="00A720FE"/>
    <w:rsid w:val="00A7590C"/>
    <w:rsid w:val="00A80520"/>
    <w:rsid w:val="00A80C5E"/>
    <w:rsid w:val="00A8124A"/>
    <w:rsid w:val="00A83CB4"/>
    <w:rsid w:val="00A84964"/>
    <w:rsid w:val="00A86EAF"/>
    <w:rsid w:val="00A92417"/>
    <w:rsid w:val="00A92544"/>
    <w:rsid w:val="00A93B23"/>
    <w:rsid w:val="00A96646"/>
    <w:rsid w:val="00A9752D"/>
    <w:rsid w:val="00AA1964"/>
    <w:rsid w:val="00AB1593"/>
    <w:rsid w:val="00AC02A0"/>
    <w:rsid w:val="00AC10BB"/>
    <w:rsid w:val="00AC1AF1"/>
    <w:rsid w:val="00AC21C3"/>
    <w:rsid w:val="00AC3C67"/>
    <w:rsid w:val="00AC74FA"/>
    <w:rsid w:val="00AC75FF"/>
    <w:rsid w:val="00AD70E0"/>
    <w:rsid w:val="00AD7886"/>
    <w:rsid w:val="00AE0D0F"/>
    <w:rsid w:val="00AF3E9A"/>
    <w:rsid w:val="00AF79BA"/>
    <w:rsid w:val="00B0207F"/>
    <w:rsid w:val="00B023B7"/>
    <w:rsid w:val="00B02E88"/>
    <w:rsid w:val="00B05BD9"/>
    <w:rsid w:val="00B10B68"/>
    <w:rsid w:val="00B204D1"/>
    <w:rsid w:val="00B242CB"/>
    <w:rsid w:val="00B25D8E"/>
    <w:rsid w:val="00B261A0"/>
    <w:rsid w:val="00B31435"/>
    <w:rsid w:val="00B31ED1"/>
    <w:rsid w:val="00B3222E"/>
    <w:rsid w:val="00B329EB"/>
    <w:rsid w:val="00B357E0"/>
    <w:rsid w:val="00B37887"/>
    <w:rsid w:val="00B403F3"/>
    <w:rsid w:val="00B41A0E"/>
    <w:rsid w:val="00B433B8"/>
    <w:rsid w:val="00B459AE"/>
    <w:rsid w:val="00B45E0E"/>
    <w:rsid w:val="00B50B7F"/>
    <w:rsid w:val="00B571C1"/>
    <w:rsid w:val="00B632F6"/>
    <w:rsid w:val="00B66871"/>
    <w:rsid w:val="00B8059A"/>
    <w:rsid w:val="00B80FA0"/>
    <w:rsid w:val="00B81C4D"/>
    <w:rsid w:val="00B81E36"/>
    <w:rsid w:val="00B852F4"/>
    <w:rsid w:val="00B911CF"/>
    <w:rsid w:val="00B96242"/>
    <w:rsid w:val="00B96821"/>
    <w:rsid w:val="00BA081B"/>
    <w:rsid w:val="00BA2831"/>
    <w:rsid w:val="00BA35A4"/>
    <w:rsid w:val="00BA5FBF"/>
    <w:rsid w:val="00BC4E91"/>
    <w:rsid w:val="00BC70BC"/>
    <w:rsid w:val="00BC7ACB"/>
    <w:rsid w:val="00BD323B"/>
    <w:rsid w:val="00BD46AD"/>
    <w:rsid w:val="00BD4C72"/>
    <w:rsid w:val="00BE1F9F"/>
    <w:rsid w:val="00BE2AE8"/>
    <w:rsid w:val="00BE77BB"/>
    <w:rsid w:val="00BE7E2C"/>
    <w:rsid w:val="00BF06E2"/>
    <w:rsid w:val="00BF1857"/>
    <w:rsid w:val="00BF1E97"/>
    <w:rsid w:val="00BF42FB"/>
    <w:rsid w:val="00BF452B"/>
    <w:rsid w:val="00C14D50"/>
    <w:rsid w:val="00C20947"/>
    <w:rsid w:val="00C228F6"/>
    <w:rsid w:val="00C22DB9"/>
    <w:rsid w:val="00C270E4"/>
    <w:rsid w:val="00C32C28"/>
    <w:rsid w:val="00C331F5"/>
    <w:rsid w:val="00C40339"/>
    <w:rsid w:val="00C418CB"/>
    <w:rsid w:val="00C41A63"/>
    <w:rsid w:val="00C45E60"/>
    <w:rsid w:val="00C516DE"/>
    <w:rsid w:val="00C551DF"/>
    <w:rsid w:val="00C564DC"/>
    <w:rsid w:val="00C56E1D"/>
    <w:rsid w:val="00C679D5"/>
    <w:rsid w:val="00C73C57"/>
    <w:rsid w:val="00C77806"/>
    <w:rsid w:val="00C80B50"/>
    <w:rsid w:val="00C97D05"/>
    <w:rsid w:val="00CA0952"/>
    <w:rsid w:val="00CA0DCC"/>
    <w:rsid w:val="00CA13C1"/>
    <w:rsid w:val="00CA2BFF"/>
    <w:rsid w:val="00CA686C"/>
    <w:rsid w:val="00CA6E6F"/>
    <w:rsid w:val="00CC1FE2"/>
    <w:rsid w:val="00CC5198"/>
    <w:rsid w:val="00CC7512"/>
    <w:rsid w:val="00CD10C3"/>
    <w:rsid w:val="00CD1F80"/>
    <w:rsid w:val="00CD2484"/>
    <w:rsid w:val="00CD24E7"/>
    <w:rsid w:val="00CF0295"/>
    <w:rsid w:val="00CF70E7"/>
    <w:rsid w:val="00D023DF"/>
    <w:rsid w:val="00D046C3"/>
    <w:rsid w:val="00D05872"/>
    <w:rsid w:val="00D068E7"/>
    <w:rsid w:val="00D0722C"/>
    <w:rsid w:val="00D1098F"/>
    <w:rsid w:val="00D150D4"/>
    <w:rsid w:val="00D2536E"/>
    <w:rsid w:val="00D258B8"/>
    <w:rsid w:val="00D25CEE"/>
    <w:rsid w:val="00D30D56"/>
    <w:rsid w:val="00D32EE1"/>
    <w:rsid w:val="00D356FB"/>
    <w:rsid w:val="00D35C5F"/>
    <w:rsid w:val="00D419E1"/>
    <w:rsid w:val="00D44777"/>
    <w:rsid w:val="00D44CBA"/>
    <w:rsid w:val="00D45041"/>
    <w:rsid w:val="00D504EC"/>
    <w:rsid w:val="00D5088F"/>
    <w:rsid w:val="00D50FF4"/>
    <w:rsid w:val="00D55D29"/>
    <w:rsid w:val="00D6135C"/>
    <w:rsid w:val="00D628F8"/>
    <w:rsid w:val="00D62B5B"/>
    <w:rsid w:val="00D640D8"/>
    <w:rsid w:val="00D65C04"/>
    <w:rsid w:val="00D66D42"/>
    <w:rsid w:val="00D709D7"/>
    <w:rsid w:val="00D75BDD"/>
    <w:rsid w:val="00D765C2"/>
    <w:rsid w:val="00D77243"/>
    <w:rsid w:val="00D875A7"/>
    <w:rsid w:val="00D90C4A"/>
    <w:rsid w:val="00D91289"/>
    <w:rsid w:val="00D9383A"/>
    <w:rsid w:val="00D93A51"/>
    <w:rsid w:val="00D94C53"/>
    <w:rsid w:val="00DB24E1"/>
    <w:rsid w:val="00DB68FE"/>
    <w:rsid w:val="00DC1DC8"/>
    <w:rsid w:val="00DC1F27"/>
    <w:rsid w:val="00DC3497"/>
    <w:rsid w:val="00DC5F88"/>
    <w:rsid w:val="00DD054E"/>
    <w:rsid w:val="00DD1B38"/>
    <w:rsid w:val="00DD7617"/>
    <w:rsid w:val="00DD7BAC"/>
    <w:rsid w:val="00DE09FE"/>
    <w:rsid w:val="00DE0ADB"/>
    <w:rsid w:val="00DE2B4B"/>
    <w:rsid w:val="00DE2E30"/>
    <w:rsid w:val="00DE5915"/>
    <w:rsid w:val="00DF25C7"/>
    <w:rsid w:val="00DF67D0"/>
    <w:rsid w:val="00E03BA0"/>
    <w:rsid w:val="00E04CC1"/>
    <w:rsid w:val="00E067F2"/>
    <w:rsid w:val="00E1101E"/>
    <w:rsid w:val="00E2066A"/>
    <w:rsid w:val="00E21E9E"/>
    <w:rsid w:val="00E22C60"/>
    <w:rsid w:val="00E22EFD"/>
    <w:rsid w:val="00E2317F"/>
    <w:rsid w:val="00E27588"/>
    <w:rsid w:val="00E30481"/>
    <w:rsid w:val="00E36596"/>
    <w:rsid w:val="00E4716A"/>
    <w:rsid w:val="00E50173"/>
    <w:rsid w:val="00E54DF3"/>
    <w:rsid w:val="00E578A9"/>
    <w:rsid w:val="00E62501"/>
    <w:rsid w:val="00E70630"/>
    <w:rsid w:val="00E75482"/>
    <w:rsid w:val="00E808E0"/>
    <w:rsid w:val="00E8760C"/>
    <w:rsid w:val="00E91156"/>
    <w:rsid w:val="00E912F1"/>
    <w:rsid w:val="00E92434"/>
    <w:rsid w:val="00E93AA4"/>
    <w:rsid w:val="00EA0B80"/>
    <w:rsid w:val="00EA0DE7"/>
    <w:rsid w:val="00EA2C84"/>
    <w:rsid w:val="00EC0160"/>
    <w:rsid w:val="00EC03BE"/>
    <w:rsid w:val="00EC0C3C"/>
    <w:rsid w:val="00EC4A58"/>
    <w:rsid w:val="00EC4B50"/>
    <w:rsid w:val="00ED0E56"/>
    <w:rsid w:val="00ED524D"/>
    <w:rsid w:val="00ED7BEC"/>
    <w:rsid w:val="00EE11BB"/>
    <w:rsid w:val="00EE15D0"/>
    <w:rsid w:val="00EE4A2D"/>
    <w:rsid w:val="00EE50BC"/>
    <w:rsid w:val="00F03669"/>
    <w:rsid w:val="00F03F6F"/>
    <w:rsid w:val="00F10304"/>
    <w:rsid w:val="00F10767"/>
    <w:rsid w:val="00F15111"/>
    <w:rsid w:val="00F16315"/>
    <w:rsid w:val="00F16D8D"/>
    <w:rsid w:val="00F21AC9"/>
    <w:rsid w:val="00F21BCF"/>
    <w:rsid w:val="00F23F62"/>
    <w:rsid w:val="00F26D69"/>
    <w:rsid w:val="00F40F33"/>
    <w:rsid w:val="00F41D3F"/>
    <w:rsid w:val="00F434FF"/>
    <w:rsid w:val="00F448C0"/>
    <w:rsid w:val="00F46D56"/>
    <w:rsid w:val="00F471FB"/>
    <w:rsid w:val="00F500CF"/>
    <w:rsid w:val="00F5064E"/>
    <w:rsid w:val="00F56B84"/>
    <w:rsid w:val="00F60C7D"/>
    <w:rsid w:val="00F62D16"/>
    <w:rsid w:val="00F6531E"/>
    <w:rsid w:val="00F654F7"/>
    <w:rsid w:val="00F65A42"/>
    <w:rsid w:val="00F6791E"/>
    <w:rsid w:val="00F75BC4"/>
    <w:rsid w:val="00F779A8"/>
    <w:rsid w:val="00F81EEF"/>
    <w:rsid w:val="00F84C28"/>
    <w:rsid w:val="00F85844"/>
    <w:rsid w:val="00F86EE3"/>
    <w:rsid w:val="00F87FFC"/>
    <w:rsid w:val="00F92942"/>
    <w:rsid w:val="00FA160F"/>
    <w:rsid w:val="00FA335C"/>
    <w:rsid w:val="00FA6C1E"/>
    <w:rsid w:val="00FA7034"/>
    <w:rsid w:val="00FB2C68"/>
    <w:rsid w:val="00FB3455"/>
    <w:rsid w:val="00FB49F2"/>
    <w:rsid w:val="00FB56CC"/>
    <w:rsid w:val="00FC602F"/>
    <w:rsid w:val="00FD50C9"/>
    <w:rsid w:val="00FD5A76"/>
    <w:rsid w:val="00FD5C0B"/>
    <w:rsid w:val="00FD653E"/>
    <w:rsid w:val="00FD76DB"/>
    <w:rsid w:val="00FD7C3A"/>
    <w:rsid w:val="00FE0948"/>
    <w:rsid w:val="00FE4006"/>
    <w:rsid w:val="00FE44B9"/>
    <w:rsid w:val="00FE540C"/>
    <w:rsid w:val="00FE6A31"/>
    <w:rsid w:val="00FF02A3"/>
    <w:rsid w:val="00FF0E4D"/>
    <w:rsid w:val="00FF1FD4"/>
    <w:rsid w:val="00FF25B6"/>
    <w:rsid w:val="00FF736C"/>
    <w:rsid w:val="1B24A6C9"/>
    <w:rsid w:val="1F182B19"/>
    <w:rsid w:val="2E64C6EB"/>
    <w:rsid w:val="35F822E3"/>
    <w:rsid w:val="39EFCA80"/>
    <w:rsid w:val="3E9B364F"/>
    <w:rsid w:val="45722854"/>
    <w:rsid w:val="4576A9CD"/>
    <w:rsid w:val="5803D006"/>
    <w:rsid w:val="5BBB79DD"/>
    <w:rsid w:val="60385398"/>
    <w:rsid w:val="650F2F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450CC"/>
  <w15:chartTrackingRefBased/>
  <w15:docId w15:val="{2005F5A2-CAC6-40A3-9AA3-3A7F2296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7C"/>
    <w:rPr>
      <w:rFonts w:ascii="Verdana" w:hAnsi="Verdana"/>
      <w:sz w:val="20"/>
    </w:rPr>
  </w:style>
  <w:style w:type="paragraph" w:styleId="Heading1">
    <w:name w:val="heading 1"/>
    <w:next w:val="BodyText"/>
    <w:link w:val="Heading1Char"/>
    <w:qFormat/>
    <w:rsid w:val="00D9383A"/>
    <w:pPr>
      <w:keepNext/>
      <w:numPr>
        <w:numId w:val="1"/>
      </w:numPr>
      <w:tabs>
        <w:tab w:val="clear" w:pos="742"/>
        <w:tab w:val="num" w:pos="567"/>
      </w:tabs>
      <w:spacing w:after="240" w:line="240" w:lineRule="auto"/>
      <w:ind w:left="567" w:hanging="567"/>
      <w:outlineLvl w:val="0"/>
    </w:pPr>
    <w:rPr>
      <w:rFonts w:ascii="Verdana" w:eastAsia="Times New Roman" w:hAnsi="Verdana" w:cs="Arial"/>
      <w:b/>
      <w:bCs/>
      <w:kern w:val="32"/>
      <w:sz w:val="24"/>
      <w:szCs w:val="32"/>
      <w:lang w:eastAsia="fi-FI"/>
    </w:rPr>
  </w:style>
  <w:style w:type="paragraph" w:styleId="Heading2">
    <w:name w:val="heading 2"/>
    <w:next w:val="BodyText"/>
    <w:link w:val="Heading2Char"/>
    <w:qFormat/>
    <w:rsid w:val="00AF3E9A"/>
    <w:pPr>
      <w:keepNext/>
      <w:numPr>
        <w:ilvl w:val="1"/>
        <w:numId w:val="1"/>
      </w:numPr>
      <w:spacing w:line="240" w:lineRule="auto"/>
      <w:outlineLvl w:val="1"/>
    </w:pPr>
    <w:rPr>
      <w:rFonts w:ascii="Verdana" w:eastAsia="Times New Roman" w:hAnsi="Verdana" w:cs="Arial"/>
      <w:b/>
      <w:bCs/>
      <w:iCs/>
      <w:szCs w:val="28"/>
      <w:lang w:eastAsia="fi-FI"/>
    </w:rPr>
  </w:style>
  <w:style w:type="paragraph" w:styleId="Heading3">
    <w:name w:val="heading 3"/>
    <w:next w:val="BodyText"/>
    <w:link w:val="Heading3Char"/>
    <w:qFormat/>
    <w:rsid w:val="00AF3E9A"/>
    <w:pPr>
      <w:keepNext/>
      <w:numPr>
        <w:ilvl w:val="2"/>
        <w:numId w:val="1"/>
      </w:numPr>
      <w:tabs>
        <w:tab w:val="clear" w:pos="1142"/>
        <w:tab w:val="num" w:pos="1276"/>
      </w:tabs>
      <w:spacing w:after="120" w:line="240" w:lineRule="auto"/>
      <w:ind w:left="1276" w:hanging="1276"/>
      <w:outlineLvl w:val="2"/>
    </w:pPr>
    <w:rPr>
      <w:rFonts w:ascii="Verdana" w:eastAsia="Times New Roman" w:hAnsi="Verdana" w:cs="Arial"/>
      <w:bCs/>
      <w:sz w:val="20"/>
      <w:szCs w:val="26"/>
      <w:lang w:eastAsia="fi-FI"/>
    </w:rPr>
  </w:style>
  <w:style w:type="paragraph" w:styleId="Heading4">
    <w:name w:val="heading 4"/>
    <w:next w:val="BodyText"/>
    <w:link w:val="Heading4Char"/>
    <w:qFormat/>
    <w:rsid w:val="00AF3E9A"/>
    <w:pPr>
      <w:keepNext/>
      <w:numPr>
        <w:ilvl w:val="3"/>
        <w:numId w:val="1"/>
      </w:numPr>
      <w:tabs>
        <w:tab w:val="clear" w:pos="1342"/>
        <w:tab w:val="num" w:pos="1560"/>
      </w:tabs>
      <w:spacing w:after="0" w:line="240" w:lineRule="auto"/>
      <w:ind w:left="1560" w:hanging="1560"/>
      <w:outlineLvl w:val="3"/>
    </w:pPr>
    <w:rPr>
      <w:rFonts w:ascii="Verdana" w:eastAsia="Times New Roman" w:hAnsi="Verdana" w:cs="Times New Roman"/>
      <w:bCs/>
      <w:sz w:val="20"/>
      <w:szCs w:val="28"/>
      <w:lang w:eastAsia="fi-FI"/>
    </w:rPr>
  </w:style>
  <w:style w:type="paragraph" w:styleId="Heading5">
    <w:name w:val="heading 5"/>
    <w:next w:val="BodyText"/>
    <w:link w:val="Heading5Char"/>
    <w:qFormat/>
    <w:rsid w:val="0040546B"/>
    <w:pPr>
      <w:numPr>
        <w:ilvl w:val="4"/>
        <w:numId w:val="1"/>
      </w:numPr>
      <w:spacing w:after="0" w:line="240" w:lineRule="auto"/>
      <w:outlineLvl w:val="4"/>
    </w:pPr>
    <w:rPr>
      <w:rFonts w:ascii="Verdana" w:eastAsia="Times New Roman" w:hAnsi="Verdana" w:cs="Times New Roman"/>
      <w:bCs/>
      <w:iCs/>
      <w:sz w:val="20"/>
      <w:szCs w:val="26"/>
      <w:lang w:eastAsia="fi-FI"/>
    </w:rPr>
  </w:style>
  <w:style w:type="paragraph" w:styleId="Heading6">
    <w:name w:val="heading 6"/>
    <w:next w:val="BodyText"/>
    <w:link w:val="Heading6Char"/>
    <w:qFormat/>
    <w:rsid w:val="0040546B"/>
    <w:pPr>
      <w:numPr>
        <w:ilvl w:val="5"/>
        <w:numId w:val="1"/>
      </w:numPr>
      <w:spacing w:after="0" w:line="240" w:lineRule="auto"/>
      <w:outlineLvl w:val="5"/>
    </w:pPr>
    <w:rPr>
      <w:rFonts w:ascii="Verdana" w:eastAsia="Times New Roman" w:hAnsi="Verdana" w:cs="Times New Roman"/>
      <w:bCs/>
      <w:sz w:val="20"/>
      <w:lang w:eastAsia="fi-FI"/>
    </w:rPr>
  </w:style>
  <w:style w:type="paragraph" w:styleId="Heading7">
    <w:name w:val="heading 7"/>
    <w:basedOn w:val="Normal"/>
    <w:next w:val="Normal"/>
    <w:link w:val="Heading7Char"/>
    <w:uiPriority w:val="9"/>
    <w:semiHidden/>
    <w:unhideWhenUsed/>
    <w:rsid w:val="00DC349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C349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349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B1593"/>
    <w:pPr>
      <w:tabs>
        <w:tab w:val="center" w:pos="4819"/>
        <w:tab w:val="right" w:pos="9638"/>
      </w:tabs>
      <w:spacing w:after="0" w:line="240" w:lineRule="auto"/>
    </w:pPr>
  </w:style>
  <w:style w:type="character" w:customStyle="1" w:styleId="HeaderChar">
    <w:name w:val="Header Char"/>
    <w:basedOn w:val="DefaultParagraphFont"/>
    <w:link w:val="Header"/>
    <w:rsid w:val="00FC602F"/>
    <w:rPr>
      <w:rFonts w:ascii="Verdana" w:hAnsi="Verdana"/>
      <w:sz w:val="20"/>
    </w:rPr>
  </w:style>
  <w:style w:type="paragraph" w:styleId="Footer">
    <w:name w:val="footer"/>
    <w:basedOn w:val="Normal"/>
    <w:link w:val="FooterChar"/>
    <w:uiPriority w:val="99"/>
    <w:rsid w:val="003C769A"/>
    <w:pPr>
      <w:tabs>
        <w:tab w:val="center" w:pos="4819"/>
        <w:tab w:val="right" w:pos="9638"/>
      </w:tabs>
      <w:spacing w:after="0" w:line="240" w:lineRule="auto"/>
    </w:pPr>
    <w:rPr>
      <w:sz w:val="16"/>
    </w:rPr>
  </w:style>
  <w:style w:type="character" w:customStyle="1" w:styleId="FooterChar">
    <w:name w:val="Footer Char"/>
    <w:basedOn w:val="DefaultParagraphFont"/>
    <w:link w:val="Footer"/>
    <w:uiPriority w:val="99"/>
    <w:rsid w:val="003C769A"/>
    <w:rPr>
      <w:rFonts w:ascii="Verdana" w:hAnsi="Verdana"/>
      <w:sz w:val="16"/>
    </w:rPr>
  </w:style>
  <w:style w:type="character" w:styleId="PageNumber">
    <w:name w:val="page number"/>
    <w:semiHidden/>
    <w:rsid w:val="00E578A9"/>
    <w:rPr>
      <w:rFonts w:ascii="Verdana" w:hAnsi="Verdana"/>
      <w:sz w:val="18"/>
    </w:rPr>
  </w:style>
  <w:style w:type="character" w:customStyle="1" w:styleId="Heading1Char">
    <w:name w:val="Heading 1 Char"/>
    <w:basedOn w:val="DefaultParagraphFont"/>
    <w:link w:val="Heading1"/>
    <w:rsid w:val="00D9383A"/>
    <w:rPr>
      <w:rFonts w:ascii="Verdana" w:eastAsia="Times New Roman" w:hAnsi="Verdana" w:cs="Arial"/>
      <w:b/>
      <w:bCs/>
      <w:kern w:val="32"/>
      <w:sz w:val="24"/>
      <w:szCs w:val="32"/>
      <w:lang w:eastAsia="fi-FI"/>
    </w:rPr>
  </w:style>
  <w:style w:type="character" w:customStyle="1" w:styleId="Heading2Char">
    <w:name w:val="Heading 2 Char"/>
    <w:basedOn w:val="DefaultParagraphFont"/>
    <w:link w:val="Heading2"/>
    <w:rsid w:val="00AF3E9A"/>
    <w:rPr>
      <w:rFonts w:ascii="Verdana" w:eastAsia="Times New Roman" w:hAnsi="Verdana" w:cs="Arial"/>
      <w:b/>
      <w:bCs/>
      <w:iCs/>
      <w:szCs w:val="28"/>
      <w:lang w:eastAsia="fi-FI"/>
    </w:rPr>
  </w:style>
  <w:style w:type="character" w:customStyle="1" w:styleId="Heading3Char">
    <w:name w:val="Heading 3 Char"/>
    <w:basedOn w:val="DefaultParagraphFont"/>
    <w:link w:val="Heading3"/>
    <w:rsid w:val="00AF3E9A"/>
    <w:rPr>
      <w:rFonts w:ascii="Verdana" w:eastAsia="Times New Roman" w:hAnsi="Verdana" w:cs="Arial"/>
      <w:bCs/>
      <w:sz w:val="20"/>
      <w:szCs w:val="26"/>
      <w:lang w:eastAsia="fi-FI"/>
    </w:rPr>
  </w:style>
  <w:style w:type="character" w:customStyle="1" w:styleId="Heading4Char">
    <w:name w:val="Heading 4 Char"/>
    <w:basedOn w:val="DefaultParagraphFont"/>
    <w:link w:val="Heading4"/>
    <w:rsid w:val="00AF3E9A"/>
    <w:rPr>
      <w:rFonts w:ascii="Verdana" w:eastAsia="Times New Roman" w:hAnsi="Verdana" w:cs="Times New Roman"/>
      <w:bCs/>
      <w:sz w:val="20"/>
      <w:szCs w:val="28"/>
      <w:lang w:eastAsia="fi-FI"/>
    </w:rPr>
  </w:style>
  <w:style w:type="character" w:customStyle="1" w:styleId="Heading5Char">
    <w:name w:val="Heading 5 Char"/>
    <w:basedOn w:val="DefaultParagraphFont"/>
    <w:link w:val="Heading5"/>
    <w:rsid w:val="0040546B"/>
    <w:rPr>
      <w:rFonts w:ascii="Verdana" w:eastAsia="Times New Roman" w:hAnsi="Verdana" w:cs="Times New Roman"/>
      <w:bCs/>
      <w:iCs/>
      <w:sz w:val="20"/>
      <w:szCs w:val="26"/>
      <w:lang w:eastAsia="fi-FI"/>
    </w:rPr>
  </w:style>
  <w:style w:type="character" w:customStyle="1" w:styleId="Heading6Char">
    <w:name w:val="Heading 6 Char"/>
    <w:basedOn w:val="DefaultParagraphFont"/>
    <w:link w:val="Heading6"/>
    <w:rsid w:val="0040546B"/>
    <w:rPr>
      <w:rFonts w:ascii="Verdana" w:eastAsia="Times New Roman" w:hAnsi="Verdana" w:cs="Times New Roman"/>
      <w:bCs/>
      <w:sz w:val="20"/>
      <w:lang w:eastAsia="fi-FI"/>
    </w:rPr>
  </w:style>
  <w:style w:type="paragraph" w:customStyle="1" w:styleId="TrafiAsiaotsikko">
    <w:name w:val="Trafi_Asiaotsikko"/>
    <w:next w:val="Normal"/>
    <w:semiHidden/>
    <w:qFormat/>
    <w:rsid w:val="00A720FE"/>
    <w:pPr>
      <w:spacing w:after="360" w:line="240" w:lineRule="auto"/>
    </w:pPr>
    <w:rPr>
      <w:rFonts w:ascii="Verdana" w:eastAsia="Times New Roman" w:hAnsi="Verdana" w:cs="Times New Roman"/>
      <w:b/>
      <w:sz w:val="24"/>
      <w:szCs w:val="24"/>
      <w:lang w:eastAsia="fi-FI"/>
    </w:rPr>
  </w:style>
  <w:style w:type="paragraph" w:styleId="BodyText">
    <w:name w:val="Body Text"/>
    <w:basedOn w:val="Normal"/>
    <w:link w:val="BodyTextChar"/>
    <w:uiPriority w:val="99"/>
    <w:qFormat/>
    <w:rsid w:val="00BE77BB"/>
    <w:pPr>
      <w:spacing w:before="120" w:after="240" w:line="240" w:lineRule="auto"/>
      <w:ind w:left="1134"/>
    </w:pPr>
    <w:rPr>
      <w:rFonts w:eastAsia="Times New Roman" w:cs="Times New Roman"/>
      <w:szCs w:val="24"/>
      <w:lang w:eastAsia="fi-FI"/>
    </w:rPr>
  </w:style>
  <w:style w:type="character" w:customStyle="1" w:styleId="BodyTextChar">
    <w:name w:val="Body Text Char"/>
    <w:basedOn w:val="DefaultParagraphFont"/>
    <w:link w:val="BodyText"/>
    <w:uiPriority w:val="99"/>
    <w:rsid w:val="00FC602F"/>
    <w:rPr>
      <w:rFonts w:ascii="Verdana" w:eastAsia="Times New Roman" w:hAnsi="Verdana" w:cs="Times New Roman"/>
      <w:sz w:val="20"/>
      <w:szCs w:val="24"/>
      <w:lang w:eastAsia="fi-FI"/>
    </w:rPr>
  </w:style>
  <w:style w:type="paragraph" w:styleId="List">
    <w:name w:val="List"/>
    <w:basedOn w:val="Normal"/>
    <w:uiPriority w:val="99"/>
    <w:rsid w:val="00ED524D"/>
    <w:pPr>
      <w:numPr>
        <w:numId w:val="15"/>
      </w:numPr>
      <w:tabs>
        <w:tab w:val="left" w:pos="1418"/>
      </w:tabs>
      <w:spacing w:before="60" w:after="60" w:line="240" w:lineRule="auto"/>
    </w:pPr>
    <w:rPr>
      <w:rFonts w:eastAsia="Times New Roman" w:cs="Times New Roman"/>
      <w:szCs w:val="24"/>
      <w:lang w:eastAsia="fi-FI"/>
    </w:rPr>
  </w:style>
  <w:style w:type="paragraph" w:styleId="ListNumber">
    <w:name w:val="List Number"/>
    <w:basedOn w:val="Normal"/>
    <w:uiPriority w:val="99"/>
    <w:qFormat/>
    <w:rsid w:val="00BC7ACB"/>
    <w:pPr>
      <w:numPr>
        <w:numId w:val="8"/>
      </w:numPr>
      <w:tabs>
        <w:tab w:val="clear" w:pos="360"/>
        <w:tab w:val="num" w:pos="1560"/>
      </w:tabs>
      <w:spacing w:before="60" w:after="60" w:line="240" w:lineRule="auto"/>
      <w:ind w:left="1560" w:hanging="426"/>
    </w:pPr>
  </w:style>
  <w:style w:type="paragraph" w:styleId="Signature">
    <w:name w:val="Signature"/>
    <w:basedOn w:val="Normal"/>
    <w:link w:val="SignatureChar"/>
    <w:uiPriority w:val="99"/>
    <w:rsid w:val="006728BE"/>
    <w:pPr>
      <w:spacing w:after="0" w:line="240" w:lineRule="auto"/>
      <w:ind w:left="1134"/>
    </w:pPr>
  </w:style>
  <w:style w:type="paragraph" w:styleId="TOCHeading">
    <w:name w:val="TOC Heading"/>
    <w:basedOn w:val="Heading1"/>
    <w:next w:val="Normal"/>
    <w:uiPriority w:val="39"/>
    <w:unhideWhenUsed/>
    <w:qFormat/>
    <w:rsid w:val="00DD1B38"/>
    <w:pPr>
      <w:keepLines/>
      <w:numPr>
        <w:numId w:val="0"/>
      </w:numPr>
      <w:tabs>
        <w:tab w:val="num" w:pos="742"/>
      </w:tabs>
      <w:spacing w:before="240" w:line="259" w:lineRule="auto"/>
      <w:outlineLvl w:val="9"/>
    </w:pPr>
    <w:rPr>
      <w:rFonts w:eastAsiaTheme="majorEastAsia" w:cstheme="majorBidi"/>
      <w:b w:val="0"/>
      <w:bCs w:val="0"/>
      <w:kern w:val="0"/>
    </w:rPr>
  </w:style>
  <w:style w:type="paragraph" w:styleId="TOC1">
    <w:name w:val="toc 1"/>
    <w:basedOn w:val="Normal"/>
    <w:next w:val="Normal"/>
    <w:autoRedefine/>
    <w:uiPriority w:val="39"/>
    <w:unhideWhenUsed/>
    <w:rsid w:val="0021377D"/>
    <w:pPr>
      <w:tabs>
        <w:tab w:val="left" w:pos="426"/>
        <w:tab w:val="left" w:pos="1560"/>
        <w:tab w:val="right" w:leader="dot" w:pos="9639"/>
      </w:tabs>
      <w:spacing w:after="100"/>
      <w:ind w:left="426" w:hanging="426"/>
    </w:pPr>
    <w:rPr>
      <w:noProof/>
    </w:rPr>
  </w:style>
  <w:style w:type="paragraph" w:styleId="TOC2">
    <w:name w:val="toc 2"/>
    <w:basedOn w:val="Normal"/>
    <w:next w:val="Normal"/>
    <w:autoRedefine/>
    <w:uiPriority w:val="39"/>
    <w:unhideWhenUsed/>
    <w:rsid w:val="00B31ED1"/>
    <w:pPr>
      <w:tabs>
        <w:tab w:val="left" w:pos="1134"/>
        <w:tab w:val="right" w:leader="dot" w:pos="9639"/>
      </w:tabs>
      <w:spacing w:after="100"/>
      <w:ind w:left="1134" w:hanging="708"/>
    </w:pPr>
  </w:style>
  <w:style w:type="paragraph" w:styleId="TOC3">
    <w:name w:val="toc 3"/>
    <w:basedOn w:val="Normal"/>
    <w:next w:val="Normal"/>
    <w:autoRedefine/>
    <w:uiPriority w:val="39"/>
    <w:unhideWhenUsed/>
    <w:rsid w:val="00B31ED1"/>
    <w:pPr>
      <w:tabs>
        <w:tab w:val="left" w:pos="1276"/>
        <w:tab w:val="right" w:leader="dot" w:pos="9639"/>
      </w:tabs>
      <w:spacing w:after="100"/>
      <w:ind w:left="1276" w:hanging="850"/>
    </w:pPr>
  </w:style>
  <w:style w:type="character" w:styleId="Hyperlink">
    <w:name w:val="Hyperlink"/>
    <w:basedOn w:val="DefaultParagraphFont"/>
    <w:uiPriority w:val="99"/>
    <w:unhideWhenUsed/>
    <w:rsid w:val="00DD1B38"/>
    <w:rPr>
      <w:color w:val="0563C1" w:themeColor="hyperlink"/>
      <w:u w:val="single"/>
    </w:rPr>
  </w:style>
  <w:style w:type="character" w:customStyle="1" w:styleId="SignatureChar">
    <w:name w:val="Signature Char"/>
    <w:basedOn w:val="DefaultParagraphFont"/>
    <w:link w:val="Signature"/>
    <w:uiPriority w:val="99"/>
    <w:rsid w:val="006728BE"/>
    <w:rPr>
      <w:rFonts w:ascii="Verdana" w:hAnsi="Verdana"/>
      <w:sz w:val="20"/>
    </w:rPr>
  </w:style>
  <w:style w:type="paragraph" w:styleId="Caption">
    <w:name w:val="caption"/>
    <w:basedOn w:val="BodyText"/>
    <w:next w:val="BodyText"/>
    <w:link w:val="CaptionChar"/>
    <w:uiPriority w:val="35"/>
    <w:unhideWhenUsed/>
    <w:qFormat/>
    <w:rsid w:val="00A63542"/>
    <w:pPr>
      <w:numPr>
        <w:numId w:val="16"/>
      </w:numPr>
      <w:tabs>
        <w:tab w:val="left" w:pos="2127"/>
      </w:tabs>
      <w:spacing w:after="120"/>
      <w:ind w:left="1134" w:firstLine="0"/>
    </w:pPr>
    <w:rPr>
      <w:i/>
    </w:rPr>
  </w:style>
  <w:style w:type="paragraph" w:styleId="TableofFigures">
    <w:name w:val="table of figures"/>
    <w:basedOn w:val="Normal"/>
    <w:next w:val="Normal"/>
    <w:uiPriority w:val="99"/>
    <w:unhideWhenUsed/>
    <w:rsid w:val="00BD4C72"/>
    <w:pPr>
      <w:tabs>
        <w:tab w:val="right" w:pos="992"/>
        <w:tab w:val="right" w:leader="dot" w:pos="9639"/>
      </w:tabs>
      <w:spacing w:after="0"/>
      <w:ind w:left="1417" w:hanging="992"/>
    </w:pPr>
    <w:rPr>
      <w:i/>
    </w:rPr>
  </w:style>
  <w:style w:type="paragraph" w:styleId="IndexHeading">
    <w:name w:val="index heading"/>
    <w:basedOn w:val="Normal"/>
    <w:next w:val="Normal"/>
    <w:uiPriority w:val="99"/>
    <w:unhideWhenUsed/>
    <w:rsid w:val="00913805"/>
    <w:pPr>
      <w:spacing w:before="120" w:after="240" w:line="240" w:lineRule="auto"/>
      <w:ind w:left="1134"/>
    </w:pPr>
    <w:rPr>
      <w:rFonts w:eastAsia="Times New Roman" w:cs="Times New Roman"/>
      <w:i/>
      <w:szCs w:val="24"/>
      <w:lang w:eastAsia="fi-FI"/>
    </w:rPr>
  </w:style>
  <w:style w:type="paragraph" w:customStyle="1" w:styleId="Liiteotsikko">
    <w:name w:val="Liiteotsikko"/>
    <w:basedOn w:val="Taulukko-otsikko"/>
    <w:link w:val="LiiteotsikkoChar"/>
    <w:qFormat/>
    <w:rsid w:val="00A63542"/>
    <w:pPr>
      <w:numPr>
        <w:numId w:val="21"/>
      </w:numPr>
      <w:tabs>
        <w:tab w:val="clear" w:pos="2552"/>
        <w:tab w:val="left" w:pos="993"/>
      </w:tabs>
      <w:ind w:left="993" w:hanging="993"/>
    </w:pPr>
    <w:rPr>
      <w:b/>
      <w:i w:val="0"/>
    </w:rPr>
  </w:style>
  <w:style w:type="paragraph" w:styleId="ListParagraph">
    <w:name w:val="List Paragraph"/>
    <w:basedOn w:val="Normal"/>
    <w:uiPriority w:val="34"/>
    <w:qFormat/>
    <w:rsid w:val="00ED524D"/>
    <w:pPr>
      <w:ind w:left="720"/>
      <w:contextualSpacing/>
    </w:pPr>
  </w:style>
  <w:style w:type="character" w:customStyle="1" w:styleId="LiiteotsikkoChar">
    <w:name w:val="Liiteotsikko Char"/>
    <w:basedOn w:val="DefaultParagraphFont"/>
    <w:link w:val="Liiteotsikko"/>
    <w:rsid w:val="00A63542"/>
    <w:rPr>
      <w:rFonts w:ascii="Verdana" w:eastAsia="Times New Roman" w:hAnsi="Verdana" w:cs="Times New Roman"/>
      <w:b/>
      <w:sz w:val="20"/>
      <w:szCs w:val="24"/>
      <w:lang w:eastAsia="fi-FI"/>
    </w:rPr>
  </w:style>
  <w:style w:type="paragraph" w:customStyle="1" w:styleId="Taulukko-otsikko">
    <w:name w:val="Taulukko-otsikko"/>
    <w:basedOn w:val="Caption"/>
    <w:link w:val="Taulukko-otsikkoChar"/>
    <w:qFormat/>
    <w:rsid w:val="00BE7E2C"/>
    <w:pPr>
      <w:numPr>
        <w:numId w:val="20"/>
      </w:numPr>
      <w:tabs>
        <w:tab w:val="clear" w:pos="2127"/>
        <w:tab w:val="left" w:pos="2552"/>
      </w:tabs>
      <w:ind w:left="1134" w:firstLine="0"/>
    </w:pPr>
  </w:style>
  <w:style w:type="character" w:customStyle="1" w:styleId="CaptionChar">
    <w:name w:val="Caption Char"/>
    <w:basedOn w:val="BodyTextChar"/>
    <w:link w:val="Caption"/>
    <w:uiPriority w:val="35"/>
    <w:rsid w:val="00A63542"/>
    <w:rPr>
      <w:rFonts w:ascii="Verdana" w:eastAsia="Times New Roman" w:hAnsi="Verdana" w:cs="Times New Roman"/>
      <w:i/>
      <w:sz w:val="20"/>
      <w:szCs w:val="24"/>
      <w:lang w:eastAsia="fi-FI"/>
    </w:rPr>
  </w:style>
  <w:style w:type="character" w:customStyle="1" w:styleId="Taulukko-otsikkoChar">
    <w:name w:val="Taulukko-otsikko Char"/>
    <w:basedOn w:val="CaptionChar"/>
    <w:link w:val="Taulukko-otsikko"/>
    <w:rsid w:val="00BE7E2C"/>
    <w:rPr>
      <w:rFonts w:ascii="Verdana" w:eastAsia="Times New Roman" w:hAnsi="Verdana" w:cs="Times New Roman"/>
      <w:i/>
      <w:sz w:val="20"/>
      <w:szCs w:val="24"/>
      <w:lang w:eastAsia="fi-FI"/>
    </w:rPr>
  </w:style>
  <w:style w:type="character" w:customStyle="1" w:styleId="Heading9Char">
    <w:name w:val="Heading 9 Char"/>
    <w:basedOn w:val="DefaultParagraphFont"/>
    <w:link w:val="Heading9"/>
    <w:uiPriority w:val="9"/>
    <w:semiHidden/>
    <w:rsid w:val="00DC3497"/>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DC3497"/>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DC3497"/>
    <w:rPr>
      <w:rFonts w:asciiTheme="majorHAnsi" w:eastAsiaTheme="majorEastAsia" w:hAnsiTheme="majorHAnsi" w:cstheme="majorBidi"/>
      <w:i/>
      <w:iCs/>
      <w:color w:val="1F4D78" w:themeColor="accent1" w:themeShade="7F"/>
      <w:sz w:val="20"/>
    </w:rPr>
  </w:style>
  <w:style w:type="character" w:styleId="CommentReference">
    <w:name w:val="annotation reference"/>
    <w:basedOn w:val="DefaultParagraphFont"/>
    <w:uiPriority w:val="99"/>
    <w:semiHidden/>
    <w:unhideWhenUsed/>
    <w:rsid w:val="00B357E0"/>
    <w:rPr>
      <w:sz w:val="16"/>
      <w:szCs w:val="16"/>
    </w:rPr>
  </w:style>
  <w:style w:type="paragraph" w:styleId="CommentText">
    <w:name w:val="annotation text"/>
    <w:basedOn w:val="Normal"/>
    <w:link w:val="CommentTextChar"/>
    <w:uiPriority w:val="99"/>
    <w:unhideWhenUsed/>
    <w:rsid w:val="00B357E0"/>
    <w:pPr>
      <w:spacing w:line="240" w:lineRule="auto"/>
    </w:pPr>
    <w:rPr>
      <w:szCs w:val="20"/>
    </w:rPr>
  </w:style>
  <w:style w:type="character" w:customStyle="1" w:styleId="CommentTextChar">
    <w:name w:val="Comment Text Char"/>
    <w:basedOn w:val="DefaultParagraphFont"/>
    <w:link w:val="CommentText"/>
    <w:uiPriority w:val="99"/>
    <w:rsid w:val="00B357E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357E0"/>
    <w:rPr>
      <w:b/>
      <w:bCs/>
    </w:rPr>
  </w:style>
  <w:style w:type="character" w:customStyle="1" w:styleId="CommentSubjectChar">
    <w:name w:val="Comment Subject Char"/>
    <w:basedOn w:val="CommentTextChar"/>
    <w:link w:val="CommentSubject"/>
    <w:uiPriority w:val="99"/>
    <w:semiHidden/>
    <w:rsid w:val="00B357E0"/>
    <w:rPr>
      <w:rFonts w:ascii="Verdana" w:hAnsi="Verdana"/>
      <w:b/>
      <w:bCs/>
      <w:sz w:val="20"/>
      <w:szCs w:val="20"/>
    </w:rPr>
  </w:style>
  <w:style w:type="paragraph" w:styleId="BalloonText">
    <w:name w:val="Balloon Text"/>
    <w:basedOn w:val="Normal"/>
    <w:link w:val="BalloonTextChar"/>
    <w:uiPriority w:val="99"/>
    <w:semiHidden/>
    <w:unhideWhenUsed/>
    <w:rsid w:val="00B35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7E0"/>
    <w:rPr>
      <w:rFonts w:ascii="Segoe UI" w:hAnsi="Segoe UI" w:cs="Segoe UI"/>
      <w:sz w:val="18"/>
      <w:szCs w:val="18"/>
    </w:rPr>
  </w:style>
  <w:style w:type="paragraph" w:customStyle="1" w:styleId="Default">
    <w:name w:val="Default"/>
    <w:rsid w:val="00327422"/>
    <w:pPr>
      <w:autoSpaceDE w:val="0"/>
      <w:autoSpaceDN w:val="0"/>
      <w:adjustRightInd w:val="0"/>
      <w:spacing w:after="0" w:line="240" w:lineRule="auto"/>
    </w:pPr>
    <w:rPr>
      <w:rFonts w:ascii="Verdana" w:hAnsi="Verdana" w:cs="Verdana"/>
      <w:color w:val="000000"/>
      <w:sz w:val="24"/>
      <w:szCs w:val="24"/>
    </w:rPr>
  </w:style>
  <w:style w:type="paragraph" w:customStyle="1" w:styleId="LLPerustelujenkappalejako">
    <w:name w:val="LLPerustelujenkappalejako"/>
    <w:rsid w:val="00F21BCF"/>
    <w:pPr>
      <w:spacing w:after="220" w:line="220" w:lineRule="exact"/>
      <w:jc w:val="both"/>
    </w:pPr>
    <w:rPr>
      <w:rFonts w:ascii="Times New Roman" w:eastAsia="Times New Roman" w:hAnsi="Times New Roman" w:cs="Times New Roman"/>
      <w:szCs w:val="24"/>
      <w:lang w:eastAsia="fi-FI"/>
    </w:rPr>
  </w:style>
  <w:style w:type="paragraph" w:styleId="Revision">
    <w:name w:val="Revision"/>
    <w:hidden/>
    <w:uiPriority w:val="99"/>
    <w:semiHidden/>
    <w:rsid w:val="0084625E"/>
    <w:pPr>
      <w:spacing w:after="0" w:line="240" w:lineRule="auto"/>
    </w:pPr>
    <w:rPr>
      <w:rFonts w:ascii="Verdana" w:hAnsi="Verdana"/>
      <w:sz w:val="20"/>
    </w:rPr>
  </w:style>
  <w:style w:type="paragraph" w:customStyle="1" w:styleId="LLMomentinJohdantoKappale">
    <w:name w:val="LLMomentinJohdantoKappale"/>
    <w:basedOn w:val="Normal"/>
    <w:next w:val="LLMomentinKohta"/>
    <w:rsid w:val="0084625E"/>
    <w:pPr>
      <w:spacing w:after="0" w:line="220" w:lineRule="exact"/>
      <w:ind w:firstLine="170"/>
      <w:jc w:val="both"/>
    </w:pPr>
    <w:rPr>
      <w:rFonts w:ascii="Times New Roman" w:eastAsia="Times New Roman" w:hAnsi="Times New Roman" w:cs="Times New Roman"/>
      <w:sz w:val="22"/>
      <w:szCs w:val="24"/>
      <w:lang w:eastAsia="fi-FI"/>
    </w:rPr>
  </w:style>
  <w:style w:type="paragraph" w:customStyle="1" w:styleId="LLMomentinKohta">
    <w:name w:val="LLMomentinKohta"/>
    <w:rsid w:val="0084625E"/>
    <w:pPr>
      <w:spacing w:after="0" w:line="220" w:lineRule="exact"/>
      <w:ind w:firstLine="170"/>
      <w:jc w:val="both"/>
    </w:pPr>
    <w:rPr>
      <w:rFonts w:ascii="Times New Roman" w:eastAsia="Times New Roman" w:hAnsi="Times New Roman" w:cs="Times New Roman"/>
      <w:szCs w:val="24"/>
      <w:lang w:eastAsia="fi-FI"/>
    </w:rPr>
  </w:style>
  <w:style w:type="character" w:styleId="FollowedHyperlink">
    <w:name w:val="FollowedHyperlink"/>
    <w:basedOn w:val="DefaultParagraphFont"/>
    <w:uiPriority w:val="99"/>
    <w:semiHidden/>
    <w:unhideWhenUsed/>
    <w:rsid w:val="006410E1"/>
    <w:rPr>
      <w:color w:val="954F72" w:themeColor="followedHyperlink"/>
      <w:u w:val="single"/>
    </w:rPr>
  </w:style>
  <w:style w:type="paragraph" w:customStyle="1" w:styleId="Fichefinanciretextetable">
    <w:name w:val="Fiche financière texte (table)"/>
    <w:basedOn w:val="Normal"/>
    <w:rsid w:val="006410E1"/>
    <w:pPr>
      <w:spacing w:after="0" w:line="240" w:lineRule="auto"/>
    </w:pPr>
    <w:rPr>
      <w:rFonts w:ascii="Times New Roman" w:eastAsia="Times New Roman" w:hAnsi="Times New Roman" w:cs="Times New Roman"/>
      <w:szCs w:val="20"/>
      <w:lang w:eastAsia="fi-FI"/>
    </w:rPr>
  </w:style>
  <w:style w:type="paragraph" w:styleId="EndnoteText">
    <w:name w:val="endnote text"/>
    <w:basedOn w:val="Normal"/>
    <w:link w:val="EndnoteTextChar"/>
    <w:rsid w:val="006410E1"/>
    <w:pPr>
      <w:spacing w:after="0" w:line="240" w:lineRule="auto"/>
    </w:pPr>
    <w:rPr>
      <w:rFonts w:ascii="Times New Roman" w:eastAsia="Times New Roman" w:hAnsi="Times New Roman" w:cs="Times New Roman"/>
      <w:szCs w:val="20"/>
    </w:rPr>
  </w:style>
  <w:style w:type="character" w:customStyle="1" w:styleId="EndnoteTextChar">
    <w:name w:val="Endnote Text Char"/>
    <w:basedOn w:val="DefaultParagraphFont"/>
    <w:link w:val="EndnoteText"/>
    <w:rsid w:val="006410E1"/>
    <w:rPr>
      <w:rFonts w:ascii="Times New Roman" w:eastAsia="Times New Roman" w:hAnsi="Times New Roman" w:cs="Times New Roman"/>
      <w:sz w:val="20"/>
      <w:szCs w:val="20"/>
    </w:rPr>
  </w:style>
  <w:style w:type="character" w:styleId="EndnoteReference">
    <w:name w:val="endnote reference"/>
    <w:rsid w:val="006410E1"/>
    <w:rPr>
      <w:vertAlign w:val="superscript"/>
    </w:rPr>
  </w:style>
  <w:style w:type="paragraph" w:styleId="FootnoteText">
    <w:name w:val="footnote text"/>
    <w:basedOn w:val="Normal"/>
    <w:link w:val="FootnoteTextChar"/>
    <w:uiPriority w:val="99"/>
    <w:semiHidden/>
    <w:unhideWhenUsed/>
    <w:rsid w:val="009E48B4"/>
    <w:pPr>
      <w:spacing w:after="0" w:line="240" w:lineRule="auto"/>
    </w:pPr>
    <w:rPr>
      <w:szCs w:val="20"/>
    </w:rPr>
  </w:style>
  <w:style w:type="character" w:customStyle="1" w:styleId="FootnoteTextChar">
    <w:name w:val="Footnote Text Char"/>
    <w:basedOn w:val="DefaultParagraphFont"/>
    <w:link w:val="FootnoteText"/>
    <w:uiPriority w:val="99"/>
    <w:semiHidden/>
    <w:rsid w:val="009E48B4"/>
    <w:rPr>
      <w:rFonts w:ascii="Verdana" w:hAnsi="Verdana"/>
      <w:sz w:val="20"/>
      <w:szCs w:val="20"/>
    </w:rPr>
  </w:style>
  <w:style w:type="character" w:styleId="FootnoteReference">
    <w:name w:val="footnote reference"/>
    <w:basedOn w:val="DefaultParagraphFont"/>
    <w:uiPriority w:val="99"/>
    <w:semiHidden/>
    <w:unhideWhenUsed/>
    <w:rsid w:val="009E48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02440">
      <w:bodyDiv w:val="1"/>
      <w:marLeft w:val="0"/>
      <w:marRight w:val="0"/>
      <w:marTop w:val="0"/>
      <w:marBottom w:val="0"/>
      <w:divBdr>
        <w:top w:val="none" w:sz="0" w:space="0" w:color="auto"/>
        <w:left w:val="none" w:sz="0" w:space="0" w:color="auto"/>
        <w:bottom w:val="none" w:sz="0" w:space="0" w:color="auto"/>
        <w:right w:val="none" w:sz="0" w:space="0" w:color="auto"/>
      </w:divBdr>
    </w:div>
    <w:div w:id="496655212">
      <w:bodyDiv w:val="1"/>
      <w:marLeft w:val="0"/>
      <w:marRight w:val="0"/>
      <w:marTop w:val="0"/>
      <w:marBottom w:val="0"/>
      <w:divBdr>
        <w:top w:val="none" w:sz="0" w:space="0" w:color="auto"/>
        <w:left w:val="none" w:sz="0" w:space="0" w:color="auto"/>
        <w:bottom w:val="none" w:sz="0" w:space="0" w:color="auto"/>
        <w:right w:val="none" w:sz="0" w:space="0" w:color="auto"/>
      </w:divBdr>
    </w:div>
    <w:div w:id="726419557">
      <w:bodyDiv w:val="1"/>
      <w:marLeft w:val="0"/>
      <w:marRight w:val="0"/>
      <w:marTop w:val="0"/>
      <w:marBottom w:val="0"/>
      <w:divBdr>
        <w:top w:val="none" w:sz="0" w:space="0" w:color="auto"/>
        <w:left w:val="none" w:sz="0" w:space="0" w:color="auto"/>
        <w:bottom w:val="none" w:sz="0" w:space="0" w:color="auto"/>
        <w:right w:val="none" w:sz="0" w:space="0" w:color="auto"/>
      </w:divBdr>
    </w:div>
    <w:div w:id="986979143">
      <w:bodyDiv w:val="1"/>
      <w:marLeft w:val="0"/>
      <w:marRight w:val="0"/>
      <w:marTop w:val="0"/>
      <w:marBottom w:val="0"/>
      <w:divBdr>
        <w:top w:val="none" w:sz="0" w:space="0" w:color="auto"/>
        <w:left w:val="none" w:sz="0" w:space="0" w:color="auto"/>
        <w:bottom w:val="none" w:sz="0" w:space="0" w:color="auto"/>
        <w:right w:val="none" w:sz="0" w:space="0" w:color="auto"/>
      </w:divBdr>
    </w:div>
    <w:div w:id="1229801867">
      <w:bodyDiv w:val="1"/>
      <w:marLeft w:val="0"/>
      <w:marRight w:val="0"/>
      <w:marTop w:val="0"/>
      <w:marBottom w:val="0"/>
      <w:divBdr>
        <w:top w:val="none" w:sz="0" w:space="0" w:color="auto"/>
        <w:left w:val="none" w:sz="0" w:space="0" w:color="auto"/>
        <w:bottom w:val="none" w:sz="0" w:space="0" w:color="auto"/>
        <w:right w:val="none" w:sz="0" w:space="0" w:color="auto"/>
      </w:divBdr>
    </w:div>
    <w:div w:id="1238440910">
      <w:bodyDiv w:val="1"/>
      <w:marLeft w:val="0"/>
      <w:marRight w:val="0"/>
      <w:marTop w:val="0"/>
      <w:marBottom w:val="0"/>
      <w:divBdr>
        <w:top w:val="none" w:sz="0" w:space="0" w:color="auto"/>
        <w:left w:val="none" w:sz="0" w:space="0" w:color="auto"/>
        <w:bottom w:val="none" w:sz="0" w:space="0" w:color="auto"/>
        <w:right w:val="none" w:sz="0" w:space="0" w:color="auto"/>
      </w:divBdr>
    </w:div>
    <w:div w:id="1283685100">
      <w:bodyDiv w:val="1"/>
      <w:marLeft w:val="0"/>
      <w:marRight w:val="0"/>
      <w:marTop w:val="0"/>
      <w:marBottom w:val="0"/>
      <w:divBdr>
        <w:top w:val="none" w:sz="0" w:space="0" w:color="auto"/>
        <w:left w:val="none" w:sz="0" w:space="0" w:color="auto"/>
        <w:bottom w:val="none" w:sz="0" w:space="0" w:color="auto"/>
        <w:right w:val="none" w:sz="0" w:space="0" w:color="auto"/>
      </w:divBdr>
      <w:divsChild>
        <w:div w:id="606500364">
          <w:marLeft w:val="0"/>
          <w:marRight w:val="0"/>
          <w:marTop w:val="0"/>
          <w:marBottom w:val="0"/>
          <w:divBdr>
            <w:top w:val="none" w:sz="0" w:space="0" w:color="auto"/>
            <w:left w:val="none" w:sz="0" w:space="0" w:color="auto"/>
            <w:bottom w:val="none" w:sz="0" w:space="0" w:color="auto"/>
            <w:right w:val="none" w:sz="0" w:space="0" w:color="auto"/>
          </w:divBdr>
          <w:divsChild>
            <w:div w:id="183324582">
              <w:marLeft w:val="0"/>
              <w:marRight w:val="0"/>
              <w:marTop w:val="0"/>
              <w:marBottom w:val="0"/>
              <w:divBdr>
                <w:top w:val="none" w:sz="0" w:space="0" w:color="auto"/>
                <w:left w:val="none" w:sz="0" w:space="0" w:color="auto"/>
                <w:bottom w:val="none" w:sz="0" w:space="0" w:color="auto"/>
                <w:right w:val="none" w:sz="0" w:space="0" w:color="auto"/>
              </w:divBdr>
              <w:divsChild>
                <w:div w:id="1928728544">
                  <w:marLeft w:val="0"/>
                  <w:marRight w:val="0"/>
                  <w:marTop w:val="0"/>
                  <w:marBottom w:val="0"/>
                  <w:divBdr>
                    <w:top w:val="none" w:sz="0" w:space="0" w:color="auto"/>
                    <w:left w:val="none" w:sz="0" w:space="0" w:color="auto"/>
                    <w:bottom w:val="none" w:sz="0" w:space="0" w:color="auto"/>
                    <w:right w:val="none" w:sz="0" w:space="0" w:color="auto"/>
                  </w:divBdr>
                  <w:divsChild>
                    <w:div w:id="875581759">
                      <w:marLeft w:val="0"/>
                      <w:marRight w:val="0"/>
                      <w:marTop w:val="0"/>
                      <w:marBottom w:val="0"/>
                      <w:divBdr>
                        <w:top w:val="none" w:sz="0" w:space="0" w:color="auto"/>
                        <w:left w:val="none" w:sz="0" w:space="0" w:color="auto"/>
                        <w:bottom w:val="none" w:sz="0" w:space="0" w:color="auto"/>
                        <w:right w:val="none" w:sz="0" w:space="0" w:color="auto"/>
                      </w:divBdr>
                      <w:divsChild>
                        <w:div w:id="1554854076">
                          <w:marLeft w:val="0"/>
                          <w:marRight w:val="0"/>
                          <w:marTop w:val="0"/>
                          <w:marBottom w:val="0"/>
                          <w:divBdr>
                            <w:top w:val="none" w:sz="0" w:space="0" w:color="auto"/>
                            <w:left w:val="none" w:sz="0" w:space="0" w:color="auto"/>
                            <w:bottom w:val="none" w:sz="0" w:space="0" w:color="auto"/>
                            <w:right w:val="none" w:sz="0" w:space="0" w:color="auto"/>
                          </w:divBdr>
                          <w:divsChild>
                            <w:div w:id="1495802688">
                              <w:marLeft w:val="0"/>
                              <w:marRight w:val="0"/>
                              <w:marTop w:val="0"/>
                              <w:marBottom w:val="0"/>
                              <w:divBdr>
                                <w:top w:val="none" w:sz="0" w:space="0" w:color="auto"/>
                                <w:left w:val="none" w:sz="0" w:space="0" w:color="auto"/>
                                <w:bottom w:val="none" w:sz="0" w:space="0" w:color="auto"/>
                                <w:right w:val="none" w:sz="0" w:space="0" w:color="auto"/>
                              </w:divBdr>
                              <w:divsChild>
                                <w:div w:id="1680961336">
                                  <w:marLeft w:val="0"/>
                                  <w:marRight w:val="0"/>
                                  <w:marTop w:val="0"/>
                                  <w:marBottom w:val="0"/>
                                  <w:divBdr>
                                    <w:top w:val="none" w:sz="0" w:space="0" w:color="auto"/>
                                    <w:left w:val="none" w:sz="0" w:space="0" w:color="auto"/>
                                    <w:bottom w:val="none" w:sz="0" w:space="0" w:color="auto"/>
                                    <w:right w:val="none" w:sz="0" w:space="0" w:color="auto"/>
                                  </w:divBdr>
                                  <w:divsChild>
                                    <w:div w:id="1303540376">
                                      <w:marLeft w:val="0"/>
                                      <w:marRight w:val="0"/>
                                      <w:marTop w:val="0"/>
                                      <w:marBottom w:val="0"/>
                                      <w:divBdr>
                                        <w:top w:val="none" w:sz="0" w:space="0" w:color="auto"/>
                                        <w:left w:val="none" w:sz="0" w:space="0" w:color="auto"/>
                                        <w:bottom w:val="none" w:sz="0" w:space="0" w:color="auto"/>
                                        <w:right w:val="none" w:sz="0" w:space="0" w:color="auto"/>
                                      </w:divBdr>
                                      <w:divsChild>
                                        <w:div w:id="471946485">
                                          <w:marLeft w:val="0"/>
                                          <w:marRight w:val="0"/>
                                          <w:marTop w:val="0"/>
                                          <w:marBottom w:val="0"/>
                                          <w:divBdr>
                                            <w:top w:val="none" w:sz="0" w:space="0" w:color="auto"/>
                                            <w:left w:val="none" w:sz="0" w:space="0" w:color="auto"/>
                                            <w:bottom w:val="none" w:sz="0" w:space="0" w:color="auto"/>
                                            <w:right w:val="none" w:sz="0" w:space="0" w:color="auto"/>
                                          </w:divBdr>
                                          <w:divsChild>
                                            <w:div w:id="272829878">
                                              <w:marLeft w:val="0"/>
                                              <w:marRight w:val="0"/>
                                              <w:marTop w:val="0"/>
                                              <w:marBottom w:val="0"/>
                                              <w:divBdr>
                                                <w:top w:val="none" w:sz="0" w:space="0" w:color="auto"/>
                                                <w:left w:val="none" w:sz="0" w:space="0" w:color="auto"/>
                                                <w:bottom w:val="none" w:sz="0" w:space="0" w:color="auto"/>
                                                <w:right w:val="none" w:sz="0" w:space="0" w:color="auto"/>
                                              </w:divBdr>
                                              <w:divsChild>
                                                <w:div w:id="762410853">
                                                  <w:marLeft w:val="0"/>
                                                  <w:marRight w:val="0"/>
                                                  <w:marTop w:val="0"/>
                                                  <w:marBottom w:val="0"/>
                                                  <w:divBdr>
                                                    <w:top w:val="single" w:sz="6" w:space="0" w:color="ABABAB"/>
                                                    <w:left w:val="single" w:sz="6" w:space="0" w:color="ABABAB"/>
                                                    <w:bottom w:val="none" w:sz="0" w:space="0" w:color="auto"/>
                                                    <w:right w:val="single" w:sz="6" w:space="0" w:color="ABABAB"/>
                                                  </w:divBdr>
                                                  <w:divsChild>
                                                    <w:div w:id="1926189143">
                                                      <w:marLeft w:val="0"/>
                                                      <w:marRight w:val="0"/>
                                                      <w:marTop w:val="0"/>
                                                      <w:marBottom w:val="0"/>
                                                      <w:divBdr>
                                                        <w:top w:val="none" w:sz="0" w:space="0" w:color="auto"/>
                                                        <w:left w:val="none" w:sz="0" w:space="0" w:color="auto"/>
                                                        <w:bottom w:val="none" w:sz="0" w:space="0" w:color="auto"/>
                                                        <w:right w:val="none" w:sz="0" w:space="0" w:color="auto"/>
                                                      </w:divBdr>
                                                      <w:divsChild>
                                                        <w:div w:id="1792239773">
                                                          <w:marLeft w:val="0"/>
                                                          <w:marRight w:val="0"/>
                                                          <w:marTop w:val="0"/>
                                                          <w:marBottom w:val="0"/>
                                                          <w:divBdr>
                                                            <w:top w:val="none" w:sz="0" w:space="0" w:color="auto"/>
                                                            <w:left w:val="none" w:sz="0" w:space="0" w:color="auto"/>
                                                            <w:bottom w:val="none" w:sz="0" w:space="0" w:color="auto"/>
                                                            <w:right w:val="none" w:sz="0" w:space="0" w:color="auto"/>
                                                          </w:divBdr>
                                                          <w:divsChild>
                                                            <w:div w:id="445539107">
                                                              <w:marLeft w:val="0"/>
                                                              <w:marRight w:val="0"/>
                                                              <w:marTop w:val="0"/>
                                                              <w:marBottom w:val="0"/>
                                                              <w:divBdr>
                                                                <w:top w:val="none" w:sz="0" w:space="0" w:color="auto"/>
                                                                <w:left w:val="none" w:sz="0" w:space="0" w:color="auto"/>
                                                                <w:bottom w:val="none" w:sz="0" w:space="0" w:color="auto"/>
                                                                <w:right w:val="none" w:sz="0" w:space="0" w:color="auto"/>
                                                              </w:divBdr>
                                                              <w:divsChild>
                                                                <w:div w:id="491531555">
                                                                  <w:marLeft w:val="0"/>
                                                                  <w:marRight w:val="0"/>
                                                                  <w:marTop w:val="0"/>
                                                                  <w:marBottom w:val="0"/>
                                                                  <w:divBdr>
                                                                    <w:top w:val="none" w:sz="0" w:space="0" w:color="auto"/>
                                                                    <w:left w:val="none" w:sz="0" w:space="0" w:color="auto"/>
                                                                    <w:bottom w:val="none" w:sz="0" w:space="0" w:color="auto"/>
                                                                    <w:right w:val="none" w:sz="0" w:space="0" w:color="auto"/>
                                                                  </w:divBdr>
                                                                  <w:divsChild>
                                                                    <w:div w:id="508761107">
                                                                      <w:marLeft w:val="0"/>
                                                                      <w:marRight w:val="0"/>
                                                                      <w:marTop w:val="0"/>
                                                                      <w:marBottom w:val="0"/>
                                                                      <w:divBdr>
                                                                        <w:top w:val="none" w:sz="0" w:space="0" w:color="auto"/>
                                                                        <w:left w:val="none" w:sz="0" w:space="0" w:color="auto"/>
                                                                        <w:bottom w:val="none" w:sz="0" w:space="0" w:color="auto"/>
                                                                        <w:right w:val="none" w:sz="0" w:space="0" w:color="auto"/>
                                                                      </w:divBdr>
                                                                      <w:divsChild>
                                                                        <w:div w:id="1347172230">
                                                                          <w:marLeft w:val="0"/>
                                                                          <w:marRight w:val="0"/>
                                                                          <w:marTop w:val="0"/>
                                                                          <w:marBottom w:val="0"/>
                                                                          <w:divBdr>
                                                                            <w:top w:val="none" w:sz="0" w:space="0" w:color="auto"/>
                                                                            <w:left w:val="none" w:sz="0" w:space="0" w:color="auto"/>
                                                                            <w:bottom w:val="none" w:sz="0" w:space="0" w:color="auto"/>
                                                                            <w:right w:val="none" w:sz="0" w:space="0" w:color="auto"/>
                                                                          </w:divBdr>
                                                                          <w:divsChild>
                                                                            <w:div w:id="534848592">
                                                                              <w:marLeft w:val="0"/>
                                                                              <w:marRight w:val="0"/>
                                                                              <w:marTop w:val="0"/>
                                                                              <w:marBottom w:val="0"/>
                                                                              <w:divBdr>
                                                                                <w:top w:val="none" w:sz="0" w:space="0" w:color="auto"/>
                                                                                <w:left w:val="none" w:sz="0" w:space="0" w:color="auto"/>
                                                                                <w:bottom w:val="none" w:sz="0" w:space="0" w:color="auto"/>
                                                                                <w:right w:val="none" w:sz="0" w:space="0" w:color="auto"/>
                                                                              </w:divBdr>
                                                                            </w:div>
                                                                            <w:div w:id="7316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2453">
      <w:bodyDiv w:val="1"/>
      <w:marLeft w:val="0"/>
      <w:marRight w:val="0"/>
      <w:marTop w:val="0"/>
      <w:marBottom w:val="0"/>
      <w:divBdr>
        <w:top w:val="none" w:sz="0" w:space="0" w:color="auto"/>
        <w:left w:val="none" w:sz="0" w:space="0" w:color="auto"/>
        <w:bottom w:val="none" w:sz="0" w:space="0" w:color="auto"/>
        <w:right w:val="none" w:sz="0" w:space="0" w:color="auto"/>
      </w:divBdr>
    </w:div>
    <w:div w:id="1515849466">
      <w:bodyDiv w:val="1"/>
      <w:marLeft w:val="0"/>
      <w:marRight w:val="0"/>
      <w:marTop w:val="0"/>
      <w:marBottom w:val="0"/>
      <w:divBdr>
        <w:top w:val="none" w:sz="0" w:space="0" w:color="auto"/>
        <w:left w:val="none" w:sz="0" w:space="0" w:color="auto"/>
        <w:bottom w:val="none" w:sz="0" w:space="0" w:color="auto"/>
        <w:right w:val="none" w:sz="0" w:space="0" w:color="auto"/>
      </w:divBdr>
    </w:div>
    <w:div w:id="1683703033">
      <w:bodyDiv w:val="1"/>
      <w:marLeft w:val="0"/>
      <w:marRight w:val="0"/>
      <w:marTop w:val="0"/>
      <w:marBottom w:val="0"/>
      <w:divBdr>
        <w:top w:val="none" w:sz="0" w:space="0" w:color="auto"/>
        <w:left w:val="none" w:sz="0" w:space="0" w:color="auto"/>
        <w:bottom w:val="none" w:sz="0" w:space="0" w:color="auto"/>
        <w:right w:val="none" w:sz="0" w:space="0" w:color="auto"/>
      </w:divBdr>
      <w:divsChild>
        <w:div w:id="423693047">
          <w:marLeft w:val="240"/>
          <w:marRight w:val="0"/>
          <w:marTop w:val="0"/>
          <w:marBottom w:val="0"/>
          <w:divBdr>
            <w:top w:val="none" w:sz="0" w:space="0" w:color="auto"/>
            <w:left w:val="none" w:sz="0" w:space="0" w:color="auto"/>
            <w:bottom w:val="none" w:sz="0" w:space="0" w:color="auto"/>
            <w:right w:val="none" w:sz="0" w:space="0" w:color="auto"/>
          </w:divBdr>
        </w:div>
        <w:div w:id="686565112">
          <w:marLeft w:val="240"/>
          <w:marRight w:val="0"/>
          <w:marTop w:val="0"/>
          <w:marBottom w:val="0"/>
          <w:divBdr>
            <w:top w:val="none" w:sz="0" w:space="0" w:color="auto"/>
            <w:left w:val="none" w:sz="0" w:space="0" w:color="auto"/>
            <w:bottom w:val="none" w:sz="0" w:space="0" w:color="auto"/>
            <w:right w:val="none" w:sz="0" w:space="0" w:color="auto"/>
          </w:divBdr>
        </w:div>
        <w:div w:id="256408569">
          <w:marLeft w:val="240"/>
          <w:marRight w:val="0"/>
          <w:marTop w:val="0"/>
          <w:marBottom w:val="0"/>
          <w:divBdr>
            <w:top w:val="none" w:sz="0" w:space="0" w:color="auto"/>
            <w:left w:val="none" w:sz="0" w:space="0" w:color="auto"/>
            <w:bottom w:val="none" w:sz="0" w:space="0" w:color="auto"/>
            <w:right w:val="none" w:sz="0" w:space="0" w:color="auto"/>
          </w:divBdr>
        </w:div>
        <w:div w:id="694430609">
          <w:marLeft w:val="240"/>
          <w:marRight w:val="0"/>
          <w:marTop w:val="0"/>
          <w:marBottom w:val="0"/>
          <w:divBdr>
            <w:top w:val="none" w:sz="0" w:space="0" w:color="auto"/>
            <w:left w:val="none" w:sz="0" w:space="0" w:color="auto"/>
            <w:bottom w:val="none" w:sz="0" w:space="0" w:color="auto"/>
            <w:right w:val="none" w:sz="0" w:space="0" w:color="auto"/>
          </w:divBdr>
        </w:div>
      </w:divsChild>
    </w:div>
    <w:div w:id="18996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4.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19FF819C3E544C48AEC9323C399E6FCA" ma:contentTypeVersion="44" ma:contentTypeDescription="" ma:contentTypeScope="" ma:versionID="b73651b6cb8ba0898ccfca5cf290e9c5">
  <xsd:schema xmlns:xsd="http://www.w3.org/2001/XMLSchema" xmlns:xs="http://www.w3.org/2001/XMLSchema" xmlns:p="http://schemas.microsoft.com/office/2006/metadata/properties" xmlns:ns2="fc816ae0-20fa-42d3-8a0b-1ea1cf281df2" xmlns:ns3="986746b9-21ea-4a10-94d5-c7e2d54bbe5a" targetNamespace="http://schemas.microsoft.com/office/2006/metadata/properties" ma:root="true" ma:fieldsID="dc677e4f89bc103018f9f9580a6543a7" ns2:_="" ns3:_="">
    <xsd:import namespace="fc816ae0-20fa-42d3-8a0b-1ea1cf281df2"/>
    <xsd:import namespace="986746b9-21ea-4a10-94d5-c7e2d54bbe5a"/>
    <xsd:element name="properties">
      <xsd:complexType>
        <xsd:sequence>
          <xsd:element name="documentManagement">
            <xsd:complexType>
              <xsd:all>
                <xsd:element ref="ns2:SaTyDocumentArchive" minOccurs="0"/>
                <xsd:element ref="ns2:SaTyTosTaskGroup"/>
                <xsd:element ref="ns2:SaTyTosTaskGroupId" minOccurs="0"/>
                <xsd:element ref="ns2:SaTyTosIssueGroup"/>
                <xsd:element ref="ns2:SaTyTosIssueGroupId" minOccurs="0"/>
                <xsd:element ref="ns2:SaTyTosDocumentType"/>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16ae0-20fa-42d3-8a0b-1ea1cf281df2"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ma:displayName="Dokumenttityyppi" ma:indexed="true" ma:internalName="SaTyTosDocumentType" ma:readOnly="fals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45750cba-f165-4aab-93ea-95b749a5cca2}" ma:internalName="TaxCatchAll" ma:showField="CatchAllData"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45750cba-f165-4aab-93ea-95b749a5cca2}" ma:internalName="TaxCatchAllLabel" ma:readOnly="true" ma:showField="CatchAllDataLabel" ma:web="fc816ae0-20fa-42d3-8a0b-1ea1cf281df2">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6746b9-21ea-4a10-94d5-c7e2d54bbe5a">
      <Value>98</Value>
      <Value>99</Value>
      <Value>1</Value>
    </TaxCatchAll>
    <p39f2945831442ffb2b72677709d8610 xmlns="986746b9-21ea-4a10-94d5-c7e2d54bbe5a">
      <Terms xmlns="http://schemas.microsoft.com/office/infopath/2007/PartnerControls"/>
    </p39f2945831442ffb2b72677709d8610>
    <f4b386671deb464d8bb6062959db37ce xmlns="986746b9-21ea-4a10-94d5-c7e2d54bbe5a">
      <Terms xmlns="http://schemas.microsoft.com/office/infopath/2007/PartnerControls"/>
    </f4b386671deb464d8bb6062959db37ce>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Kevyt tavarankuljetinmääräys</TermName>
          <TermId xmlns="http://schemas.microsoft.com/office/infopath/2007/PartnerControls">da0cf0c7-7896-4099-a6b9-60e8183eddb7</TermId>
        </TermInfo>
      </Terms>
    </g947cab29b3b46f18713a0acc4648f6c>
    <a9215f07bdd34c12927c30fd8ee294e2 xmlns="986746b9-21ea-4a10-94d5-c7e2d54bbe5a">
      <Terms xmlns="http://schemas.microsoft.com/office/infopath/2007/PartnerControls"/>
    </a9215f07bdd34c12927c30fd8ee294e2>
    <SaTyTosDocumentType xmlns="fc816ae0-20fa-42d3-8a0b-1ea1cf281df2">Esitys</SaTyTosDocumentType>
    <SaTyDocumentStatus xmlns="fc816ae0-20fa-42d3-8a0b-1ea1cf281df2">Luonnos</SaTyDocumentStatus>
    <SaTyTosIssueGroup xmlns="fc816ae0-20fa-42d3-8a0b-1ea1cf281df2">Tieliikennemääräykset</SaTyTosIssueGroup>
    <SaTyTosDocumentTypeId xmlns="fc816ae0-20fa-42d3-8a0b-1ea1cf281df2">Esitys</SaTyTosDocumentTypeId>
    <SaTyTosPreservation xmlns="fc816ae0-20fa-42d3-8a0b-1ea1cf281df2"> v</SaTyTosPreservation>
    <SaTyDocumentYear xmlns="fc816ae0-20fa-42d3-8a0b-1ea1cf281df2">2023</SaTyDocumentYear>
    <SaTyDocumentArchive xmlns="fc816ae0-20fa-42d3-8a0b-1ea1cf281df2">false</SaTyDocumentArchive>
    <SaTyTosPublicity xmlns="fc816ae0-20fa-42d3-8a0b-1ea1cf281df2">Julkinen</SaTyTosPublicity>
    <SaTyTosTaskGroup xmlns="fc816ae0-20fa-42d3-8a0b-1ea1cf281df2">Tieliikenteen määräykset</SaTyTosTaskGroup>
    <SaTyTosTaskGroupId xmlns="fc816ae0-20fa-42d3-8a0b-1ea1cf281df2">03.04.03</SaTyTosTaskGroupId>
    <SaTyTosIssueGroupId xmlns="fc816ae0-20fa-42d3-8a0b-1ea1cf281df2">03.04.03.00</SaTyTosIssueGroupId>
    <SaTyDocumentUserData xmlns="fc816ae0-20fa-42d3-8a0b-1ea1cf281df2">false</SaTyDocumentUserData>
    <SaTyDynastyDocumentGuid xmlns="986746b9-21ea-4a10-94d5-c7e2d54bbe5a">4aaa8df8-907a-4761-8500-fac7550445cc</SaTyDynastyDocumentGuid>
    <SaTyTosSecurityPeriodRuleId xmlns="986746b9-21ea-4a10-94d5-c7e2d54bbe5a">10</SaTyTosSecurityPeriodRuleId>
    <SaTyDynastyDocumentUrl xmlns="986746b9-21ea-4a10-94d5-c7e2d54bbe5a" xsi:nil="true"/>
    <SaTyTosSecurityPeriodRule xmlns="986746b9-21ea-4a10-94d5-c7e2d54bbe5a">Asiakirjan valmistuminen</SaTyTosSecurityPeriodRule>
    <SaTyTosUserDataRule xmlns="986746b9-21ea-4a10-94d5-c7e2d54bbe5a" xsi:nil="true"/>
    <SaTyTosUserDataRuleId xmlns="986746b9-21ea-4a10-94d5-c7e2d54bbe5a" xsi:nil="true"/>
    <SaTyTosSecurityReason xmlns="986746b9-21ea-4a10-94d5-c7e2d54bbe5a" xsi:nil="true"/>
    <SaTyDynastyIntStatus xmlns="986746b9-21ea-4a10-94d5-c7e2d54bbe5a">Document folderPermissions updated? False</SaTyDynastyIntStatus>
    <SaTyTosSecurityPeriod xmlns="986746b9-21ea-4a10-94d5-c7e2d54bbe5a">0 v v</SaTyTosSecurityPeriod>
    <SaTyTosSecurityReasonId xmlns="986746b9-21ea-4a10-94d5-c7e2d54bbe5a" xsi:nil="true"/>
    <SaTyDynastyDirection xmlns="986746b9-21ea-4a10-94d5-c7e2d54bbe5a" xsi:nil="true"/>
  </documentManagement>
</p:properties>
</file>

<file path=customXml/itemProps1.xml><?xml version="1.0" encoding="utf-8"?>
<ds:datastoreItem xmlns:ds="http://schemas.openxmlformats.org/officeDocument/2006/customXml" ds:itemID="{F96C191C-D0CC-4B4D-913C-886F08B69105}">
  <ds:schemaRefs>
    <ds:schemaRef ds:uri="http://schemas.microsoft.com/sharepoint/v3/contenttype/forms"/>
  </ds:schemaRefs>
</ds:datastoreItem>
</file>

<file path=customXml/itemProps2.xml><?xml version="1.0" encoding="utf-8"?>
<ds:datastoreItem xmlns:ds="http://schemas.openxmlformats.org/officeDocument/2006/customXml" ds:itemID="{D846D2C0-5C92-476A-B66F-52B1300001DB}">
  <ds:schemaRefs>
    <ds:schemaRef ds:uri="http://schemas.openxmlformats.org/officeDocument/2006/bibliography"/>
  </ds:schemaRefs>
</ds:datastoreItem>
</file>

<file path=customXml/itemProps3.xml><?xml version="1.0" encoding="utf-8"?>
<ds:datastoreItem xmlns:ds="http://schemas.openxmlformats.org/officeDocument/2006/customXml" ds:itemID="{EC934663-86E4-49DF-A74C-EDF34204CCCD}">
  <ds:schemaRefs>
    <ds:schemaRef ds:uri="Microsoft.SharePoint.Taxonomy.ContentTypeSync"/>
  </ds:schemaRefs>
</ds:datastoreItem>
</file>

<file path=customXml/itemProps4.xml><?xml version="1.0" encoding="utf-8"?>
<ds:datastoreItem xmlns:ds="http://schemas.openxmlformats.org/officeDocument/2006/customXml" ds:itemID="{2C4DF6D8-DBEB-40BF-A1FE-231236318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16ae0-20fa-42d3-8a0b-1ea1cf281df2"/>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9E5B24-A5F9-4E16-B665-0A85E01020D8}">
  <ds:schemaRefs>
    <ds:schemaRef ds:uri="http://schemas.microsoft.com/office/2006/metadata/properties"/>
    <ds:schemaRef ds:uri="http://schemas.microsoft.com/office/infopath/2007/PartnerControls"/>
    <ds:schemaRef ds:uri="986746b9-21ea-4a10-94d5-c7e2d54bbe5a"/>
    <ds:schemaRef ds:uri="fc816ae0-20fa-42d3-8a0b-1ea1cf281df2"/>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4714</Words>
  <Characters>26873</Characters>
  <Application>Microsoft Office Word</Application>
  <DocSecurity>0</DocSecurity>
  <Lines>223</Lines>
  <Paragraphs>63</Paragraphs>
  <ScaleCrop>false</ScaleCrop>
  <HeadingPairs>
    <vt:vector size="2" baseType="variant">
      <vt:variant>
        <vt:lpstr>Otsikko</vt:lpstr>
      </vt:variant>
      <vt:variant>
        <vt:i4>1</vt:i4>
      </vt:variant>
    </vt:vector>
  </HeadingPairs>
  <TitlesOfParts>
    <vt:vector size="1" baseType="lpstr">
      <vt:lpstr/>
    </vt:vector>
  </TitlesOfParts>
  <Company>Trafi</Company>
  <LinksUpToDate>false</LinksUpToDate>
  <CharactersWithSpaces>31524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Uotila Elina</dc:creator>
  <cp:keywords/>
  <dc:description/>
  <cp:lastModifiedBy>Liana Brili</cp:lastModifiedBy>
  <cp:revision>5</cp:revision>
  <dcterms:created xsi:type="dcterms:W3CDTF">2023-04-24T11:42:00Z</dcterms:created>
  <dcterms:modified xsi:type="dcterms:W3CDTF">2023-05-15T10:52:00Z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82ff796f8549e7b48b0e43c70930a6">
    <vt:lpwstr>Suomi|88d960e6-e76c-48a2-b607-f1600797b640</vt:lpwstr>
  </property>
  <property fmtid="{D5CDD505-2E9C-101B-9397-08002B2CF9AE}" pid="3" name="SaTyDocumentQuartal">
    <vt:lpwstr/>
  </property>
  <property fmtid="{D5CDD505-2E9C-101B-9397-08002B2CF9AE}" pid="4" name="ContentTypeId">
    <vt:lpwstr>0x0101000EC482A17D284AEE8290D09FC0D2D6D200C589622A2BFC49F09A63EB8A040062500019FF819C3E544C48AEC9323C399E6FCA</vt:lpwstr>
  </property>
  <property fmtid="{D5CDD505-2E9C-101B-9397-08002B2CF9AE}" pid="5" name="SaTyDocumentOrganisation">
    <vt:lpwstr/>
  </property>
  <property fmtid="{D5CDD505-2E9C-101B-9397-08002B2CF9AE}" pid="6" name="SaTyDocumentMonth">
    <vt:lpwstr/>
  </property>
  <property fmtid="{D5CDD505-2E9C-101B-9397-08002B2CF9AE}" pid="7" name="eb88049090c34051aae092bae2056bc2">
    <vt:lpwstr>määräysluonnos|bfba283e-4fe5-4bf3-852f-03bd96083c7d</vt:lpwstr>
  </property>
  <property fmtid="{D5CDD505-2E9C-101B-9397-08002B2CF9AE}" pid="8" name="SaTyTosKeywords">
    <vt:lpwstr>99;#määräysluonnos|bfba283e-4fe5-4bf3-852f-03bd96083c7d</vt:lpwstr>
  </property>
  <property fmtid="{D5CDD505-2E9C-101B-9397-08002B2CF9AE}" pid="9" name="SaTyDocumentLanguage">
    <vt:lpwstr>1;#Suomi|88d960e6-e76c-48a2-b607-f1600797b640</vt:lpwstr>
  </property>
  <property fmtid="{D5CDD505-2E9C-101B-9397-08002B2CF9AE}" pid="10" name="SaTyDocumentOtherTag">
    <vt:lpwstr>98;#Kevyt tavarankuljetinmääräys|da0cf0c7-7896-4099-a6b9-60e8183eddb7</vt:lpwstr>
  </property>
</Properties>
</file>