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4 LUKU:</w:t>
      </w:r>
      <w:r>
        <w:rPr>
          <w:sz w:val="22"/>
        </w:rPr>
        <w:t xml:space="preserve"> </w:t>
      </w:r>
      <w:r>
        <w:rPr>
          <w:sz w:val="22"/>
        </w:rPr>
        <w:t xml:space="preserve">Kuljetusvälineiden esteettömyys</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Kun taksipalvelua tarjotaan puhelinvarausten kautta, palvelun on laajennettava pyyntötapoja käyttämällä uusia teknologioita, sovelluksia, internetiä, tekstiviestejä, fakseja tai vastaavia, jotta kaikki käyttäjät, myös ne, joilla on kuulovamma, voivat tilata palvelun itsenäisesti.</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Kun tilattavalla taksipalvelulla on verkkosivusto, sen on oltava saavutettavissa ainakin verkkosisällön saavutettavuusohjeiden 2.1 AA-tason mukaisesti.</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Liikuntarajoitteisten henkilöiden käyttöön sopivan esteettömän taksin vuokraamiseen puhelimitse, internetin välityksellä tai mobiilisovelluksella ei voida soveltaa ennakkotilauslisää.</w:t>
      </w:r>
      <w:r>
        <w:rPr>
          <w:sz w:val="22"/>
        </w:rPr>
        <w:t xml:space="preserve"> </w:t>
      </w:r>
      <w:r>
        <w:rPr>
          <w:sz w:val="22"/>
        </w:rPr>
        <w:t xml:space="preserve">Vammaiskortti toimii pyydettäessä todisteena.</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5 LUKU:</w:t>
      </w:r>
      <w:r>
        <w:rPr>
          <w:sz w:val="22"/>
        </w:rPr>
        <w:t xml:space="preserve"> </w:t>
      </w:r>
      <w:r>
        <w:rPr>
          <w:sz w:val="22"/>
        </w:rPr>
        <w:t xml:space="preserve">Tuotteiden esteettömyys</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116 §.</w:t>
      </w:r>
      <w:r>
        <w:rPr>
          <w:sz w:val="22"/>
        </w:rPr>
        <w:tab/>
      </w:r>
      <w:r>
        <w:rPr>
          <w:sz w:val="22"/>
        </w:rPr>
        <w:t xml:space="preserve">Kuluttajatuotteet</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Tuotteen katsotaan olevan esteetön, jos se täyttää seuraavat edellytykset:</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Sillä on ominaisuuksiaan vastaavat helposti saavutettavat merkinnät, joiden avulla se voidaan tunnistaa ja jossa on sen nimi ja tärkeimmät tiedot.</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Sen suunnittelussa noudatetaan yleisiä suunnittelukriteereitä, joiden mukaiset käyttö- ja turvallisuusedellytykset ovat asianmukaiset kaikille käyttäjille.</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Lisätietoja, ohjeita tai esitteitä voidaan tarkastella internetin, laitesovellusten ja uuden teknologian avulla, ja saavutettavissa oleva sisältö täyttää liitteessä 5a olevan 25 ja 26 kohdan edellytykset.</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Yritykset, jotka markkinoivat tuotetta, ovat vastuussa sen varmistamisesta, että tuotteeseen sovellettavat esteettömyyttä koskevat edellytykset täyttyvät.</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Lääkkeisiin ja vaarallisiin tuotteisiin on sisällyttävä tietoelementtejä ja -järjestelmiä, jotta seuraavat tiedot ovat sokeiden tai kuurosokeiden saatavilla:</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Pakkauksessa olevan tuotteen nimen voi tunnistaa pistekirjoituksen ja kuvien avulla.</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Pakkauksessa oleva viimeinen käyttöpäivä pistekirjoituksella ja kuvin tai muilla vaihtoehtoisilla resursseilla, joilla on samat ominaisuudet.</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Tuotteen tärkeimmät ominaisuudet, kuten sen koostumus ja säilyvyys, muun muassa internetin kautta tehtävällä äänihaulla tai muilla tavoin, jotka mahdollistavat teholtaan samanlaisen uuden teknologian näkövammaisten yhdistysten pyynnöstä.</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Supermarketketjujen ja elintarvike- tai sekatavarakauppojen on kaikissa paikoissa, joissa niillä on yli 250 neliömetrin suuruisia yleiseen käyttöön tarkoitettuja tiloja, taattava seuraavat edellytykset sokean tai hänen sukulaisensa pyynnöstä:</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Vähintään yhdessä paikkakunnalla sijaitsevista toimipisteistä tehdään pistekirjoituksella nimien ja viimeisen käyttöpäivämäärän merkinnät pilaantuville tuotteille tai tuotteille, jotka voivat aiheuttaa sekaannusta, käyttämällä tulostusta tai järjestelmiä, jotka mahdollistavat tällaisten merkintöjen tekemisen pistekirjoituksella kyseisessä toimipisteessä.</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Verkossa myytävät ja koteihin toimitettavat tuotteet on merkittävä myös edellä olevassa kohdassa mainitulla pistekirjoituksella.</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Internetissä tai muulla tavoin tapahtuvassa kaupallisessa levittämisessä tarjotaan tietoa saavutettavassa muodossa siitä, missä toimipisteissä tuotteet voidaan merkitä pistekirjoituksella.</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Yli 50 000 asukkaan kunnissa kutakin naapurustoa pidetään erillisenä alueena, ja ne rinnastetaan paikkakuntaan edellisen momentin soveltamiseksi.</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Katalonian alueen on kehitettävä asteittain teknisiä ohjeita, jotka sisältävät uuden teknologisen kehityksen, ja määritettävä saavutettavien merkintöjen tekniset eritelmät, määräajat, ominaisuudet ja kriteerit sekä eri kaupallisilla aloilla käytettäviin tuotteisiin sovellettavat yleiset suunnitteluohjeet.</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Näkövammaisilla ja kuurosokeilla kuluttajilla on oikeus saada merkinnöistä samat tuotetiedot kuin muutkin kuluttajat ja käyttäjät itsenäisesti, normaalisti, helposti, välittömästi ja yhtäläisin edellytyksin.</w:t>
      </w:r>
      <w:r>
        <w:rPr>
          <w:sz w:val="22"/>
        </w:rPr>
        <w:t xml:space="preserve"> </w:t>
      </w:r>
      <w:r>
        <w:rPr>
          <w:sz w:val="22"/>
        </w:rPr>
        <w:t xml:space="preserve">Tätä varten saavutettavien merkintöjen on täytettävä seuraavat edellytykset:</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Niiden on tarjottava mahdollisimman paljon tietoa ja vammaisille kuluttajille yhtäläiset edellytykset muihin kuluttajiin nähden.</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Niiden on mahdollistettava tietojen hankkiminen itsenäisesti, nopeasti, kätevästi, suoraan ja standardoidusti ilman huomattavaa teknistä tietämystä tai teknisten välineiden käyttöä.</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Ne eivät voi aiheuttaa lisäkustannuksia vammaisille kuluttajille.</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Niiden ei tarvitse aiheuttaa yrityksille kohtuuttomia kustannuksia.</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Sähköisiä myyntipalveluja tarjoavien velvoitettujen yritysten on sisällytettävä verkkosivustolleen vaihtoehto, että tällä tavoin ostetut tuotteet toimitetaan helposti saavutettavilla merkinnöillä varustettuina.</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Kuluttaja-asioiden välimiesjärjestelmän ja sen menettelyjen ja prosessien on oltava esteettömiä vammaisille.</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Julkisissa ja yksityisissä kuluttajaneuvonnan toimistoissa on toteutettava toimenpiteitä, joilla helpotetaan viestinnän esteettömyyttä kuuroille, jotka viestivät viittomakielellä ja suullisesti riittävin tukikeinoin.</w:t>
      </w:r>
      <w:r>
        <w:rPr>
          <w:sz w:val="22"/>
        </w:rPr>
        <w:t xml:space="preserve"> </w:t>
      </w:r>
      <w:r>
        <w:rPr>
          <w:sz w:val="22"/>
        </w:rPr>
        <w:t xml:space="preserve">Lisäksi 20 prosenttiin julkisen palvelun neuvontapisteistä on asennettava induktiosilmukka, ja niiden henkilöstön on oltava valmis antamaan tietoa vammaisille henkilöille viimeistään kolmen vuoden kuluttua tämän säännöstön voimaantulosta.</w:t>
      </w:r>
    </w:p>
    <w:p w14:paraId="178D066A" w14:textId="77777777" w:rsidR="00CC0ADF" w:rsidRDefault="00CC0ADF">
      <w:pPr>
        <w:rPr>
          <w:lang w:val="es-ES"/>
        </w:rPr>
      </w:pPr>
    </w:p>
    <w:p w14:paraId="3EF53236" w14:textId="476D7F11" w:rsidR="00E526B5" w:rsidRDefault="00B670F2">
      <w:r>
        <w:rPr>
          <w:sz w:val="22"/>
        </w:rPr>
        <w:t xml:space="preserve">6 LUKU:</w:t>
      </w:r>
      <w:r>
        <w:rPr>
          <w:sz w:val="22"/>
        </w:rPr>
        <w:t xml:space="preserve"> </w:t>
      </w:r>
      <w:r>
        <w:rPr>
          <w:sz w:val="22"/>
        </w:rPr>
        <w:t xml:space="preserve">Palvelujen esteettömyys</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Julkisten palvelujen, joiden verkkosivustot ovat yleisölle avoimia, on tarjottava tietoa näiden palvelujen sekä niiden tilojen, toimintojen ja menettelyjen esteettömyydestä.</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Julkisten palvelujen tarjoamien verkkosivustojen, mobiililaitteisiin tarkoitettujen sovellusten ja muiden tieto- ja viestintätekniikkatuotteiden ja -palvelujen on oltava tämän säännöstön liitteessä 5a vahvistettujen edellytysten sekä standardin UNE-EN 301549:2022 tai sen korvaavan standardin mukaisia Euroopan parlamentin ja neuvoston direktiivin (EU) 2016/2102 nojalla ja sen saattamiseksi osaksi kansallista lainsäädäntöä verkkosivustojen ja sovellusten saavutettavuudesta julkisella sektorilla 7 päivänä syyskuuta 2018 annetun kuninkaan asetuksen 112/2018 mukaisia, sanotun kuitenkaan rajoittamatta toimivaltaisen elimen tästä asiasta antaman asetuksen soveltamista Kataloniassa.</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Supermarketketjujen ja elintarvike- tai sekatavarakauppojen, joiden julkiseen käyttöön soveltuva alue on yli 500 neliömetriä, verkkosivustojen ja mobiilisovellusten, jotka tarjoavat mahdollisuuden ostaa tuotteita verkosta ja saada tuotteet kotiin toimitettuna, on oltava saavutettavia liitteessä 5a olevien 25 ja 26 kohdan edellytysten mukaisesti, ja niillä on oltava vähintään kaksinkertainen A (AA) saavutettavuustaso verkkosisällön saavutettavuusohjeiden 2.1 mukaisesti seuraavissa tilanteissa:</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Kun kyse on vasta luoduista sivuista tai sovelluksista.</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Kun olemassa olevia sivuja tai sovelluksia muutetaan.</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Jos liitteessä 6b olevassa 4 kohdassa asetettuja määräaikoja noudatetaan mukauttamalla olemassa olevia sivuja ja sovelluksia.</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Mobiililaitteisiin tarkoitettujen verkkosivustojen ja sovellusten, jotka mahdollistavat fyysisessä toimistossa tilattujen tuotteiden pankki-, sopimus- tai muun hallinnointiin tai konsultointiin liittyvän toiminnan, on oltava saavutettavia liitteessä 5a olevien 25 ja 26 kohdan edellytysten mukaisesti, ja niillä on oltava vähintään kaksinkertainen A (AA) saavutettavuustaso verkkosisällön saavutettavuusohjeiden 2.1 mukaisesti seuraavissa tilanteissa:</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Kun kyse on vasta luoduista sivuista tai sovelluksista.</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Kun olemassa olevia sivuja tai sovelluksia muutetaan.</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Jos liitteessä 6b olevassa 5 kohdassa asetettuja määräaikoja noudatetaan mukauttamalla olemassa olevia sivuja ja sovelluksia.</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Hotelliketjujen ja -toimipisteiden, joiden kapasiteetti on yli 100 paikkaa, verkkosivustojen ja mobiilisovellusten, jotka mahdollistavat majoitus- ja verkkopalveluiden hankinnan, on oltava saavutettavia liitteessä 5a olevien 25 ja 26 kohdan edellytysten mukaisesti, ja niillä on oltava vähintään kaksinkertainen A (AA) saavutettavuustaso verkkosisällön saavutettavuusohjeiden 2.1 mukaisesti seuraavissa tilanteissa:</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Kun kyse on vasta luoduista sivuista tai sovelluksista.</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Kun olemassa olevia sivuja tai sovelluksia muutetaan.</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Kun liitteessä 6b olevassa 7 kohdassa asetettuja määräaikoja olemassa olevien sivujen ja sovellusten mukauttamisesta noudatetaan.</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Toimipisteiden tai toimipisteiden yhteenliittymien verkkosivustojen ja mobiilisovellusten on oltava saavutettavia liitteessä 5a olevien 25 ja 26 kohdan edellytysten mukaisesti,</w:t>
      </w:r>
      <w:r>
        <w:rPr>
          <w:sz w:val="22"/>
        </w:rPr>
        <w:t xml:space="preserve"> </w:t>
      </w:r>
      <w:r>
        <w:rPr>
          <w:sz w:val="22"/>
        </w:rPr>
        <w:t xml:space="preserve">ja niillä on oltava vähintään kaksinkertainen A (AA) saavutettavuustaso verkkosisällön saavutettavuusohjeiden 2.1 mukaisesti ja niiden on tarjottava edellisissä kohdissa mainitut tiedot seuraavissa tilanteissa:</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Kun kyse on vasta luoduista sivuista tai sovelluksista.</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Kun olemassa olevia sivuja tai sovelluksia muutetaan.</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Kun liitteessä 6b olevassa 3 kohdassa asetettuja määräaikoja olemassa olevien sivujen ja sovellusten mukauttamisesta noudatetaan.</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Sellaisten urheilulaitosten ja -seurojen verkkosivustojen ja mobiilisovellusten, joissa myydään lippuja niiden tiloissa pidettäviin esityksiin, on oltava saavutettavia ja tarjottava tarvittavat tiedot samoin edellytyksin kuin 133 §:ssä on säädetty esittävään taiteeseen liittyvien palvelujen osalta.</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Virallista koulutusta tarjoavien oppilaitosten verkkosivustojen ja mobiilisovellusten on oltava saavutettavia liitteessä 5a olevien 25 ja 26 kohdan edellytysten mukaisesti, ja niillä on oltava vähintään kaksinkertainen A (AA) saavutettavuustaso verkkosisällön saavutettavuusohjeiden 2.1 mukaisesti seuraavissa tilanteissa:</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Kun kyse on vasta luoduista sivuista tai sovelluksista.</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Kun olemassa olevia sivuja tai sovelluksia muutetaan.</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Jos liitteessä 6b olevassa 8 kohdassa asetettuja määräaikoja noudatetaan mukauttamalla olemassa olevia sivuja ja sovelluksia.</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138 §.</w:t>
      </w:r>
      <w:r>
        <w:rPr>
          <w:sz w:val="22"/>
        </w:rPr>
        <w:tab/>
      </w:r>
      <w:r>
        <w:rPr>
          <w:sz w:val="22"/>
        </w:rPr>
        <w:t xml:space="preserve">Keskeiset palvelut, yleishyödylliset palvelut tai julkisesti rahoitetut palvelut</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Katalonian julkisen sektorin ja julkisten toimielimien verkkosivustojen sekä kaikkien julkishallinnon rahoituksella käynnistettävien hankkeiden, sekä sellaisten yhteisöjen tai yritysten, jotka tarjoavat julkisia palveluja toimiluvan perusteella tai julkishallinnon kanssa sopimusperusteisesti, on täytettävä liitteessä 5a olevan 25 kohdan vaatimukset, ja niillä on oltava kaksinkertainen A (AA) saavutettavuustaso verkkosisällön saavutettavuusohjeiden 2.1 mukaisesti, sanotun kuitenkaan rajoittamatta toimivaltaisen elimen tästä asiasta antaman asetuksen soveltamista Kataloniassa mobiililaitteille tarkoitettujen julkisen sektorin verkkosivustojen ja sovellusten saavutettavuudesta 7 päivänä syyskuuta 2018 annetun kuninkaan asetuksen 1112/2018 mukaisesti.</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Keskeisiä palveluja tai yleishyödyllisiä palveluja, kuten sähkö-, vesi-, kaasu- ja televiestintäpalveluja sekä terveydenhuolto-, posti- ja pankkipalveluja, tarjoavien yksityisten yksiköiden verkkosivustojen on myös täytettävä liitteessä 5a olevan 25 kohdan vaatimukset, ja niillä on oltava kaksinkertainen A (AA) saavutettavuustaso verkkosisällön saavutettavuusohjeiden 2.1 mukaisesti.</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Julkisen sektorin ja 138.1 ja 138.2 kohdissa mainittujen yksiköiden mobiililaitesovellusten on täytettävä liitteessä 5a olevan 26 kohdan saavutettavuusvaatimukset, sanotun kuitenkaan rajoittamatta toimivaltaisen elimen tästä asiasta antaman asetuksen soveltamista Kataloniassa.</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Tässä pykälässä säädettyjä verkkosivustojen ja mobiilisovellusten saavutettavuusvaatimuksia sovelletaan edellyttäen, että niistä ei aiheudu kohtuutonta rasitetta yksikölle, jonka on sovellettava niitä, seuraavien olosuhteiden mukaisesti:</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Tietyn yksikön koko, resurssit ja luonne.</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Kustannukset ja hyödyt yksikölle sekä arvioidut hyödyt käyttäjille ottaen huomioon kyseisen verkkosivuston tai sovelluksen käytön tiheys ja kesto.</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Vammaisiin kohdistuvat syrjivät vaikutukset, jos verkkosivusto tai sovellus ei ole saavutettavissa, vaikka markkinoilla on saatavilla vaihtoehtoisia verkkosivustoja tai sovelluksia, jotka tarjoavat samat toiminnot ja edellytykset.</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Edellä olevassa 138.4. kohdassa säädettyä poikkeusta hyödyntävän julkisen sektorin tai yksikön on selitettävä verkkosivuston tai sovelluksen saavutettavuusilmoituksessa, mitä saavutettavuusvaatimuksia ei ole voitu täyttää, ja sen on tarjottava käytettävissä olevia vaihtoehtoja mahdollisuuksien puitteissa.</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Verkkosivustojen ja mobiilisovellusten on täytettävä edellisissä momenteissa vahvistetut saavutettavuusedellytykset ennen liitteessä 6b olevassa 2 kohdassa vahvistettuja lopullisia määräaikoja.</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Palveluntarjoajien ja valmistajien, jotka toimittavat tietoteknisiä laitteita ja ohjelmistoja Katalonian julkiselle sektorille ja 138.1 momentissa tarkoitetuille yksiköille, on sisällytettävä niihin saavutettavuuteen liittyvät tarvittavat lisäelementit ja -ominaisuudet, jotka ovat välttämättömiä digitaalisen sisällön saatavuuden takaamiseksi vammaisille henkilöille.</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Katalonian julkisten ja yksityisten televisioverkkojen on laadittava suunnitelmat sisällön saavutettavuudesta, jotta niiden ohjelmat olisivat vähitellen aisti- ja kehitysvammaisten henkilöiden saavutettavissa.</w:t>
      </w:r>
      <w:r>
        <w:rPr>
          <w:sz w:val="22"/>
        </w:rPr>
        <w:t xml:space="preserve"> </w:t>
      </w:r>
      <w:r>
        <w:rPr>
          <w:sz w:val="22"/>
        </w:rPr>
        <w:t xml:space="preserve">Suunnitelmien on mahdollistettava seuraavien tavoitteiden saavuttaminen enintään kolmen vuoden kuluessa tämän säännöstön voimaantulosta:</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Julkisen palvelun televisioverkot:</w:t>
      </w:r>
      <w:r>
        <w:rPr>
          <w:sz w:val="22"/>
        </w:rPr>
        <w:t xml:space="preserve"> </w:t>
      </w:r>
      <w:r>
        <w:rPr>
          <w:sz w:val="22"/>
        </w:rPr>
        <w:t xml:space="preserve">Niiden ohjelmiston on oltava 100-prosenttisesti tekstitetty, ja niiden on tarjottava viikoittain vähintään 15 tuntia sisältöä kuvailutulkkauksella ja vähintään 10 tuntia sisältöä katalaaninkielisellä viittomakielellä.</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Yksityiset televisioverkot:</w:t>
      </w:r>
      <w:r>
        <w:rPr>
          <w:sz w:val="22"/>
        </w:rPr>
        <w:t xml:space="preserve"> </w:t>
      </w:r>
      <w:r>
        <w:rPr>
          <w:sz w:val="22"/>
        </w:rPr>
        <w:t xml:space="preserve">Niiden ohjelmiston on oltava 75-prosenttisesti tekstitetty, ja niiden on tarjottava viikoittain vähintään 10 tuntia sisältöä kuvailutulkkauksella ja vähintään 7 tuntia sisältöä katalaaninkielisellä viittomakielellä.</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Katalaaninkielisen viittomakielen ohjelmiin on sisällytettävä uutisohjelmia ja lastenohjelmia, jotka ovat saatavilla ennakkoon tallennettujen ohjelmien tarjonnassa, kun tämä palvelu on saatavilla.</w:t>
      </w:r>
      <w:r>
        <w:rPr>
          <w:sz w:val="22"/>
        </w:rPr>
        <w:t xml:space="preserve"> </w:t>
      </w:r>
      <w:r>
        <w:rPr>
          <w:sz w:val="22"/>
        </w:rPr>
        <w:t xml:space="preserve">Ohjelmia on oltava saatavilla viikon jokaisena päivänä.</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Elokuvateoksia ja audiovisuaalisia teoksia levittävien yritysten on sisällytettävä tekstitys-, kuvailutulkkaus- ja ääninavigointijärjestelmät mieluiten sellaisiin ulkomaisiin ja kotimaisiin elokuviin, joilla on parhaat katsojaluvut tai jotka ovat saaneet kansallisia tai kansainvälisiä palkintoja, jotta ne olisivat saavutettavia DVD-järjestelmän tai vastaavien järjestelmien kautta näillä ominaisuuksilla.</w:t>
      </w:r>
    </w:p>
    <w:p w14:paraId="0F3986EB" w14:textId="77777777" w:rsidR="003920DF" w:rsidRDefault="003920DF">
      <w:pPr>
        <w:rPr>
          <w:lang w:val="es-ES"/>
        </w:rPr>
      </w:pPr>
    </w:p>
    <w:p w14:paraId="44244122" w14:textId="3BAB5CCF" w:rsidR="00E526B5" w:rsidRDefault="00B670F2">
      <w:r>
        <w:rPr>
          <w:sz w:val="22"/>
        </w:rPr>
        <w:t xml:space="preserve">11 LUKU:</w:t>
      </w:r>
      <w:r>
        <w:rPr>
          <w:sz w:val="22"/>
        </w:rPr>
        <w:t xml:space="preserve"> </w:t>
      </w:r>
      <w:r>
        <w:rPr>
          <w:sz w:val="22"/>
        </w:rPr>
        <w:t xml:space="preserve">Esteettömyyden laatumerkki</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Laatumerkin saaneiden laitosten, rakennusten ja julkisten elinten julkisen kuulemisen on oltava mahdollista vähintään internetin välityksellä, sanotun kuitenkaan rajoittamatta muita tarkoituksenmukaisiksi katsottavia keinoja.</w:t>
      </w:r>
    </w:p>
    <w:p w14:paraId="6CBE5DDA" w14:textId="77777777" w:rsidR="00E526B5" w:rsidRDefault="00E526B5">
      <w:pPr>
        <w:rPr>
          <w:lang w:val="es-ES"/>
        </w:rPr>
      </w:pPr>
    </w:p>
    <w:p w14:paraId="3BFAD248" w14:textId="66A7955A" w:rsidR="00E526B5" w:rsidRDefault="00CF1E0D">
      <w:r>
        <w:rPr>
          <w:sz w:val="22"/>
        </w:rPr>
        <w:t xml:space="preserve">Liite 5a:</w:t>
      </w:r>
      <w:r>
        <w:rPr>
          <w:sz w:val="22"/>
        </w:rPr>
        <w:t xml:space="preserve"> </w:t>
      </w:r>
      <w:r>
        <w:rPr>
          <w:sz w:val="22"/>
        </w:rPr>
        <w:t xml:space="preserve">Tuotteen esteettömyysstandardit</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Saavutettavat verkkosivut</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Verkkosivuston suunnittelussa ja luomisessa on noudatettava seuraavia ohjeita sekä verkkosivuston saavutettavuuden edellytyksiä:</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Määritä sisältö siten, että se voidaan mukauttaa eri ohjelmistoihin, laitteisiin ja tukituotteisiin menettämättä tietoja tai rakennetta.</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Tarjoa tekstivaihtoehtoja tai kuvailevaa tunnistetta muulle kuin tekstisisällölle (kuvat, grafiikka, multimediasisältö).</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Sisällytä multimediasisältöön tekstitykset ja kuvailutulkkaus, kun se on tarpeen viestin asianmukaisen ymmärtämisen kannalta.</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Tarjoa mekanismeja, joiden avulla äänen voi mykistää ja äänenvoimakkuutta voi säätää.</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Älä käytä väriä ainoana keinona välittää tietoa, osoittaa toimintoa tai erottaa elementtejä toisistaan.</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Tekstissä ja kuvissa on oltava riittävä kontrasti taustaan ja koko, joka mahdollistaa niiden lukemisen miellyttävällä tavalla.</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Tekstin kokoa on voitava muuttaa sivulla ilman tukituotteita ja sisällön tai toiminnallisuuden menettämistä.</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Sivun kaikkien toimintojen on oltava käytettävissä näppäimistöllä ratkaisulla, joka ei ole ristiriidassa näytönlukijoiden ja suurennuslasien kanssa.</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Käyttäjän on voitava hallita automaattisesti siirrettäviä tai päivitettäviä tietoja tai kohteita ja voitava pysäyttää tai piilottaa ne tai hallita niiden toistuvuutta.</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Navigointia on helpotettava jäsentämällä sisältö johdonmukaisesti ja tarjoamalla selkeät navigointimekanismit.</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Käyttäjille on tarjottava ohjetiedot, joiden avulla he voivat ymmärtää monimutkaisia elementtejä, sekä mekanismit, joiden avulla he voivat havaita ja estää tietojen syöttövirheet.</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Verkkosivuston kussakin kappaleessa tai asiakirjassa käytetty kieli on tunnistettava, jotta näytönlukijat ja äänisyntetisaattorit voivat havaita kielen ja vaihtaa sitä automaattisesti.</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Kielen on oltava selkeää ja ymmärrettävää, jotta sisältö olisi helposti ymmärrettävää, ja sen täytyy sisältää epätavallisimpien sanojen määritelmät sekä kirjainlyhenteiden ja lyhenteiden merkitykset.</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Yhteensopivuuden sellaisten sovellusten, ohjelmistojen ja laitteiden kanssa, joita käyttäjillä voi olla, on oltava mahdollisimman hyvä.</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On varmistettava, että verkossa julkaistut asiakirjat ovat myös näytönlukijoiden saavutettavissa ja luettavissa.</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On tarjottava muita saavutettavia viestintäkanavia kuin puhelinta, sähköpostia, tekstiviestiä tai lomakkeita siten, että käsittelyaika ei ole syrjivä puheluun verrattuna.</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Verkkosisällön saavutettavuusohjeiden 2.1 mukaisten ehtojen on täytyttävä jollakin sen tasoista standardissa UNE 139803:2012 tai sen korvaavassa standardissa asetettujen ehtojen mukaisesti, lukuun ottamatta tilanteita, joissa tässä säännöstössä edellytetään korkeampaa tasoa.</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Saavutettavat sovellukset</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Saavutettavien mobiilisovellusten on täytettävä standardissa UNE 139803:2012 tai sen korvaavassa standardissa asetetut ehdot ja noudatettava seuraavia yleisiä ehtoja:</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Kaikki viestit, tukijärjestelmät ja tekstit on kirjoitettava selkeällä ja yksinkertaisella kielellä.</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Tekstin on oltava ymmärrettävää, ja siinä on käytettävä lukemista helpottavaa kokoa ja fonttia.</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Elementtien ja taustan värikontrastin on oltava riittävä.</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Ohjainten, kohteiden, kuvakkeiden ja kuvien on oltava tunnistettavissa, helppokäyttöisiä ja niihin on liitettävä vaihtoehtoinen teksti, joka ilmaisee niiden toiminnan tai merkityksen.</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Varoitusäänille on oltava visuaalisia tai värähteleviä vaihtoehtoja.</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Palvelun piiriin pääsyn on oltava sujuvaa ja nopeaa.</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Sovelluksen on oltava yhteensopiva tukituotteiden, kuten näytönlukijoiden, suurennuslasien ja äänikomentojen, kanssa.</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Sovelluksen on oltava yhteensopiva käyttöjärjestelmän saavutettavuustyökalujen kanssa.</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Liite 6b:</w:t>
      </w:r>
      <w:r>
        <w:rPr>
          <w:sz w:val="22"/>
        </w:rPr>
        <w:t xml:space="preserve"> </w:t>
      </w:r>
      <w:r>
        <w:rPr>
          <w:sz w:val="22"/>
        </w:rPr>
        <w:t xml:space="preserve">Määräajat olemassa olevien palvelujen mukauttamiselle vastaamaan vahvistettuja ehtoja</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Yhteensopivuus muiden vaadittujen ehtojen kanssa</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Liitteen 6b ehdot eivät rajoita velvoitetta noudattaa vaatimuksia ennen vaadittujen esteettömyysehtojen ilmoitettuja määräaikoja, jos olemassa olevia osia tai resursseja muutetaan.</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Katalonian julkinen sektori, julkiset toimielimet ja julkisen palvelun tarjoajat</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Seuraavat lopulliset määräajat asetetaan Katalonian julkisen sektorin, julkisten toimielinten ja yksiköiden tai yritysten verkkosivustoille ja mobiilisovelluksille, joilla tarjotaan julkisia palveluja toimiluvan perusteella tai julkishallinnon kanssa sopimusperusteisesti, jotta ne ovat saavutettavia ja täyttävät 138 §:ssä vahvistetut edellytykset:</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Vuoden kuluttua tämän säännöstön voimaantulosta:</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Katalonian julkisen sektorin ja julkisten toimielinten verkkosivustot.</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Kahden vuoden kuluttua tämän säännöstön voimaantulosta:</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Katalonian julkisen sektorin ja julkisten toimielinten mobiililaitesovellukset.</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Kolmen vuoden kuluttua tämän säännöstön voimaantulosta:</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Sellaisten yhteisöjen tai yritysten mobiililaitteille tarkoitetut verkkosivustot ja sovellukset, jotka tarjoavat julkisia palveluja toimiluvan perusteella tai julkishallinnon kanssa sopimusperusteisesti.</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Ilmoitetut määräajat eivät rajoita sellaisten tiukempien määräaikojen noudattamista, joita palvelun ominaispiirteet saattavat edellyttää tämän liitteen muiden osien tai muiden palvelua koskevien säännösten mukaisesti.</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Esittäviin taiteisiin, elokuviin ja urheilutapahtumiin liittyvät palvelut</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Seuraavat lopulliset määräajat asetetaan, jotta laitosten verkkosivustot ja sähköiset lipunmyyntikanavat ovat saavutettavia ja täyttävät 133 §:ssä säädetyt edellytykset:</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Kahden vuoden kuluttua tämän säännöstön voimaantulosta:</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Sellaisten laitosten verkkosivustot ja mobiilisovellukset, joiden kapasiteetti on vähintään 2 000 paikkaa koko alueella.</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Sellaisten lipunmyyntialustojen verkkosivustot ja mobiilisovellukset, jotka hallinnoivat useampaa kuin yhtä laitosta, joiden yhteenlaskettu kapasiteetti on vähintään 2 000 paikkaa.</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Kolmen vuoden kuluttua tämän säännöstön voimaantulosta:</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Sellaisten lipunmyyntialustojen verkkosivustot ja mobiilisovellukset, jotka hallinnoivat useampaa kuin yhtä laitosta, joiden yhteenlaskettu kapasiteetti on alle 2 000 paikkaa.</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Neljän vuoden kuluttua tämän säännöstön voimaantulosta:</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Sellaisten laitosten verkkosivustot ja mobiilisovellukset, joiden kapasiteetti on alle 2 000 paikkaa koko alueella.</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Kaupalliset palvelut</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Seuraavat lopulliset määräajat asetetaan, jotta verkkosivustot ja mobiilisovellukset, jotka tarjoavat mahdollisuuden verkko-ostoksiin, ja supermarketketjujen sekä elintarvike- tai sekatavarakauppojen verkkosivustot ja mobiilisovellukset voivat olla saavutettavia ja täyttää 126 §:ssä määrätyt edellytykset:</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Kahden vuoden kuluttua tämän säännöstön voimaantulosta:</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Mobiililaitteille tarkoitetut sellaisten supermarketketjujen verkkosivustot ja sovellukset, joissa on vähintään 10 toimipistettä, joiden yleiseen käyttöön tarkoitettu kokonaispinta-ala on yli 500 neliömetriä.</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Kolmen vuoden kuluttua tämän säännöstön voimaantulosta:</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Mobiililaitteille tarkoitetut sellaisten supermarketketjujen verkkosivustot ja sovellukset, joissa on 5–9 toimipistettä, joiden yleiseen käyttöön tarkoitettu kokonaispinta-ala on yli 500 neliömetriä.</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Neljän vuoden kuluttua tämän säännöstön voimaantulosta:</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Mobiililaitteille tarkoitetut sellaisten supermarketketjujen ja elintarvike- tai sekamuotoisten yritysten verkkosivustot ja sovellukset, joiden yleiseen käyttöön tarkoitettu kokonaispinta-ala on yli 500 neliömetriä.</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Rahoitus- ja vakuutuspalvelut</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Seuraavat lopulliset määräajat asetetaan, jotta mobiililaitteille tarkoitetut verkkosivustot ja sovellukset, jotka mahdollistavat pankkitoimien suorittamisen, sopimusten tekemisen, lääkintälautakuntien kuulemisen tai muunlaisen hallinnoinnin tai konsultoinnin yhteisön kanssa tehtyyn sopimukseen kuuluvien tuotteiden osalta, voivat olla saatavilla ja täyttää 127 §:ssä säädetyt edellytykset:</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Vuoden kuluttua tämän säännöstön voimaantulosta:</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Verkkosivut</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Kahden vuoden kuluttua tämän säännöstön voimaantulosta:</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Mobiililaitteiden sovellukset.</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Yksityiseen kuljetukseen liittyvät palvelut</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Seuraavat lopulliset määräajat on asetettu, jotta yritykset, jotka tarjoavat itseohjautuvien autojen vuokrauspalvelua ja joiden ajoneuvokanta on yli 100 ajoneuvoa, ja yritykset, jotka tarjoavat kuljetuspalvelua ja joiden ajoneuvokanta on yli 50, voivat täyttää 128 §:ssä määrätyt edellytykset:</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Vuoden kuluttua tämän säännöstön voimaantulosta:</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Niillä on oltava käytössään ajoneuvoja, joilla voi kuljettaa pyörätuolissa olevia matkustajia ja joiden osuus on vähintään yksi prosentti niiden hallinnoimasta ajoneuvokannasta.</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Niillä on oltava liikuntarajoitteisten kuljettajien käyttöön mukautettuja ajoneuvoja, joiden osuus on vähintään 0,5 prosenttia niiden hallinnoimasta ajoneuvokannasta.</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Aiemmissa kohdissa mainittu tarjonta voidaan toteuttaa omilla ajoneuvoilla tai muiden toimijoiden kanssa tehtävillä sopimuksilla, joilla taataan riittävä saatavuus.</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Kolmen vuoden kuluttua tämän säännöstön voimaantulosta:</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Vähintään 0,5 prosentilla oman ajoneuvokannan ajoneuvoista on voitava kuljettaa pyörätuolissa olevia matkustajia.</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Kuuden vuoden kuluttua tämän säännöstön voimaantulosta:</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Vähintään kahdella prosentilla oman ajoneuvokannan ajoneuvoista on voitava kuljettaa pyörätuolissa olevia matkustajia.</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Vähintään 0,5 prosenttia oman ajoneuvokannan ajoneuvoista on mukautettava liikuntarajoitteisten kuljettajien tarpeisiin.</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Matkailumajoitukseen liittyvät palvelut</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Seuraavat lopulliset määräajat on asetettu, jotta hotelliketjujen ja hotellien toimipaikkojen, joiden kapasiteetti on yli 100 huonetta, verkkosivustot ja mobiilisovellukset, jotka mahdollistavat majoitus- ja verkkopalveluiden varaamisen, ovat saavutettavia ja täyttävät 130 §:ssä määrätyt edellytykset:</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Kahden vuoden kuluttua tämän säännöstön voimaantulosta:</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Sellaisten hotelliketjujen verkkosivustot ja mobiilisovellukset, joilla on vähintään viisi toimipaikkaa ja joiden yhteenlaskettu tarjonta on yli 500 huonetta.</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Kolmen vuoden kuluttua tämän säännöstön voimaantulosta:</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Sellaisten hotelliketjujen verkkosivustot ja mobiilisovellukset, joilla on enintään neljä toimipaikkaa ja joiden yhteenlaskettu tarjonta on yli 500 huonetta.</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Sellaisten toimipaikkojen verkkosivustot ja mobiilisovellukset, joissa on vähintään 500 huonetta.</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Neljän vuoden kuluttua tämän säännöstön voimaantulosta:</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Sellaisten hotelliketjujen verkkosivustot ja mobiilisovellukset, joiden yhteenlaskettu tarjonta on 100–500 huonetta.</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Sellaisten toimipaikkojen mobiililaitteille tarkoitetut verkkosivustot ja sovellukset, joissa on 50–500 huonetta.</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Koulutuspalvelut</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Seuraavat lopulliset määräajat on asetettu, jotta virallista koulutusta tarjoavien oppilaitosten verkkosivustot ja mobiilisovellukset ovat saavutettavia ja täyttävät 135 §:ssä määrätyt edellytykset:</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Kahden vuoden kuluttua tämän säännöstön voimaantulosta:</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Mobiililaitteille tarkoitetut verkkosivut ja sovellukset, jotka mahdollistavat opintorekisteritietojen tarkastelun, kuittien hallinnan tai muut verkkomenettelyt.</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Kolmen vuoden kuluttua tämän säännöstön voimaantulosta:</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Mobiililaitteille tarkoitetut verkkosivut ja sovellukset, jotka tarjoavat tietoa koulusta, tiloista ja koulutustarjonnasta.</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Terveyspalvelut</w:t>
      </w:r>
    </w:p>
    <w:p w14:paraId="62E28D59" w14:textId="77777777" w:rsidR="00E526B5" w:rsidRPr="000F0A63" w:rsidRDefault="00E526B5" w:rsidP="00E526B5">
      <w:pPr>
        <w:tabs>
          <w:tab w:val="left" w:pos="284"/>
        </w:tabs>
        <w:jc w:val="both"/>
        <w:rPr>
          <w:bCs/>
          <w:sz w:val="22"/>
          <w:szCs w:val="22"/>
          <w:rFonts w:cs="Arial"/>
        </w:rPr>
      </w:pPr>
      <w:r>
        <w:rPr>
          <w:sz w:val="22"/>
        </w:rPr>
        <w:t xml:space="preserve">Terveyskeskusten, joissa on vähintään 50 vuodepaikkaa, on noudatettava seuraavia määräaikoja ja ehtoja:</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Kolmen vuoden kuluttua tämän säännöstön voimaantulosta:</w:t>
      </w:r>
    </w:p>
    <w:p w14:paraId="727C4E74" w14:textId="77777777" w:rsidR="00E526B5" w:rsidRPr="000F0A63" w:rsidRDefault="00E526B5" w:rsidP="00E526B5">
      <w:pPr>
        <w:tabs>
          <w:tab w:val="left" w:pos="284"/>
        </w:tabs>
        <w:jc w:val="both"/>
        <w:rPr>
          <w:sz w:val="22"/>
          <w:szCs w:val="22"/>
          <w:rFonts w:cs="Arial"/>
        </w:rPr>
      </w:pPr>
      <w:r>
        <w:rPr>
          <w:sz w:val="22"/>
        </w:rPr>
        <w:t xml:space="preserve">Infrastruktuurin, mobiililaitteiden ja käytäntöjen käyttöönotto, jotta kuuroja voidaan palvella etätulkkaustekniikan avulla katalonialaisella viittomakielellä vähintään kahdessa prosentissa paikoista.</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