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Ministrite nõukogule tehakse ettepanek kiita heaks järgmine õigusakti eelnõu:</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Kuningliku dekreedi eelnõu, millega muudetakse tehnilist ehitusseadustikku, mis kiideti heaks 17. märtsi kuningliku dekreediga 314/2006</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5. novembri 1999. aasta seadus nr 38/1999 ehituseeskirjade kohta määratleb tehnilise ehitusseadustiku reguleeriva raamistikuna, mis kehtestab ehitistele ja nende sisseseadetele põhilised kvaliteedinõuded ning võimaldab täita artiklis 3 sätestatud põhinõudeid. Selle seadusega ette nähtud tehniline ehitusseadustik kiideti heaks 17. märtsi 2006. aasta kuningliku dekreediga 314/2006. Ehitusseadustiku II osa moodustavad alusdokumendid sätestavad ja vajaduse korral kvantifitseerivad I osas sätestatud põhinõuded ning kehtestavad tulemuseesmärgid või piirmäärad või muud parameetrid. Eelkõige on DB-HE alusdokumendis „Energiasääst“ täpsustatud ja kvantifitseeritud energiatõhususe nõudeid, mida uued hooned peavad täitma, ning meetmed olemasolevatele hoonetele.</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30. mail 2018 võeti vastu Euroopa Parlamendi ja nõukogu direktiiv (EL) 2018/844, millega muudetakse direktiivi 2010/31/EL hoonete energiatõhususe kohta ja direktiivi 2012/27/EL, milles käsitletakse energiatõhusust.</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Käesoleva direktiiviga soovitatakse kehtestada tingimused, mille alusel arendada hoonete parklates elektrisõidukite laadimiseks vajalikku taristut. Seega on nii ehitus- kui ka liikuvussektor majanduse üldise CO2-heite vähendamise seisukohast strateegilised valdkonnad, millel on õigusraamistik, mille eesmärk on edendada innovatsiooni, jätkusuutlikkust ja energiatõhusust nendes sektorites.</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Elektrisõidukite nutika laadimise taristu arendamine omakorda aitab kaasa energiajuhtimisele ja paindlikkusele, taastuvate energiaallikate kasutamisele ja õhukvaliteedi parandamisele ning optimeerib selle energiatõhusust, kuna muudab hooned digitaalsemaks ja kaasab valdkonna uusi tehnoloogiaid.</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Hispaania poolt Euroopa Komisjonile esitatud lõimitud riiklikus energia- ja kliimakavas aastateks 2021–2030 (PNIEC) on omalt poolt ette nähtud elektrilise liikuvuse edendamine energiatarbimise ja sõidukite heite vähendamise meetmena, kus kohandatakse õigusnorme ja võetakse üle Euroopa Liidu õigus, mis võimaldab võtta kasutusele elektrisõidukite laadimistaristu kooskõlas sõidukipargi elektrifitseerimise arenguga, samuti muude julgustamis- ja toetusmehhanismide kaudu.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Nende eesmärkide saavutamiseks ja sellega seoses direktiivi osaliseks ülevõtmiseks lisatakse käesoleva kuningliku dekreediga tehnilisse ehitusseadustikku uus energia säästmise põhinõue, mis on seotud elektrisõidukite </w:t>
      </w:r>
      <w:r>
        <w:rPr>
          <w:rFonts w:ascii="Calibri" w:hAnsi="Calibri"/>
          <w:sz w:val="22"/>
        </w:rPr>
        <w:lastRenderedPageBreak/>
        <w:t xml:space="preserve">laadimistaristu minimaalsete eraldistega, mida arendatakse energia säästmise põhidokumendi DB-HE „Energiasääst“ uues jaos HE 6 „Elektrisõidukite minimaalsed laadimistaristu rajatised“.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Teisalt tuleb märkida, et 20. mai seaduse 7/2021 (kliimamuutuste ja energiasüsteemi ümberkujundamise kohta) artikli 15 lõikes 10 on osutatud tehnilisele ehitusseadustikule, millega tuleb kehtestada miinimumnõuded elektrisõidukite laadimistaristu kohta olemasolevates hoonetes, mis ei ole ette nähtud isikliku eluasemena kasutamiseks ja millel on üle 20 parkimiskohaga parkimisala kas sise- või selleks määratud välispinnal; vastavad sätted peaksid olema vastu võetud 1. jaanuariks 2023. Need minimaalsed eraldised on siiski lõplikult kindlaks määratud 21. detsembri kuningliku dekreetseadusega 29/2021, millega võetakse vastu kiireloomulised meetmed energia valdkonnas, et edendada elektrilist liikuvust, omatarbimist ja taastuvenergia kasutuselevõttu, mis sisaldab seda nõuet artiklis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Elektrisõidukite laadimistaristute reguleerimise lõpuleviimiseks muudetakse ka 12. detsembri kuninglikku dekreeti 1053/2014, millega kiidetakse heaks uus madalpinge-elektrotehnilise eeskirja täiendav tehniline juhend (ITC) BT-52 „Eriotstarbega paigaldised. Elektrisõidukite laadimistaristud“, mis kiideti heaks 2. augusti kuningliku dekreediga 842/2002, ja muudetakse muid täiendavaid tehnilisi juhiseid.</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Lisaks nähakse taastuvenergia edendamise, tootmissektorite konkurentsivõime parandamise ja tarbijate energia haldamisse suurema kaasamise meetmena ette, et PNIEC arendaks taastuvenergiaga seotud isetarbimist ning jaotataks tootmine elamumajandus- ja ärivaldkondades.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Sellega seoses on 5. aprilli 2019. aasta kuningliku dekreedi 244/2019 (millega reguleeritakse elektrienergia omatarbimise haldus-, tehnilisi ja majanduslikke tingimusi) heakskiitmine võimaldanud muu hulgas kollektiivset omatarbimist ja samal ajal vähendanud omatarbimise teostamise haldusmenetlusi. Seepärast leitakse, et praegune õigusraamistik võimaldab laiendada põhinõude HE 5 kohaldamisala seoses minimaalse elektritootmisega taastuvenergiaallikatest ning muudab selle kohaldatavaks nii isikliku eluasemena kasutamiseks mõeldud hoonetes kui ka alandades nõuet täitvate hoonete ehituspinna künnist kõigi kasutusotstarvetega hoonetes, mille kohta nõue kehtib.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Lisaks peetakse vajalikuks muuta põhidokumentide DB-HE „Energiasääst“</w:t>
      </w:r>
      <w:bookmarkStart w:id="0" w:name="_Hlk92819359"/>
      <w:bookmarkEnd w:id="0"/>
      <w:r>
        <w:rPr>
          <w:rFonts w:ascii="Calibri" w:hAnsi="Calibri"/>
          <w:sz w:val="22"/>
        </w:rPr>
        <w:t xml:space="preserve"> ja DB-HS „Tervis“ osasid, et hõlbustada nende kohaldamist, ning muuta kiiresti põhidokumenti DB-SUA „Kasutusohutus ja ligipääsetavus“, et lisada juurdepääsetavate parkimiskohtade laadimisjaamadele ligipääsetavuse kriteeriumid.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Tehnilise ehitusseadustiku muudatus seoses energia säästmist käsitleva põhidokumendi DB-HE uue jaotise HE 6 „Miinimumsätted elektrisõidukite laadimistaristu kohta“ lisamisega ning 12. detsembri kuningliku dekreedi 1053/2014 muutmine, millega kiidetakse heaks uus täiendav tehniline juhend BT 52, mis sisaldub esimeses lõppsättes, on osa taastamis-, ümberehitus- ja vastupidavuskavas kavandatud regulatiivsetest reformidest. Saasteainete heite- ja ülekanderegistri 1. komponent „Jätkusuutliku, ohutu ja ühendatud liikuvuse šokikava linna- ja suurlinnapiirkondades“ hõlmab kõnealuse kuningliku dekreedi heakskiitmist, millega rakendatakse eespool nimetatud regulatiivseid reforme C1.R1 reformi raames, mille nimi on „Laadimistaristu kasutuselevõtu ja elektrisõidukite edendamise kava“.  C1.R1 reform on kavandatud õiguslikuks, regulatiivseks ja strateegiliseks raamistikuks, et hõlbustada laadimistaristu kasutuselevõttu elektrisõidukite edendamiseks Hispaanias, ning sellel on kaks vahe-eesmärki. Esimene neist on moodustatud 19. veebruari 1997. aasta määrusega TMA/178/2020, millega muudetakse 16. detsembri 1997. aasta määrust, millega reguleeritakse juurdepääsu riiklikele teedele, teenindusteedele ja teenindusrajatiste ehitamist, ning 23. juuni kuningliku dekreet-seadusega 23/2020, millega kiidetakse heaks meetmed energia ja muude piirkondade majanduse elavdamiseks. Reformi C1.R1 teine vahe-eesmärk hõlmab kõnealuse kuningliku dekreedi (millega muudetakse tehnilist ehitusseadustikku) ja 12. detsembri kuningliku dekreedi 1053/2014 heakskiitmist, millega kiideti heaks uus täiendav tehniline juhend BT 52.  Selle reformi puhul on ajaliselt tähtsaks verstapostiks seda reguleeriva kuningliku dekreedi jõustumine enne 30. juunit 2022. Reform C1.R1 on seotud </w:t>
      </w:r>
      <w:r>
        <w:rPr>
          <w:rFonts w:ascii="Calibri" w:hAnsi="Calibri"/>
          <w:sz w:val="22"/>
        </w:rPr>
        <w:lastRenderedPageBreak/>
        <w:t xml:space="preserve">investeeringuga C1.I2 „Ergutuskava laadimispunktide paigaldamiseks, elektri- ja kütuseelemendiga sõidukite soetamiseks ning innovatsiooniks elektromobiilsuse, laadimise ja rohelise vesiniku valdkonnas“. See investeering hõlmab 13. aprilli kuninglikus dekreedis 266/2021, millega kiidetakse heaks abi andmine Ceuta ja Melilla autonoomsetele piirkondadele ning linnadele elektritranspordiga seotud stimuleerimiskavade rakendamiseks (MOVES III), sätestatud abiliine laadimisjaamade rajamiseks saasteainete heite- ja ülekanderegistri raames.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Käesolevas kuninglikus dekreedis austatakse (ei tekita olulist kahju) põhimõtet ning kliima- ja digimärgistuse tingimusi kooskõlas saasteainete heite- ja ülekanderegistri sätetega, Euroopa Parlamendi ja nõukogu 12. veebruari 2021. aasta määrusega (EL) nr 2021/241, millega kehtestatakse vastupidavus- ja taastemehhanism, ning selle rakendusaktidega, eelkõige komisjoni tehniliste suunistega vastupanuvõime- ja taastemehhanismi määruse kohase märkimisväärse kahju vältimise põhimõtte kohaldamise kohta ning nõukogu rakendusotsuse nõuetega Hispaania taaste-, ümberkujundamis- ja vastupidavuskava hindamise heakskiitmise kohta. See hõlmab vastavust konkreetsetele tingimustele, mis on sätestatud 1. komponendis ja reformis nr 1, milles käesolev kuninglik dekreet on ette nähtud, nii põhimõtte „ei kahjusta oluliselt“ ning kliima- ja digimärgistuse osas, eelkõige saasteainete heite- ja ülekanderegistri komponendi dokumendi 3., 6. ja 8. jaotises. Saasteainete heite- ja ülekanderegistri investeeringud C1.I2, mis on seotud reformiga C1.R1, järgivad ka põhimõtet, et keskkonda ning kliima- ja digimärgistuse tingimusi ei tohi oluliselt kahjustada.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Käesolev kuninglik dekreet on kooskõlas vajalikkuse, tõhususe, proportsionaalsuse, õiguskindluse, läbipaistvuse ja tõhususe põhimõtetega, mis on sätestatud 1. oktoobri 2015. aasta seaduse 39/2015 (avalike haldusasutuste ühise haldusmenetluse kohta) artiklis 129. Vajalikkuse ja tõhususe põhimõtete osas vastab seadus Euroopa direktiivide siseriiklikku õigusesse ülevõtmise kohustusele ning on kooskõlas üldist huvi pakkuvate eesmärkidega, nagu ehitustaristu kohandamine säästva liikuvuse ja taastuvenergia kasutamise edendamiseks. See toob kaasa heaolu ühiskonnas ja kaitseb keskkonda. Käesolev kuninglik dekreet on kooskõlas ka proportsionaalsuse põhimõttega, kuna see näeb ette vajalikud ja piisavad vahendid direktiivis ette nähtud õigusliku volituse rakendamiseks, kuid ei nõua uuendusi, mis võivad olla tarbetud või ületavad õiguslikke nõudeid, samuti ei piira see kodanike õigusi. See määrus vastab õiguskindluse põhimõttele, kuna see töötati välja vastavalt 27. novembri 1997. aasta valitsuse seaduses 50/1997 määratletud menetlustele, ning läbipaistvuse põhimõttele, kuna selles on selgelt määratletud selle eesmärk ja selle seletuskiri selgitab selle sisu täies ulatuses. Lõpuks vastab see ka tõhususe põhimõttele, sest sellega ei kaasne mingit halduskoormust.</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Selle üldsätte suhtes on kohaldatud valitsuse 27. novembri seaduse 50/1997 artiklis 26 sätestatud eelneva avaliku konsultatsiooni, avaliku arutelu ja teavitamise korda, samuti tehnilistest eeskirjadest ja infoühiskonna teenuste eeskirjadest teatamise korda, mis on sätestatud Euroopa Parlamendi ja nõukogu 9. septembri 2015. aasta direktiivis (EL) 2015/1535 ja 31. juuli 1999. aasta kuninglikus dekreedis 1337/1999.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Sellest tulenevalt transpordi, liikuvuse ja linnade tegevuskava ministri ning ökoloogilise ülemineku ja demograafiliste probleemide ministri ettepanekul kokkuleppel riiginõukoguga ja pärast ministrite nõukogus toimunud arutelusid</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ANTAKSE VÄLJA ALLJÄRGNEV DEKREET.</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Üks artikkel. </w:t>
      </w:r>
      <w:r>
        <w:rPr>
          <w:rFonts w:ascii="Calibri" w:hAnsi="Calibri"/>
          <w:i/>
          <w:sz w:val="22"/>
        </w:rPr>
        <w:t>Tehnilise ehitusseadustiku muudatus, mis kiideti heaks 17. märtsi 2006. aasta kuningliku dekreediga 314/2006.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17. märtsi kuningliku dekreediga 314/2006 heaks kiidetud tehnilist ehitusseadustikku muudetakse järgmiselt:</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Esiteks. I osa sisukorda muudetakse järgmiselt:</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Sõnad „15.6. Põhinõue HE5: Minimaalne elektritootmine“ asendatakse järgmisega:</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„15.6. Põhinõue HE5: Elektrienergia minimaalne tootmine taastuvatest energiaallikatest“</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Artikli 15 viitesse lisatakse uus punkt järgmises sõnastuses:</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Põhinõue HE6: Elektrisõidukite laadimistaristu miinimumseadmed.</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Teiseks. I osa artiklit 15 muudetakse järgmiselt:</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Punkti 15.6 muudetakse järgmiselt:</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Põhinõue HE 5: Taastuvatest energiaallikatest elektri minimaalne tootmine.</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Hoonetes peavad olema taastuvatest energiaallikatest elektritootmissüsteemid oma tarbeks või võrguga varustamiseks.“</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Lisatakse uus punkt 15.7, mille sisu on järgmine:</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Põhinõue HE 6: Elektrisõidukite laadimistaristu miinimumseadmed.</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Hoonetel peab olema miinimumtaristu, mis võimaldab elektrisõidukite laadimist.“</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Kolmandaks. II osas sisalduvas põhidokumendis DB-HE „Energiasääst“ tehakse järgmised muudatused:</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„Sissejuhatuse“ jaotise „I teema“ esimeses lõigus lauses „Käesoleva DB jaotised vastavad põhinõuetele HE 0 a kuni HE 5“ peaks „HE 5“ asemel olema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Sissejuhatuse I jaotises „Teema” muudetakse viidet ehitusseadustiku I osa artiklile 15.6 järgmiselt:</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Põhinõue HE 5: Taastuvatest energiaallikatest elektri minimaalne tootmine.</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Hoonetes peavad olema taastuvatest energiaallikatest elektritootmissüsteemid oma tarbeks või võrguga varustamiseks.“</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Sissejuhatuse I jaotisesse „Teema” lisatakse ehitusseadustiku lõppu viitele ehitusseadustiku I osa artiklile 15 järgmine punkt järgmise tekstiga:</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Põhinõue HE 6: Elektrisõidukite laadimistaristu miinimumseadmed.</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Hoonetel peab olema miinimumtaristu, mis võimaldab </w:t>
      </w:r>
      <w:r>
        <w:rPr>
          <w:rFonts w:ascii="Calibri" w:hAnsi="Calibri"/>
          <w:i/>
          <w:iCs/>
          <w:sz w:val="22"/>
        </w:rPr>
        <w:t>elektrisõidukite</w:t>
      </w:r>
      <w:r>
        <w:rPr>
          <w:rFonts w:ascii="Calibri" w:hAnsi="Calibri"/>
          <w:sz w:val="22"/>
        </w:rPr>
        <w:t xml:space="preserve"> laadimist.“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Sisukorras muudetakse jaotise HE 5 pealkirja järgmiselt:</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„Jaotis HE 5 Minimaalne elektrienergia tootmine taastuvatest energiaallikatest.“</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Artikli 15 viitesse lisatakse järgmine punkt:</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„Jaotis HE 6 Elektrisõidukite laadimistaristu miinimumnõuded</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Kohaldamisala</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Nõude kirjeldus</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Nõude kvantifitseerimine</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Nõude põhjendus</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Ehitus, hooldus ja korrashoid</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Täitmine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Tööde teostamise järelevalve</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Lõpetatud töö kontrollimine</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lastRenderedPageBreak/>
        <w:t>5.4</w:t>
      </w:r>
      <w:r>
        <w:rPr>
          <w:rFonts w:ascii="Calibri" w:hAnsi="Calibri"/>
          <w:sz w:val="22"/>
        </w:rPr>
        <w:tab/>
        <w:t>Hoone hooldus ja korrashoid“</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1 „Reguleerimisala“ lõike 1 sõnastus „...kui laiendatud kasulik kogupind on suurem kui 50 m</w:t>
      </w:r>
      <w:r>
        <w:rPr>
          <w:rFonts w:ascii="Calibri" w:hAnsi="Calibri"/>
          <w:sz w:val="22"/>
          <w:vertAlign w:val="superscript"/>
        </w:rPr>
        <w:t>2</w:t>
      </w:r>
      <w:r>
        <w:rPr>
          <w:rFonts w:ascii="Calibri" w:hAnsi="Calibri"/>
          <w:sz w:val="22"/>
        </w:rPr>
        <w:t>;“, asendatakse järgmisega: „...kui laiendatud kasulik pind ületab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3 „Nõude kvantifitseerimine“ lõike 3.1 „Taastumatu primaarenergia tarbimine“</w:t>
      </w:r>
      <w:bookmarkStart w:id="1" w:name="_Hlk96944651"/>
      <w:bookmarkEnd w:id="1"/>
      <w:r>
        <w:rPr>
          <w:rFonts w:ascii="Calibri" w:hAnsi="Calibri"/>
          <w:sz w:val="22"/>
        </w:rPr>
        <w:t xml:space="preserve"> esimeses lõigus </w:t>
      </w:r>
      <w:bookmarkStart w:id="2" w:name="_Hlk96943118"/>
      <w:r>
        <w:rPr>
          <w:rFonts w:ascii="Calibri" w:hAnsi="Calibri"/>
          <w:sz w:val="22"/>
        </w:rPr>
        <w:t>asendatakse väljend „Cep,nren“ väljendiga „C</w:t>
      </w:r>
      <w:r>
        <w:rPr>
          <w:rFonts w:ascii="Calibri" w:hAnsi="Calibri"/>
          <w:sz w:val="22"/>
          <w:vertAlign w:val="subscript"/>
        </w:rPr>
        <w:t>ep,nren</w:t>
      </w:r>
      <w:r>
        <w:rPr>
          <w:rFonts w:ascii="Calibri" w:hAnsi="Calibri"/>
          <w:sz w:val="22"/>
        </w:rPr>
        <w:t>“ ja väljend „Cep,nren,lim“ asendatakse väljendiga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3 „Nõude kvantifitseerimine“ lõike 3.1 „Taastumatu primaarenergia tarbimine“ teises lõigus asendatakse väljend „Cep,nren,lim“ väljendiga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3 „Nõude kvantifitseerimine“ lõike 3.2 „Primaarenergia kogutarbimine“ esimeses lõigus asendatakse väljend „Cep,tot“ väljendiga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3 „Nõude kvantifitseerimine“ lõike 3.2 „Primaarenergia kogutarbimine“ teises lõigus asendatakse väljend „Cep,tot,lim“ väljendiga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punktis 3 „Nõuete kvantifitseerimine“ peaks mõiste „</w:t>
      </w:r>
      <w:r>
        <w:rPr>
          <w:rFonts w:ascii="Calibri" w:hAnsi="Calibri"/>
          <w:i/>
          <w:sz w:val="22"/>
        </w:rPr>
        <w:t>isikliku eluasemena kasutamine</w:t>
      </w:r>
      <w:r>
        <w:rPr>
          <w:rFonts w:ascii="Calibri" w:hAnsi="Calibri"/>
          <w:sz w:val="22"/>
        </w:rPr>
        <w:t>“ olema kaldkirjas.</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4.1 „Arvutamise kord“ lõikes 9 asendatakse sõnad „tunnustatud dokument“ sõnadega „hoonete energiamärgistuse tunnustatud dokument“.</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Jaotise HE 0 punkti 4.1 „Arvutamise kord“ lõige 9 muudetakse lõikeks 11 ja lisatakse järgmised lõigud:</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Käesoleva ehitusdirektiivi nõuete kontrollimiseks vajalik energiabilanss arvutatakse kooskõlas standardiga UNE-EN ISO 52000-1:2019 </w:t>
      </w:r>
      <w:r>
        <w:rPr>
          <w:rFonts w:ascii="Calibri" w:hAnsi="Calibri"/>
          <w:i/>
          <w:sz w:val="22"/>
        </w:rPr>
        <w:t>Hoonete energiatõhususe üldhinnang. 1. osa: üldine raamistik ja menetlused</w:t>
      </w:r>
      <w:r>
        <w:rPr>
          <w:rFonts w:ascii="Calibri" w:hAnsi="Calibri"/>
          <w:sz w:val="22"/>
        </w:rPr>
        <w:t>, kasutades eksporditegurit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Erinevate teenuste jaotamisel arvutatakse kohapeal toodetud elektrienergia jaotus iga ajavahemiku kohta proportsionaalselt asjaomase tarbimise elektritarbimisega (küte, jahutus, ventilatsioon, õhuvahetussüsteem ja kolmanda taseme kasutamine lisaks valgustusele).“</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Jaotise HE 0 punkti 4.3 „Sisetaotlused ja kasutustingimused“ lõikes 2 peaks mõiste „</w:t>
      </w:r>
      <w:r>
        <w:rPr>
          <w:rFonts w:ascii="Calibri" w:hAnsi="Calibri"/>
          <w:i/>
          <w:iCs/>
          <w:sz w:val="22"/>
        </w:rPr>
        <w:t>isikliku eluasemena kasutamine</w:t>
      </w:r>
      <w:r>
        <w:rPr>
          <w:rFonts w:ascii="Calibri" w:hAnsi="Calibri"/>
          <w:sz w:val="22"/>
        </w:rPr>
        <w:t>“ olema kaldkirjas.</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Jaotise HE 0 punkti 4.5 „Võrdlussüsteemid isikliku eluasemena kasutamise korral“ pealkirjas ja lõikes 1 tuleks termin „</w:t>
      </w:r>
      <w:r>
        <w:rPr>
          <w:rFonts w:ascii="Calibri" w:hAnsi="Calibri"/>
          <w:i/>
          <w:iCs/>
          <w:sz w:val="22"/>
        </w:rPr>
        <w:t>isikliku eluasemena kasutamine</w:t>
      </w:r>
      <w:r>
        <w:rPr>
          <w:rFonts w:ascii="Calibri" w:hAnsi="Calibri"/>
          <w:sz w:val="22"/>
        </w:rPr>
        <w:t>“ esitada kaldkirjas.</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Jaotise HE 1 punkt 3 „Nõude koguseline kindlaksmääramine“, punkt 3.1.1. </w:t>
      </w:r>
      <w:r>
        <w:rPr>
          <w:rFonts w:ascii="Calibri" w:hAnsi="Calibri"/>
          <w:i/>
          <w:iCs/>
          <w:sz w:val="22"/>
        </w:rPr>
        <w:t>Soojusümbrise</w:t>
      </w:r>
      <w:r>
        <w:rPr>
          <w:rFonts w:ascii="Calibri" w:hAnsi="Calibri"/>
          <w:sz w:val="22"/>
        </w:rPr>
        <w:t xml:space="preserve"> läbitavus, tabelites 3.1.1.b-HE1 ja 3.1.1.c-HE1 peaks mõiste „kompaktsus“ olema kaldkirjas.</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Jaotise HE 1 punkt 3 „Nõude koguseline kindlaksmääramine“, punkt 3.1.1. </w:t>
      </w:r>
      <w:r>
        <w:rPr>
          <w:rFonts w:ascii="Calibri" w:hAnsi="Calibri"/>
          <w:i/>
          <w:iCs/>
          <w:sz w:val="22"/>
        </w:rPr>
        <w:t>Soojusümbrise</w:t>
      </w:r>
      <w:r>
        <w:rPr>
          <w:rFonts w:ascii="Calibri" w:hAnsi="Calibri"/>
          <w:sz w:val="22"/>
        </w:rPr>
        <w:t xml:space="preserve"> läbitavus tabeli joonealustes märkustes 3.1.1.b-HE1 ja tabelites 3.1.1.c-HE1 esitatud mõiste „kompaktsus“ ning tabeli 3.1.1.c-HE1 joonealuses märkuses esitatud mõiste „kompaktsus“ peaks olema kaldkirjas.</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Jaotise HE 1 punkt 3 „Nõude koguseline kindlaksmääramine“, punkt 3.1.1. </w:t>
      </w:r>
      <w:r>
        <w:rPr>
          <w:rFonts w:ascii="Calibri" w:hAnsi="Calibri"/>
          <w:i/>
          <w:sz w:val="22"/>
        </w:rPr>
        <w:t>Soojusümbrise</w:t>
      </w:r>
      <w:r>
        <w:rPr>
          <w:rFonts w:ascii="Calibri" w:hAnsi="Calibri"/>
          <w:sz w:val="22"/>
        </w:rPr>
        <w:t xml:space="preserve"> läbitavus lõike 3 kolmandas lõigus ja tabelis 3.1.1.b-HE1 peaks mõiste „</w:t>
      </w:r>
      <w:r>
        <w:rPr>
          <w:rFonts w:ascii="Calibri" w:hAnsi="Calibri"/>
          <w:i/>
          <w:sz w:val="22"/>
        </w:rPr>
        <w:t>isikliku eluasemena kasutamine</w:t>
      </w:r>
      <w:r>
        <w:rPr>
          <w:rFonts w:ascii="Calibri" w:hAnsi="Calibri"/>
          <w:sz w:val="22"/>
        </w:rPr>
        <w:t>“ olema kaldkirjas.</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Jaotise HE 1 punkt 3 „Nõude koguseline kindlaksmääramine“, punkt 3.1.1. </w:t>
      </w:r>
      <w:r>
        <w:rPr>
          <w:rFonts w:ascii="Calibri" w:hAnsi="Calibri"/>
          <w:i/>
          <w:iCs/>
          <w:sz w:val="22"/>
        </w:rPr>
        <w:t>Soojusümbrise</w:t>
      </w:r>
      <w:r>
        <w:rPr>
          <w:rFonts w:ascii="Calibri" w:hAnsi="Calibri"/>
          <w:sz w:val="22"/>
        </w:rPr>
        <w:t xml:space="preserve"> läbitavus tabelites 3.1.1.b-HE1 ja 3.1.1.c-HE1 peaks mõiste „soojusümbris“ olema kaldkirjas.</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Jaotise HE 1 punkti 3 „Nõude kvantifitseerimine“ punkti 3.1.1 „</w:t>
      </w:r>
      <w:r>
        <w:rPr>
          <w:rFonts w:ascii="Calibri" w:hAnsi="Calibri"/>
          <w:i/>
          <w:iCs/>
          <w:sz w:val="22"/>
        </w:rPr>
        <w:t>Soojusümbrise läbitavus</w:t>
      </w:r>
      <w:r>
        <w:rPr>
          <w:rFonts w:ascii="Calibri" w:hAnsi="Calibri"/>
          <w:sz w:val="22"/>
        </w:rPr>
        <w:t>“ lisatakse järgmine lõik:</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„6 Alternatiivina võib </w:t>
      </w:r>
      <w:r>
        <w:rPr>
          <w:rFonts w:ascii="Calibri" w:hAnsi="Calibri"/>
          <w:i/>
          <w:iCs/>
          <w:sz w:val="22"/>
        </w:rPr>
        <w:t>soojusümbrise kaudu toimuva soojusülekande üldise koefitsiendi (K)</w:t>
      </w:r>
      <w:r>
        <w:rPr>
          <w:rFonts w:ascii="Calibri" w:hAnsi="Calibri"/>
          <w:sz w:val="22"/>
        </w:rPr>
        <w:t xml:space="preserve"> järgimisest välja jätta hooned või juhul, kui tegemist on osalise sekkumisega olemasolevates hoonetes, hoone osad, mille kütte- ja jahutusvajadus on mõlemal juhul väiksem kui 15 kWh/m</w:t>
      </w:r>
      <w:r>
        <w:rPr>
          <w:rFonts w:ascii="Calibri" w:hAnsi="Calibri"/>
          <w:sz w:val="22"/>
          <w:vertAlign w:val="superscript"/>
        </w:rPr>
        <w:t>2</w:t>
      </w:r>
      <w:r>
        <w:rPr>
          <w:rFonts w:ascii="Calibri" w:hAnsi="Calibri"/>
          <w:sz w:val="22"/>
        </w:rPr>
        <w:t>.“</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Jaotise HE 1 punkti 3 „Nõude kvantifitseerimine“ punktis 3.1.2 „Soojusümbrise päikesevalguse reguleerimine“ asendatakse tekst „Tabel 3.1.2-HE1. Päikesevalguse reguleerimise parameetri qsol;jul,lim [KWh/m</w:t>
      </w:r>
      <w:r>
        <w:rPr>
          <w:rFonts w:ascii="Calibri" w:hAnsi="Calibri"/>
          <w:sz w:val="22"/>
          <w:vertAlign w:val="superscript"/>
        </w:rPr>
        <w:t>2</w:t>
      </w:r>
      <w:r>
        <w:rPr>
          <w:rFonts w:ascii="Calibri" w:hAnsi="Calibri"/>
          <w:sz w:val="22"/>
        </w:rPr>
        <w:t>·mes] piirväärtus“ asendatakse järgmise tekstiga: „Tabel 3.1.2-HE1. Päikesevalguse reguleerimise parameetri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 piirväärtus“.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Jaotise HE 1 punkti 3 „Nõude kvantifitseerimine“ punktis 3.1.3 „Soojusümbrise õhu läbilaskvus“ peab termin „soojusümbris“ olema kaldkirjas nii punkti pealkirjas kui ka tabeli 3.1.3.a-HE1 pealkirjas.</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Jaotise HE 1 punkti 3 „Nõude kvantifitseerimine“ punktile 3.1.3 „</w:t>
      </w:r>
      <w:r>
        <w:rPr>
          <w:rFonts w:ascii="Calibri" w:hAnsi="Calibri"/>
          <w:i/>
          <w:iCs/>
          <w:sz w:val="22"/>
        </w:rPr>
        <w:t>Soojusümbrise õhu läbilaskvus</w:t>
      </w:r>
      <w:r>
        <w:rPr>
          <w:rFonts w:ascii="Calibri" w:hAnsi="Calibri"/>
          <w:sz w:val="22"/>
        </w:rPr>
        <w:t>“ lisatakse uus lõige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Muudatuste korral kohaldatakse tabelit 3.1.3.a-HE1 ainult </w:t>
      </w:r>
      <w:r>
        <w:rPr>
          <w:rFonts w:ascii="Calibri" w:hAnsi="Calibri"/>
          <w:i/>
          <w:sz w:val="22"/>
        </w:rPr>
        <w:t>soojusümbrise</w:t>
      </w:r>
      <w:r>
        <w:rPr>
          <w:rFonts w:ascii="Calibri" w:hAnsi="Calibri"/>
          <w:sz w:val="22"/>
        </w:rPr>
        <w:t xml:space="preserve"> nende osade suhtes, mis asendatakse, inkorporeeritakse või mida oluliselt muudetakse;“</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Punkti 3.1.3 „Soojusümbrise läbilaskvus“ kehtivate punktide 3 ja 4 numeratsioon asendatakse vastavalt numbritega 4 ja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Jaotise HE 1 punkti 3 „Nõude kvantifitseerimine“ punkti 3.1.3 „Soojusümbrise läbilaskvus“ tabelis 3.1.3.b-HE1 esitatud mõiste „kompaktsus“, tabelis 3.1.3.b-HE1 esitatud mõiste „kompaktsus“ ja lõikes 3 esitatud mõiste „isikliku eluasemena kasutamine“ peaksid olema kaldkirjas.</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Jaotise HE 1 punkti 3. „Nõude kvantifitseerimine“ punkti 3.1.3 „</w:t>
      </w:r>
      <w:r>
        <w:rPr>
          <w:rFonts w:ascii="Calibri" w:hAnsi="Calibri"/>
          <w:i/>
          <w:sz w:val="22"/>
        </w:rPr>
        <w:t>Soojusümbrise</w:t>
      </w:r>
      <w:r>
        <w:rPr>
          <w:rFonts w:ascii="Calibri" w:hAnsi="Calibri"/>
          <w:sz w:val="22"/>
        </w:rPr>
        <w:t xml:space="preserve"> läbilaskvus“</w:t>
      </w:r>
      <w:r>
        <w:rPr>
          <w:rFonts w:ascii="Calibri" w:hAnsi="Calibri"/>
          <w:i/>
          <w:sz w:val="22"/>
        </w:rPr>
        <w:t xml:space="preserve"> </w:t>
      </w:r>
      <w:r>
        <w:rPr>
          <w:rFonts w:ascii="Calibri" w:hAnsi="Calibri"/>
          <w:sz w:val="22"/>
        </w:rPr>
        <w:t>tabelis 3.1.3.b-HE1 asendatakse sõnad „m</w:t>
      </w:r>
      <w:r>
        <w:rPr>
          <w:rFonts w:ascii="Calibri" w:hAnsi="Calibri"/>
          <w:sz w:val="22"/>
          <w:vertAlign w:val="superscript"/>
        </w:rPr>
        <w:t xml:space="preserve">3 </w:t>
      </w:r>
      <w:r>
        <w:rPr>
          <w:rFonts w:ascii="Calibri" w:hAnsi="Calibri"/>
          <w:sz w:val="22"/>
        </w:rPr>
        <w:t>/m2“ olema asendatud sõnadega „m</w:t>
      </w:r>
      <w:r>
        <w:rPr>
          <w:rFonts w:ascii="Calibri" w:hAnsi="Calibri"/>
          <w:sz w:val="22"/>
          <w:vertAlign w:val="superscript"/>
        </w:rPr>
        <w:t xml:space="preserve">3 </w:t>
      </w:r>
      <w:r>
        <w:rPr>
          <w:rFonts w:ascii="Calibri" w:hAnsi="Calibri"/>
          <w:sz w:val="22"/>
        </w:rPr>
        <w:t>/m</w:t>
      </w:r>
      <w:r>
        <w:rPr>
          <w:rFonts w:ascii="Calibri" w:hAnsi="Calibri"/>
          <w:sz w:val="22"/>
          <w:vertAlign w:val="superscript"/>
        </w:rPr>
        <w:t xml:space="preserve">2 </w:t>
      </w:r>
      <w:r>
        <w:rPr>
          <w:rFonts w:ascii="Calibri" w:hAnsi="Calibri"/>
          <w:sz w:val="22"/>
        </w:rPr>
        <w:t xml:space="preserve">“.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Jaotise HE 1 punktis 4 „Nõude põhjendatus“ peab olema kaldkirjas kursiivkirjas punktis 4.1.b esitatud mõiste „kompaktsus“ ja punktis 4.1.g esitatud mõiste „isikliku eluasemena kasutamine“.</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Jaotise HE 3 tabelis 3.1-HE 3 „Paigaldustõhususe piirväärtus (VEEI</w:t>
      </w:r>
      <w:r>
        <w:rPr>
          <w:rFonts w:ascii="Calibri" w:hAnsi="Calibri"/>
          <w:sz w:val="22"/>
          <w:vertAlign w:val="subscript"/>
        </w:rPr>
        <w:t>lim</w:t>
      </w:r>
      <w:r>
        <w:rPr>
          <w:rFonts w:ascii="Calibri" w:hAnsi="Calibri"/>
          <w:sz w:val="22"/>
        </w:rPr>
        <w:t xml:space="preserve">)“ asendatakse sõnad „Ettevõtted ja väikesed kauplused“ sõnadega „Ettevõtted ja väikesed kauplused </w:t>
      </w:r>
      <w:r>
        <w:rPr>
          <w:rFonts w:ascii="Calibri" w:hAnsi="Calibri"/>
          <w:sz w:val="22"/>
          <w:vertAlign w:val="superscript"/>
        </w:rPr>
        <w:t>(10)</w:t>
      </w:r>
      <w:r>
        <w:rPr>
          <w:rFonts w:ascii="Calibri" w:hAnsi="Calibri"/>
          <w:sz w:val="22"/>
        </w:rPr>
        <w:t>“ ning lisatakse järgmine joonealune märkus:</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Mõiste „kauplus“ viitab nii väikestele sõltumatutele kauplustele kui ka kaubanduslikuks kasutamiseks mõeldud osale, mida kaubanduskeskustes tavaliselt ei kasutata.“</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Jaotise HE 3 punkti 3.3 „Kontrolli- ja reguleerimissüsteemid“ lõike 2 sõnastus „...võib asendada ühega järgmisest kahest võimalusest: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aktiveerimise ja deaktiveerimise kontroll ajastatud kohaloleku tuvastamise süsteemi abil või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ajastatud surunupu süsteem.“</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asendatakse järgmisega: „...võib asendada ühega järgmisest kahest võimalusest: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aktiveerimise ja deaktiveerimise juhtimine </w:t>
      </w:r>
      <w:r>
        <w:rPr>
          <w:rFonts w:ascii="Calibri" w:hAnsi="Calibri"/>
          <w:i/>
          <w:sz w:val="22"/>
        </w:rPr>
        <w:t xml:space="preserve">ajastatud kohaloleku tuvastamise süsteemi </w:t>
      </w:r>
      <w:r>
        <w:rPr>
          <w:rFonts w:ascii="Calibri" w:hAnsi="Calibri"/>
          <w:sz w:val="22"/>
        </w:rPr>
        <w:t xml:space="preserve">või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 xml:space="preserve">taimerisüsteemi </w:t>
      </w:r>
      <w:r>
        <w:rPr>
          <w:rFonts w:ascii="Calibri" w:hAnsi="Calibri"/>
          <w:sz w:val="22"/>
        </w:rPr>
        <w:t>abil, kasutades surunuppu.</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lastRenderedPageBreak/>
        <w:t xml:space="preserve">Jaotise HE 3 punkti 4. „Nõude põhjendus“ lõike 1 punktis b asendatakse sõnad „... kasutatavate </w:t>
      </w:r>
      <w:r>
        <w:rPr>
          <w:rFonts w:ascii="Calibri" w:hAnsi="Calibri"/>
          <w:i/>
          <w:iCs/>
          <w:sz w:val="22"/>
        </w:rPr>
        <w:t>lampide</w:t>
      </w:r>
      <w:r>
        <w:rPr>
          <w:rFonts w:ascii="Calibri" w:hAnsi="Calibri"/>
          <w:sz w:val="22"/>
        </w:rPr>
        <w:t xml:space="preserve"> kasutegur (lum/W)“ asendatakse järgmisega: „... kasutatavate </w:t>
      </w:r>
      <w:r>
        <w:rPr>
          <w:rFonts w:ascii="Calibri" w:hAnsi="Calibri"/>
          <w:i/>
          <w:iCs/>
          <w:sz w:val="22"/>
        </w:rPr>
        <w:t>lampide</w:t>
      </w:r>
      <w:r>
        <w:rPr>
          <w:rFonts w:ascii="Calibri" w:hAnsi="Calibri"/>
          <w:sz w:val="22"/>
        </w:rPr>
        <w:t xml:space="preserve"> kasutegur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Jaotise HE 4 punkti 2 „Nõude kirjeldus“ lõige 1 sõnastatakse järgmiselt:</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Hoonetes tuleb vajadus sooja tarbevee ning siseruumides köetavate basseinide vee soojendamise järele suures osas rahuldada, kasutades </w:t>
      </w:r>
      <w:r>
        <w:rPr>
          <w:rFonts w:ascii="Calibri" w:hAnsi="Calibri"/>
          <w:i/>
          <w:iCs/>
          <w:sz w:val="22"/>
        </w:rPr>
        <w:t>taastuvallikatest</w:t>
      </w:r>
      <w:r>
        <w:rPr>
          <w:rFonts w:ascii="Calibri" w:hAnsi="Calibri"/>
          <w:sz w:val="22"/>
        </w:rPr>
        <w:t xml:space="preserve"> või taastuvatest koostootmisprotsessidest saadud energiat, mida toodetakse hoones endas või saadakse </w:t>
      </w:r>
      <w:r>
        <w:rPr>
          <w:rFonts w:ascii="Calibri" w:hAnsi="Calibri"/>
          <w:i/>
          <w:sz w:val="22"/>
        </w:rPr>
        <w:t>kaugküttesüsteemist</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Jaotise HE 4 punkti 3 „Nõude kvantifitseerimine“ punkti 3.1. „Minimaalne taastuvenergia panus sooja tarbevee ja/või basseinide kütmise puhul“ lõikes 4 asendatakse sõnad </w:t>
      </w:r>
      <w:bookmarkStart w:id="3" w:name="_Hlk96945986"/>
      <w:r>
        <w:rPr>
          <w:rFonts w:ascii="Calibri" w:hAnsi="Calibri"/>
          <w:sz w:val="22"/>
        </w:rPr>
        <w:t xml:space="preserve">„... </w:t>
      </w:r>
      <w:bookmarkEnd w:id="3"/>
      <w:r>
        <w:rPr>
          <w:rFonts w:ascii="Calibri" w:hAnsi="Calibri"/>
          <w:sz w:val="22"/>
        </w:rPr>
        <w:t>elektrilise käitamise korral rohkem kui 2,5 ja soojusenergiaga töötamisel rohkem kui 1,15...“ järgmisega: „... elektrilise käitamise korral vähemalt 2,5 ja soojusenergiaga töötamisel vähemalt 1,15...“.</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Jaotise HE 4 punkti 3 „Nõude kvantifitseerimine“ punkti 3.1. „Minimaalne taastuvenergia panus sooja tarbevee ja/või basseinide kütmise puhul“ lõike 5 sõnastus „... elamud...“ asendatakse järgmisega: „... </w:t>
      </w:r>
      <w:r>
        <w:rPr>
          <w:rFonts w:ascii="Calibri" w:hAnsi="Calibri"/>
          <w:i/>
          <w:iCs/>
          <w:sz w:val="22"/>
        </w:rPr>
        <w:t>isikliku eluasemena kasutatavad</w:t>
      </w:r>
      <w:r>
        <w:rPr>
          <w:rFonts w:ascii="Calibri" w:hAnsi="Calibri"/>
          <w:sz w:val="22"/>
        </w:rPr>
        <w:t xml:space="preserve"> hooned...“.</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Jaotisesse HE 5 enne punkti 5.1 „Täitmine“ lisatakse järgmine tekst „5. Ehitus, hooldus ja korrashoid“ pealkirjana.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Jaotises HE 5 asendatakse pealkiri „Jaotis HE 5 Elektrienergia minimaalne tootmine“ pealkirjaga „Jaotis HE 5 </w:t>
      </w:r>
      <w:bookmarkStart w:id="4" w:name="_Hlk92123384"/>
      <w:r>
        <w:rPr>
          <w:rFonts w:ascii="Calibri" w:hAnsi="Calibri"/>
          <w:sz w:val="22"/>
        </w:rPr>
        <w:t>Elektrienergia minimaalne tootmine</w:t>
      </w:r>
      <w:bookmarkEnd w:id="4"/>
      <w:r>
        <w:t xml:space="preserve"> </w:t>
      </w:r>
      <w:r>
        <w:rPr>
          <w:rFonts w:ascii="Calibri" w:hAnsi="Calibri"/>
          <w:sz w:val="22"/>
        </w:rPr>
        <w:t>taastuvatest energiaallikatest.“</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Jaotises HE 5 sõnastatakse lõige 1 „Reguleerimisala“ järgmiselt: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Käesolevat jaotist kohaldatakse järgmistel juhtudel: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uued hooned, kui nende ehitatud pindala ületab1 000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olemasolevate hoonete laiendused, kui hooneala suurendatakse rohkem kui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olemasolevad hooned, mis on täielikult renoveeritud või mille kasutusotstarve on muutunud, kui nende ehitatud pindala ületab 1 000 m</w:t>
      </w:r>
      <w:r>
        <w:rPr>
          <w:rFonts w:ascii="Calibri" w:hAnsi="Calibri"/>
          <w:sz w:val="22"/>
          <w:vertAlign w:val="superscript"/>
        </w:rPr>
        <w:t>2</w:t>
      </w:r>
      <w:r>
        <w:rPr>
          <w:rFonts w:ascii="Calibri" w:hAnsi="Calibri"/>
          <w:sz w:val="22"/>
        </w:rPr>
        <w:t>.</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Hoonestatud ala hõlmab hoone sees olevate parkimisalade pindala ja ei hõlma ühiseid vabaõhualasid.“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Jaotise HE 5 punkti 2 „Nõude iseloomustus“ esimene lõik sõnastatakse järgmiselt:</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Hoonetes peavad olema taastuvatest energiaallikatest elektritootmissüsteemid oma tarbeks või võrguga varustamiseks.“</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Jaotise HE 5 punkt 3 „Nõude kvantifitseerimine“ sõnastatakse järgmiselt:</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iCs/>
          <w:sz w:val="22"/>
        </w:rPr>
        <w:t>Minimaalne paigaldamisvõimsus</w:t>
      </w:r>
      <w:r>
        <w:rPr>
          <w:rFonts w:ascii="Calibri" w:hAnsi="Calibri"/>
          <w:sz w:val="22"/>
        </w:rPr>
        <w:t xml:space="preserve"> P</w:t>
      </w:r>
      <w:r>
        <w:rPr>
          <w:rFonts w:ascii="Calibri" w:hAnsi="Calibri"/>
          <w:sz w:val="22"/>
          <w:vertAlign w:val="subscript"/>
        </w:rPr>
        <w:t>min</w:t>
      </w:r>
      <w:r>
        <w:rPr>
          <w:rFonts w:ascii="Calibri" w:hAnsi="Calibri"/>
          <w:sz w:val="22"/>
        </w:rPr>
        <w:t xml:space="preserve"> peab olema järgmise kahe võrrandi väikseim tulemus: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kus:</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iCs/>
          <w:sz w:val="22"/>
        </w:rPr>
        <w:t>paigaldamisvõimsus</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 energiatootmistegur, mille väärtus on 0,005 isikliku eluasemena kasutamise korral ja 0,010 muu kasutuse korral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lastRenderedPageBreak/>
        <w:t>S</w:t>
      </w:r>
      <w:r>
        <w:rPr>
          <w:rFonts w:ascii="Calibri" w:hAnsi="Calibri"/>
          <w:sz w:val="22"/>
        </w:rPr>
        <w:tab/>
        <w:t>hoone hoonepindala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mitteliikluskatuse või ainult korrashoiuks juurdepääsetava katuse pindala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mitteliikluskatuse või hooldustöödeks kasutatava katuse pindala, mida kasutavad ainult päikese soojusenergia kollektorid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Hoonetes, kus linna- või arhitektuurilistel põhjustel või seetõttu, et need on ametlikult kaitstud ehitised, kus muutumatud elemendid määrab ametliku kaitse, ei ole võimalik saavutada minimaalset </w:t>
      </w:r>
      <w:r>
        <w:rPr>
          <w:rFonts w:ascii="Calibri" w:hAnsi="Calibri"/>
          <w:i/>
          <w:sz w:val="22"/>
        </w:rPr>
        <w:t>paigaldamise võimsust</w:t>
      </w:r>
      <w:r>
        <w:rPr>
          <w:rFonts w:ascii="Calibri" w:hAnsi="Calibri"/>
          <w:sz w:val="22"/>
        </w:rPr>
        <w:t>, tuleb seda võimatust põhjendada, analüüsides erinevaid alternatiive, ning võetakse vastu lahendus, mis saavutab maksimaalse paigaldatud võimsuse.“</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Jaotises HE 5 lisatakse punkti 4 „Nõude põhjendus“ järgmine tekst:</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vajaduse korral põhjused, mis takistavad minimaalse vajaliku </w:t>
      </w:r>
      <w:r>
        <w:rPr>
          <w:rFonts w:ascii="Calibri" w:hAnsi="Calibri"/>
          <w:i/>
          <w:sz w:val="22"/>
        </w:rPr>
        <w:t>paigaldamise võimsuse</w:t>
      </w:r>
      <w:r>
        <w:rPr>
          <w:rFonts w:ascii="Calibri" w:hAnsi="Calibri"/>
          <w:sz w:val="22"/>
        </w:rPr>
        <w:t xml:space="preserve"> saavutamist, alternatiivide analüüs ja lahendus, mida kasutatakse maksimaalse võimaliku paigaldatud võimsuse saavutamiseks.“</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Põhidokumenti DB-HE „Energiasääst“ lisatakse jaotis HE 6 pealkirjaga </w:t>
      </w:r>
      <w:r>
        <w:rPr>
          <w:rFonts w:ascii="Calibri" w:hAnsi="Calibri"/>
          <w:i/>
          <w:iCs/>
          <w:sz w:val="22"/>
        </w:rPr>
        <w:t>„Elektrisõidukite laadimistaristu miinimumnõuded“</w:t>
      </w:r>
      <w:r>
        <w:rPr>
          <w:rFonts w:ascii="Calibri" w:hAnsi="Calibri"/>
          <w:sz w:val="22"/>
        </w:rPr>
        <w:t xml:space="preserve"> ja järgmise sisuga: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„Jaotis HE 6</w:t>
      </w:r>
      <w:r>
        <w:rPr>
          <w:rFonts w:ascii="Calibri" w:hAnsi="Calibri"/>
          <w:sz w:val="22"/>
        </w:rPr>
        <w:br/>
      </w:r>
      <w:r>
        <w:rPr>
          <w:rFonts w:ascii="Calibri" w:hAnsi="Calibri"/>
          <w:i/>
          <w:sz w:val="22"/>
        </w:rPr>
        <w:t>Elektrisõidukite laadimistaristu miinimumnõuded</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Kohaldamisala</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Käesolevas jaotises sätestatud nõudeid kohaldatakse hoonetele, millel on hoone sees või sellest väljaspool parkimisala, järgmistel juhtudel:</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uued hooned;</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olemasolevad hooned järgmistel juhtudel:</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muutused hoone iseloomulikus kasutuses;</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laiendused juhtudel, kui muudetakse parklat ning sekkumiskoha üksuse või</w:t>
      </w:r>
      <w:r>
        <w:rPr>
          <w:rFonts w:ascii="Calibri" w:hAnsi="Calibri"/>
          <w:i/>
          <w:sz w:val="22"/>
        </w:rPr>
        <w:t xml:space="preserve"> kasutusüksuste</w:t>
      </w:r>
      <w:r>
        <w:rPr>
          <w:rFonts w:ascii="Calibri" w:hAnsi="Calibri"/>
          <w:sz w:val="22"/>
        </w:rPr>
        <w:t xml:space="preserve"> pindala või ehitatud maht suureneb rohkem kui 10 % ning lisandunud kasulik pind on üle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ümberehitused, mis hõlmavad sekkumisi parklasse ja millega uuendatakse üle 25 % hoone lõpliku </w:t>
      </w:r>
      <w:r>
        <w:rPr>
          <w:rFonts w:ascii="Calibri" w:hAnsi="Calibri"/>
          <w:i/>
          <w:sz w:val="22"/>
        </w:rPr>
        <w:t>soojusümbrise</w:t>
      </w:r>
      <w:r>
        <w:rPr>
          <w:rFonts w:ascii="Calibri" w:hAnsi="Calibri"/>
          <w:sz w:val="22"/>
        </w:rPr>
        <w:t xml:space="preserve"> kogupindalast;</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sekkumised hoone elektripaigaldisesse, mis mõjutavad rohkem kui 50 % hoonesse enne sekkumist paigaldatud võimsusest, juhul kui parkla asub hoone sees</w:t>
      </w:r>
      <w:r>
        <w:rPr>
          <w:rFonts w:ascii="Calibri" w:hAnsi="Calibri"/>
          <w:sz w:val="22"/>
          <w:u w:color="FF0000"/>
        </w:rPr>
        <w:t>, tingimusel et sellist sekkumist teostaval arendajal on õigus parkimisalal tegutseda</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sekkumine parkla elektripaigaldisesse, mis mõjutab rohkem kui 50 % parklasse enne sekkumist paigaldatud võimsusest.</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Järgmised juhud jäävad kohaldamisalast välja:</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hooned, mida ei kasutata isikliku eluasemena ja mille parkimisalal on kuni 10 parkimiskohta;</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olemasolevad hooned, mida ei kasutata isikliku eluasemena ja mille parkimisalal on kuni 20 parkimiskohta, ja </w:t>
      </w:r>
      <w:r>
        <w:rPr>
          <w:rFonts w:ascii="Calibri" w:hAnsi="Calibri"/>
          <w:i/>
          <w:sz w:val="22"/>
        </w:rPr>
        <w:t>isikliku eluasemena kasutatavad</w:t>
      </w:r>
      <w:r>
        <w:rPr>
          <w:rFonts w:ascii="Calibri" w:hAnsi="Calibri"/>
          <w:sz w:val="22"/>
        </w:rPr>
        <w:t xml:space="preserve"> olemasolevad hooned, mille puhul mõlemal juhul ületavad käesoleva lõike täitmise kulud 7 % nõuete täitmise kohustuse aluseks oleva laiendamise, kasutusotstarbe muutmise või renoveerimise kuludest. Eespool osutatud sekkumiste kulude kindlaksmääramisel võetakse arvesse nende tegelikke ja tõhusaid kulusid, mida loetakse tegelikeks ehituskuludeks;</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lastRenderedPageBreak/>
        <w:t>c) ehitised, mis on ametliku kaitse all seetõttu, et need on osa deklareeritud keskkonnast, või nende erilise arhitektuurilise või ajaloolise väärtuse tõttu, on nende kohustuste kohaldamisalast välja jäetud, niivõrd kui nõuete täitmine võib põhjendamatult muuta nende olemust või välimust, ning muutumatud elemendid määrab kindlaks riiklik kaitseasutus.</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Nõude kirjeldus</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Hoonetel peab olema miinimumtaristu, mis võimaldab </w:t>
      </w:r>
      <w:r>
        <w:rPr>
          <w:rFonts w:ascii="Calibri" w:hAnsi="Calibri"/>
          <w:i/>
          <w:iCs/>
          <w:sz w:val="22"/>
        </w:rPr>
        <w:t>elektrisõidukite</w:t>
      </w:r>
      <w:r>
        <w:rPr>
          <w:rFonts w:ascii="Calibri" w:hAnsi="Calibri"/>
          <w:sz w:val="22"/>
        </w:rPr>
        <w:t xml:space="preserve"> laadimist.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See </w:t>
      </w:r>
      <w:r>
        <w:rPr>
          <w:rFonts w:ascii="Calibri" w:hAnsi="Calibri"/>
          <w:i/>
          <w:sz w:val="22"/>
        </w:rPr>
        <w:t xml:space="preserve">elektrisõidukite laadimistaristu </w:t>
      </w:r>
      <w:r>
        <w:rPr>
          <w:rFonts w:ascii="Calibri" w:hAnsi="Calibri"/>
          <w:sz w:val="22"/>
        </w:rPr>
        <w:t xml:space="preserve"> vastab kehtiva madalpinge-elektrotehnilise eeskirja ja selle täiendava tehnilise juhendi (ITC) BT 52 „Eriotstarbega paigaldised. </w:t>
      </w:r>
      <w:r>
        <w:rPr>
          <w:rFonts w:ascii="Calibri" w:hAnsi="Calibri"/>
          <w:i/>
          <w:sz w:val="22"/>
        </w:rPr>
        <w:t>Elektrisõidukite</w:t>
      </w:r>
      <w:r>
        <w:rPr>
          <w:rFonts w:ascii="Calibri" w:hAnsi="Calibri"/>
          <w:sz w:val="22"/>
        </w:rPr>
        <w:t xml:space="preserve"> laadimistaristu” sätetele.</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Nõude kvantifitseerimine</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r>
      <w:r>
        <w:rPr>
          <w:rFonts w:ascii="Calibri" w:hAnsi="Calibri"/>
          <w:i/>
          <w:iCs/>
          <w:sz w:val="22"/>
        </w:rPr>
        <w:t>Isikliku eluasemena kasutatavatesse</w:t>
      </w:r>
      <w:r>
        <w:rPr>
          <w:rFonts w:ascii="Calibri" w:hAnsi="Calibri"/>
          <w:sz w:val="22"/>
        </w:rPr>
        <w:t xml:space="preserve"> hoonetesse paigaldatakse juhtmestikud, mis võimaldavad tulevikus toidet 100 % parkimiskohtade </w:t>
      </w:r>
      <w:r>
        <w:rPr>
          <w:rFonts w:ascii="Calibri" w:hAnsi="Calibri"/>
          <w:i/>
          <w:sz w:val="22"/>
        </w:rPr>
        <w:t>laadimisjaamadele</w:t>
      </w:r>
      <w:r>
        <w:rPr>
          <w:rFonts w:ascii="Calibri" w:hAnsi="Calibri"/>
          <w:sz w:val="22"/>
        </w:rPr>
        <w:t>.</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Muudesse kui isikliku eluasemena kasutatavatesse hoonetesse paigaldatakse juhtmestikud, et tulevikus oleks võimalik varustada toitega vähemalt 20 % parkimiskohtade </w:t>
      </w:r>
      <w:r>
        <w:rPr>
          <w:rFonts w:ascii="Calibri" w:hAnsi="Calibri"/>
          <w:i/>
          <w:sz w:val="22"/>
        </w:rPr>
        <w:t>laadimisjaamasid</w:t>
      </w:r>
      <w:r>
        <w:rPr>
          <w:rFonts w:ascii="Calibri" w:hAnsi="Calibri"/>
          <w:sz w:val="22"/>
        </w:rPr>
        <w:t>.</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Lisaks paigaldatakse </w:t>
      </w:r>
      <w:r>
        <w:rPr>
          <w:rFonts w:ascii="Calibri" w:hAnsi="Calibri"/>
          <w:i/>
          <w:sz w:val="22"/>
        </w:rPr>
        <w:t>laadimisjaam</w:t>
      </w:r>
      <w:r>
        <w:rPr>
          <w:rFonts w:ascii="Calibri" w:hAnsi="Calibri"/>
          <w:sz w:val="22"/>
        </w:rPr>
        <w:t xml:space="preserve"> iga 40 parkimiskoha või selle osa kohta.</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Hoonetes, mida ei kasutata isikliku eluasemena ja mis kuuluvad üldisele riiklikule haldusasutusele või sellega seotud või sellest sõltuvatele avalik-õiguslikele asutustele, peab toitega varustamine olema üldnõudest suurem ning paigaldatakse</w:t>
      </w:r>
      <w:r>
        <w:rPr>
          <w:rFonts w:ascii="Calibri" w:hAnsi="Calibri"/>
          <w:color w:val="1F497D"/>
          <w:sz w:val="22"/>
        </w:rPr>
        <w:t xml:space="preserve"> </w:t>
      </w:r>
      <w:r>
        <w:rPr>
          <w:rFonts w:ascii="Calibri" w:hAnsi="Calibri"/>
          <w:sz w:val="22"/>
        </w:rPr>
        <w:t xml:space="preserve">üks </w:t>
      </w:r>
      <w:r>
        <w:rPr>
          <w:rFonts w:ascii="Calibri" w:hAnsi="Calibri"/>
          <w:i/>
          <w:sz w:val="22"/>
        </w:rPr>
        <w:t>laadimisjaam</w:t>
      </w:r>
      <w:r>
        <w:rPr>
          <w:rFonts w:ascii="Calibri" w:hAnsi="Calibri"/>
          <w:sz w:val="22"/>
        </w:rPr>
        <w:t xml:space="preserve"> iga 40 parkimiskoha või selle osa kohta.</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Ligipääsetavate parkimiskohtadega parklate puhul, nagu on sätestatud kasutusohutust ja ligipääsetavust käsitlevas põhidokumendis (DB SUA), tuleb paigaldada üks </w:t>
      </w:r>
      <w:r>
        <w:rPr>
          <w:rFonts w:ascii="Calibri" w:hAnsi="Calibri"/>
          <w:i/>
          <w:sz w:val="22"/>
        </w:rPr>
        <w:t>laadimisjaam</w:t>
      </w:r>
      <w:r>
        <w:rPr>
          <w:rFonts w:ascii="Calibri" w:hAnsi="Calibri"/>
          <w:sz w:val="22"/>
        </w:rPr>
        <w:t xml:space="preserve"> iga viie ligipääsetava parkimiskoha kohta. Nendes kohtades olevaid </w:t>
      </w:r>
      <w:r>
        <w:rPr>
          <w:rFonts w:ascii="Calibri" w:hAnsi="Calibri"/>
          <w:i/>
          <w:sz w:val="22"/>
        </w:rPr>
        <w:t>laadimisjaamasid</w:t>
      </w:r>
      <w:r>
        <w:rPr>
          <w:rFonts w:ascii="Calibri" w:hAnsi="Calibri"/>
          <w:sz w:val="22"/>
        </w:rPr>
        <w:t xml:space="preserve"> võetakse nõude kvantifitseerimisel arvesse.</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Hoonete puhul, milles on </w:t>
      </w:r>
      <w:r>
        <w:rPr>
          <w:rFonts w:ascii="Calibri" w:hAnsi="Calibri"/>
          <w:i/>
          <w:sz w:val="22"/>
        </w:rPr>
        <w:t>isikliku eluasemena kasutatavaid</w:t>
      </w:r>
      <w:r>
        <w:rPr>
          <w:rFonts w:ascii="Calibri" w:hAnsi="Calibri"/>
          <w:sz w:val="22"/>
        </w:rPr>
        <w:t xml:space="preserve"> üksusi koos muuks kasutuseks mõeldud üksustega, kus iga kasutusotstarbega seotud parkimisalad ei ole selgelt eristatavad, kohaldatakse hoone iseloomuliku kasutuse kriteeriumi.</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Nõude põhjendus</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Tõendamaks, et hoone vastab käesoleva põhidokumendi nõuetele, peavad projekteerimisdokumendid sisaldama järgmist teavet hoone või selle asjaomase osa kohta:</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dimensioonimiseks kasutatav juhtmestiku skeem, nagu on kirjeldatud madalpinge-elektrotehnilises eeskirjas;</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peamise kaabligrupi ja ettevalmistatud kaablikanalite kirjeldus, näidates ära juhtmestikuga parkimiskohtade osakaalu ja nõutava miinimumprotsendi;</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paigaldatud </w:t>
      </w:r>
      <w:r>
        <w:rPr>
          <w:rFonts w:ascii="Calibri" w:hAnsi="Calibri"/>
          <w:i/>
          <w:sz w:val="22"/>
        </w:rPr>
        <w:t>laadimisjaamade</w:t>
      </w:r>
      <w:r>
        <w:rPr>
          <w:rFonts w:ascii="Calibri" w:hAnsi="Calibri"/>
          <w:sz w:val="22"/>
        </w:rPr>
        <w:t xml:space="preserve"> arv ja minimaalne arv, mis tuleneb nõude kvantifitseerimisest;</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w:t>
      </w:r>
      <w:r>
        <w:rPr>
          <w:rFonts w:ascii="Calibri" w:hAnsi="Calibri"/>
          <w:i/>
          <w:sz w:val="22"/>
        </w:rPr>
        <w:t>laadimisjaamade</w:t>
      </w:r>
      <w:r>
        <w:rPr>
          <w:rFonts w:ascii="Calibri" w:hAnsi="Calibri"/>
          <w:sz w:val="22"/>
        </w:rPr>
        <w:t xml:space="preserve"> tüübid ja võimsusklassid.</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Ehitus, hooldus ja korrashoid</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lastRenderedPageBreak/>
        <w:t>5.1 Täitmine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Hoone ehitustööd tehakse vastavalt projektile ja selle muudatustele, mille ehitusjuht on heaks kiitnud arendaja nõusolekul, kohaldatavate õigusaktide kohaselt, vastavalt madalpinge-elektrotehnilise eeskirja spetsifikatsioonidele ja selle täiendavale tehnilisele juhendile BT-52 „Eriotstarbega paigaldised. </w:t>
      </w:r>
      <w:r>
        <w:rPr>
          <w:rFonts w:ascii="Calibri" w:hAnsi="Calibri"/>
          <w:i/>
          <w:sz w:val="22"/>
        </w:rPr>
        <w:t>Elektrisõidukite</w:t>
      </w:r>
      <w:r>
        <w:rPr>
          <w:rFonts w:ascii="Calibri" w:hAnsi="Calibri"/>
          <w:sz w:val="22"/>
        </w:rPr>
        <w:t xml:space="preserve"> laadimistaristu“, hea ehitustava standarditele ning ehitusjuhi ja projekti rakendusjuhi juhistele, nagu on osutatud tehnilise ehitusseadustiku I osa artiklis 7.</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Tööde teostamise järelevalve</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Tööde teostamist jälgitakse vastavalt projekti spetsifikatsioonidele, selle lisadele ja muudatustele, mille ehitusjuht on heaks kiitnud, ning projekti rakendusjuhi juhistele, järgides madalpinge-elektrotehnilise eeskirja spetsifikatsioone vastavalt tehnilise ehitusseadustiku I osa artikli 7 lõikele 3 ja muudele kohaldatavatele eeskirjadele.</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Tööde teostamist kontrollitakse, tagamaks, et kontrollid viiakse läbi nõutava sagedusega, nagu on ette nähtud projekti spetsifikatsioonides.</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Kõik tööde teostamise ajal tehtud muudatused registreeritakse teostusdokumentides ja kõigil juhtudel peavad olema täidetud käesolevas põhidokumendis sätestatud miinimumtingimused.</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Hoones sisalduvate toodete, seadmete ja süsteemide omadusi käsitlevad dokumendid lisatakse hooneraamatusse.</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Lõpetatud töö kontrollimine</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Lõpetatud tööde kontrollimisel tuleb järgida tehnilise ehitusseadustiku I osa artikli 7 lõikes 4 osutatud kriteeriume.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Põhidokumendi selles osas ei ole ette nähtud lõppkatseid.</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Hoone hooldus ja korrashoid</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Hooneraamatus sisalduv hooldusplaan peab sisaldama </w:t>
      </w:r>
      <w:r>
        <w:rPr>
          <w:rFonts w:ascii="Calibri" w:hAnsi="Calibri"/>
          <w:i/>
          <w:sz w:val="22"/>
        </w:rPr>
        <w:t>elektrisõidukite laadimistaristu</w:t>
      </w:r>
      <w:r>
        <w:rPr>
          <w:rFonts w:ascii="Calibri" w:hAnsi="Calibri"/>
          <w:sz w:val="22"/>
        </w:rPr>
        <w:t xml:space="preserve"> projekt- ja toimivusparameetrite säilitamiseks aja jooksul vajalikke toiminguid ja nende sagedust.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Samuti dokumenteeritakse hooneraamatus kõik kogu hoone kasutusaja jooksul teostatud sekkumised, olgu need siis remondi-, värskendamis- või taastustööd.“</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A lisast jäetakse välja mõisted „esialgne valgustus“ ja „peegeldus“.</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A lisa mõiste „</w:t>
      </w:r>
      <w:r>
        <w:rPr>
          <w:rFonts w:ascii="Calibri" w:hAnsi="Calibri"/>
          <w:i/>
          <w:iCs/>
          <w:sz w:val="22"/>
        </w:rPr>
        <w:t>Soojusülekande koefitsient kokku (hoone soojusümbrise kaudu)</w:t>
      </w:r>
      <w:r>
        <w:rPr>
          <w:rFonts w:ascii="Calibri" w:hAnsi="Calibri"/>
          <w:sz w:val="22"/>
        </w:rPr>
        <w:t xml:space="preserve"> (K)“ sõnastuses “... K = X Hx/Aint..." asendatakse allindeksiga „x“, „x“ ja „int“: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terminid „parietodünaamilised seinad“ ja „päikeseseinad“ olema kaldkirjas.</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A lisa mõiste „kompaktsus“ määratluse teises lõigus olev sõna „kompaktsus“ peaks olema kaldkirjas.</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A lisa mõiste „käitamistingimused“ määratluses peaks termin „isikliku eluasemena kasutamine“ olema kaldkirjas.</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A lisa mõiste „taastumatu primaarenergia tarbimine“ sõnastust “... Taastumatu primaarenergia tarbimine...“ tuleks lugeda „ep,nren“ allindeksis: “... Taastumatu primaarenergia tarbimine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lastRenderedPageBreak/>
        <w:t>qq) A lisa mõiste „primaarenergia kogutarbimine“ määratluses sõnad “... Primaarenergia kogutarbimine...“ asendatakse sõnaga „ep,tot“ allindeksis: “... Primaarenergia kogutarbimine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A lisa mõiste „päikesekontroll (q</w:t>
      </w:r>
      <w:r>
        <w:rPr>
          <w:rFonts w:ascii="Calibri" w:hAnsi="Calibri"/>
          <w:sz w:val="22"/>
          <w:vertAlign w:val="subscript"/>
        </w:rPr>
        <w:t>sol;ju</w:t>
      </w:r>
      <w:r>
        <w:rPr>
          <w:rFonts w:ascii="Calibri" w:hAnsi="Calibri"/>
          <w:sz w:val="22"/>
        </w:rPr>
        <w:t>)“ määratluses sõnad „... ruumi kasulik pind...“ sõnastatakse järgmiselt: „... eluruumide kasulik pind...“. Valemi „Hsol;jul“ komponendi määratluse lõpus olev punkt ja uus lõik asendatakse semikooloniga ning lisatakse järgmine valemi teise komponendi määratlus:</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 xml:space="preserve"> pindala, mida peetakse HE 0 punkti 4.6 kohaseks.“</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A lisas asendatakse mõiste „lõppenergia“ määratluses väljend „Tarbijate poolt otse kasutatava elektri või kütusena ostetav energia“ tekstiga „Ehitussüsteemidele teenuste osutamiseks tarnitav energia; Seda tarnitakse tavaliselt kütuste, kohapealse tootmise või konkreetsete võrkude (elekter, gaas, kaugküte või -jahutus jne) kaudu.“</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A lisa mõiste „konditsioneeritud eluruum“ määratluses peaks väljend „isikliku eluasemena kasutamine“ olema kaldkirjas.</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A lisa mõiste „kasutusaeg“ määratluse teises lõigus peaks väljend „isikliku eluasemena kasutamine“ olema kaldkirjas.</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A lisas lisatakse mõiste „termiline ülekanne (U-väärtus)“ määratluse lõppu järgmine lause:</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„Väljendatuna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A lisa mõiste „energiatõhususe väärtus käitises (VEEI)“ määratluses peaks väljend „isikliku eluasemena kasutamine“ olema kaldkirjas.</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A lisasse „Terminoloogia“ lisatakse järgmised mõisted:</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bCs/>
          <w:i/>
          <w:iCs/>
          <w:sz w:val="22"/>
        </w:rPr>
        <w:t>Abiseadmed:</w:t>
      </w:r>
      <w:r>
        <w:rPr>
          <w:rFonts w:ascii="Calibri" w:hAnsi="Calibri"/>
          <w:b/>
          <w:sz w:val="22"/>
        </w:rPr>
        <w:t xml:space="preserve"> </w:t>
      </w:r>
      <w:r>
        <w:rPr>
          <w:rFonts w:ascii="Calibri" w:hAnsi="Calibri"/>
          <w:sz w:val="22"/>
        </w:rPr>
        <w:t>valgusega seotud elektri- või elektroonikaseadmed, mis on igat tüüpi valguse puhul erinevad ning mille funktsioon on süüde ja töötingimuste reguleerimine. See abiseade, välja arvatud juhul, kui see on elektrooniline, koosneb starterist, liiteseadisest ja kondensaatorist.</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b/>
          <w:bCs/>
          <w:i/>
          <w:iCs/>
          <w:sz w:val="22"/>
        </w:rPr>
        <w:t>Laadimisjaam:</w:t>
      </w:r>
      <w:r>
        <w:rPr>
          <w:rFonts w:ascii="Calibri" w:hAnsi="Calibri"/>
          <w:b/>
          <w:sz w:val="22"/>
        </w:rPr>
        <w:t xml:space="preserve"> </w:t>
      </w:r>
      <w:r>
        <w:rPr>
          <w:rFonts w:ascii="Calibri" w:hAnsi="Calibri"/>
          <w:sz w:val="22"/>
        </w:rPr>
        <w:t xml:space="preserve">elementide kogum, mis on vajalik elektrisõiduki ühendamiseks laadimiseks vajaliku paikse elektripaigaldisega. </w:t>
      </w:r>
      <w:r>
        <w:rPr>
          <w:rFonts w:ascii="Calibri" w:hAnsi="Calibri"/>
          <w:i/>
          <w:sz w:val="22"/>
        </w:rPr>
        <w:t>Laadimisjaamad</w:t>
      </w:r>
      <w:r>
        <w:rPr>
          <w:rFonts w:ascii="Calibri" w:hAnsi="Calibri"/>
          <w:sz w:val="22"/>
        </w:rPr>
        <w:t xml:space="preserve"> liigitatakse järgmiselt:</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Üks laadimispunkt, mis koosneb vajalikest kaitsemehhanismidest, ühest või mitmest pistikupesast, mis ei ole spetsiaalselt </w:t>
      </w:r>
      <w:r>
        <w:rPr>
          <w:rFonts w:ascii="Calibri" w:hAnsi="Calibri"/>
          <w:i/>
          <w:sz w:val="22"/>
        </w:rPr>
        <w:t>elektrisõidukile</w:t>
      </w:r>
      <w:r>
        <w:rPr>
          <w:rFonts w:ascii="Calibri" w:hAnsi="Calibri"/>
          <w:sz w:val="22"/>
        </w:rPr>
        <w:t xml:space="preserve"> ja vajaduse korral ümbrikule.</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SAVE </w:t>
      </w:r>
      <w:r>
        <w:rPr>
          <w:rFonts w:ascii="Calibri" w:hAnsi="Calibri"/>
          <w:i/>
          <w:sz w:val="22"/>
        </w:rPr>
        <w:t>(Specific Electric Vehicle Power Supply System)</w:t>
      </w:r>
      <w:r>
        <w:rPr>
          <w:rFonts w:ascii="Calibri" w:hAnsi="Calibri"/>
          <w:sz w:val="22"/>
        </w:rPr>
        <w:t xml:space="preserve"> (elektrisõidukite eritoitesüsteem) tüüpi laadimispunkt.“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bCs/>
          <w:i/>
          <w:iCs/>
          <w:sz w:val="22"/>
        </w:rPr>
        <w:t>„Elektrisõidukite laadimistaristu:</w:t>
      </w:r>
      <w:r>
        <w:rPr>
          <w:rFonts w:ascii="Calibri" w:hAnsi="Calibri"/>
          <w:b/>
          <w:sz w:val="22"/>
        </w:rPr>
        <w:t xml:space="preserve"> </w:t>
      </w:r>
      <w:r>
        <w:rPr>
          <w:rFonts w:ascii="Calibri" w:hAnsi="Calibri"/>
          <w:sz w:val="22"/>
        </w:rPr>
        <w:t xml:space="preserve">füüsiliste ja loogikaseadmete komplekt, mis on ette nähtud elektrisõidukite laadimiseks ja mis vastavad igal üksikjuhul madalpinge-elektrotehnilise eeskirjaga ette nähtud ohutus- ja käideldavuse nõuetele ning on võimelised pakkuma täielikku ja kõikehõlmavat laadimisteenust. Siia kuuluvad </w:t>
      </w:r>
      <w:r>
        <w:rPr>
          <w:rFonts w:ascii="Calibri" w:hAnsi="Calibri"/>
          <w:i/>
          <w:iCs/>
          <w:sz w:val="22"/>
        </w:rPr>
        <w:t>laadimisjaamad</w:t>
      </w:r>
      <w:r>
        <w:rPr>
          <w:rFonts w:ascii="Calibri" w:hAnsi="Calibri"/>
          <w:sz w:val="22"/>
        </w:rPr>
        <w:t xml:space="preserve">, juhtimissüsteem, elektrijuhtmed, elektrilised juht- ja kaitsepaneelid ning mõõteseadmed, kui need on ette nähtud üksnes </w:t>
      </w:r>
      <w:r>
        <w:rPr>
          <w:rFonts w:ascii="Calibri" w:hAnsi="Calibri"/>
          <w:i/>
          <w:sz w:val="22"/>
        </w:rPr>
        <w:t>elektrisõidukite</w:t>
      </w:r>
      <w:r>
        <w:rPr>
          <w:rFonts w:ascii="Calibri" w:hAnsi="Calibri"/>
          <w:sz w:val="22"/>
        </w:rPr>
        <w:t xml:space="preserve"> laadimiseks.“</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bCs/>
          <w:i/>
          <w:iCs/>
          <w:sz w:val="22"/>
        </w:rPr>
        <w:t>Specific Electric Vehicle Power System (SAVE)</w:t>
      </w:r>
      <w:r>
        <w:rPr>
          <w:rFonts w:ascii="Calibri" w:hAnsi="Calibri"/>
          <w:sz w:val="22"/>
        </w:rPr>
        <w:t xml:space="preserve"> </w:t>
      </w:r>
      <w:r>
        <w:rPr>
          <w:rFonts w:ascii="Calibri" w:hAnsi="Calibri"/>
          <w:b/>
          <w:bCs/>
          <w:sz w:val="22"/>
        </w:rPr>
        <w:t>(elektrisõidukite eritoitesüsteem):</w:t>
      </w:r>
      <w:r>
        <w:rPr>
          <w:rFonts w:ascii="Calibri" w:hAnsi="Calibri"/>
          <w:sz w:val="22"/>
        </w:rPr>
        <w:t xml:space="preserve"> elektrisõiduki laadimiseks kokkupandud seadmete komplekt, sealhulgas laadimisjaama kaitsevahendid, ühenduskaabel (faasi-, neutraal- ja kaitsejuhtmetega), pistikupesa alus või pistik ja vajaduse korral vahelduv-pidev muundur. See süsteem peab vajaduse korral võimaldama sidet </w:t>
      </w:r>
      <w:r>
        <w:rPr>
          <w:rFonts w:ascii="Calibri" w:hAnsi="Calibri"/>
          <w:i/>
          <w:sz w:val="22"/>
        </w:rPr>
        <w:t>elektrisõiduki</w:t>
      </w:r>
      <w:r>
        <w:rPr>
          <w:rFonts w:ascii="Calibri" w:hAnsi="Calibri"/>
          <w:sz w:val="22"/>
        </w:rPr>
        <w:t xml:space="preserve"> ja paigaldise vahel.“</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lastRenderedPageBreak/>
        <w:t>„</w:t>
      </w:r>
      <w:r>
        <w:rPr>
          <w:rFonts w:ascii="Calibri" w:hAnsi="Calibri"/>
          <w:b/>
          <w:i/>
          <w:sz w:val="22"/>
        </w:rPr>
        <w:t>Isikliku eluasemena kasutamine</w:t>
      </w:r>
      <w:r>
        <w:rPr>
          <w:rFonts w:ascii="Calibri" w:hAnsi="Calibri"/>
          <w:sz w:val="22"/>
        </w:rPr>
        <w:t xml:space="preserve">: hoone või ala, mis on ette nähtud alaliseks elukohaks, olenemata ehitise liigist: eraldatud maja, korterelamu jne, nii avalikuks kui ka eraviisiliseks arenduseks.“ </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Elektrisõiduk</w:t>
      </w:r>
      <w:r>
        <w:rPr>
          <w:rFonts w:ascii="Calibri" w:hAnsi="Calibri"/>
          <w:sz w:val="22"/>
        </w:rPr>
        <w:t>: mootorsõiduk, mis on varustatud jõuseadmerühmaga, millel on vähemalt üks mitteperifeerne elektriline mehhanism, mis töötab energiamuundurina ja on varustatud laetava elektrienergia salvestussüsteemiga, mida saab väljastpoolt laadida.“</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C lisas peab punkti 1 alapunkti a pealkirjas esitatud mõiste „soojusümbris“ ja punkti 1 alapunktis a esitatud mõiste „elamiskõlbmatud ruumid“ olema kaldkirjas.</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D lisa pealkirjas, lõikes 2 ning tabelis a, tabelis b ja tabelis c peavad mõisted „kasutustingimused“, „kasutusprofiilid“ ja „isikliku eluasemena kasutamine“ olema kaldkirjas.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D lisa lõige „2 </w:t>
      </w:r>
      <w:r>
        <w:rPr>
          <w:rFonts w:ascii="Calibri" w:hAnsi="Calibri"/>
          <w:i/>
          <w:sz w:val="22"/>
        </w:rPr>
        <w:t>Kasutustingimused</w:t>
      </w:r>
      <w:r>
        <w:rPr>
          <w:rFonts w:ascii="Calibri" w:hAnsi="Calibri"/>
          <w:sz w:val="22"/>
        </w:rPr>
        <w:t xml:space="preserve"> ja </w:t>
      </w:r>
      <w:r>
        <w:rPr>
          <w:rFonts w:ascii="Calibri" w:hAnsi="Calibri"/>
          <w:i/>
          <w:sz w:val="22"/>
        </w:rPr>
        <w:t>kasutusprofiil</w:t>
      </w:r>
      <w:r>
        <w:rPr>
          <w:rFonts w:ascii="Calibri" w:hAnsi="Calibri"/>
          <w:sz w:val="22"/>
        </w:rPr>
        <w:t xml:space="preserve">...“ nummerdatakse ümber järgmiselt: „3 </w:t>
      </w:r>
      <w:r>
        <w:rPr>
          <w:rFonts w:ascii="Calibri" w:hAnsi="Calibri"/>
          <w:i/>
          <w:sz w:val="22"/>
        </w:rPr>
        <w:t>Kasutustingimused</w:t>
      </w:r>
      <w:r>
        <w:rPr>
          <w:rFonts w:ascii="Calibri" w:hAnsi="Calibri"/>
          <w:sz w:val="22"/>
        </w:rPr>
        <w:t xml:space="preserve"> ja </w:t>
      </w:r>
      <w:r>
        <w:rPr>
          <w:rFonts w:ascii="Calibri" w:hAnsi="Calibri"/>
          <w:i/>
          <w:sz w:val="22"/>
        </w:rPr>
        <w:t>kasutusprofiil</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D lisa punktis 4 asendatakse sõnad „tunnustatud dokument“ sõnadega „hoonete energiamärgistuse tunnustatud dokument“.</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E lisa punktis 1 peaks mõiste „isikliku eluasemena kasutamine“ olema kaldkirjas.</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F lisas peaks mõiste „isikliku eluasemena kasutamine“ olema kaldkirjas nii punktis 1 kui ka tabelis a.</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H lisas lisatakse jaotise pealkirja järele järgmine tekst: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„Hoone </w:t>
      </w:r>
      <w:r>
        <w:rPr>
          <w:rFonts w:ascii="Calibri" w:hAnsi="Calibri"/>
          <w:i/>
          <w:sz w:val="22"/>
        </w:rPr>
        <w:t>õhu läbilaskvuse</w:t>
      </w:r>
      <w:r>
        <w:rPr>
          <w:rFonts w:ascii="Calibri" w:hAnsi="Calibri"/>
          <w:sz w:val="22"/>
        </w:rPr>
        <w:t xml:space="preserve"> kindlaksmääramine peab toimuma ühel järgmistest meetoditest“.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fff) H lisa sõnastus „Õhuvahetuse suhte väärtus 50 Pa n50 juures leitakse katsetega meetodi B kohaselt vastavalt standardile UNE-EN 13829:2002. Survestamise meetod ventilaatori abil.“ asendatakse järgmisega: „</w:t>
      </w:r>
      <w:r>
        <w:rPr>
          <w:rFonts w:ascii="Calibri" w:hAnsi="Calibri"/>
          <w:i/>
          <w:iCs/>
          <w:sz w:val="22"/>
        </w:rPr>
        <w:t>Õhuvahetuse suhte väärtus</w:t>
      </w:r>
      <w:r>
        <w:rPr>
          <w:rFonts w:ascii="Calibri" w:hAnsi="Calibri"/>
          <w:sz w:val="22"/>
        </w:rPr>
        <w:t xml:space="preserve"> leitakse 50 Pa ja n</w:t>
      </w:r>
      <w:r>
        <w:rPr>
          <w:rFonts w:ascii="Calibri" w:hAnsi="Calibri"/>
          <w:sz w:val="22"/>
          <w:vertAlign w:val="subscript"/>
        </w:rPr>
        <w:t>50</w:t>
      </w:r>
      <w:r>
        <w:rPr>
          <w:rFonts w:ascii="Calibri" w:hAnsi="Calibri"/>
          <w:sz w:val="22"/>
        </w:rPr>
        <w:t xml:space="preserve"> juures katsetega 1. või 2. meetodi kohaselt vastavalt standardile UNE-EN ISO 9972: 2019 </w:t>
      </w:r>
      <w:r>
        <w:rPr>
          <w:rFonts w:ascii="Calibri" w:hAnsi="Calibri"/>
          <w:i/>
          <w:sz w:val="22"/>
        </w:rPr>
        <w:t>Hoonete soojustõhusus. Hoonete õhu läbilaskvuse määramine. Ventilaatori survestamise meetod.“.</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Jaotise H punkti 2 sõnastus „... 2. „Õhuvahetuse suhte väärtuse 50 Pa, n</w:t>
      </w:r>
      <w:r>
        <w:rPr>
          <w:rFonts w:ascii="Calibri" w:hAnsi="Calibri"/>
          <w:sz w:val="22"/>
          <w:vertAlign w:val="subscript"/>
        </w:rPr>
        <w:t>50</w:t>
      </w:r>
      <w:r>
        <w:rPr>
          <w:rFonts w:ascii="Calibri" w:hAnsi="Calibri"/>
          <w:sz w:val="22"/>
        </w:rPr>
        <w:t xml:space="preserve"> saab arvutada järgmise valemi põhjal:“ asendatakse järgmisega: „... 1. Õhuvahetuse suhte väärtus 50 Pa, n</w:t>
      </w:r>
      <w:r>
        <w:rPr>
          <w:rFonts w:ascii="Calibri" w:hAnsi="Calibri"/>
          <w:sz w:val="22"/>
          <w:vertAlign w:val="subscript"/>
        </w:rPr>
        <w:t>50</w:t>
      </w:r>
      <w:r>
        <w:rPr>
          <w:rFonts w:ascii="Calibri" w:hAnsi="Calibri"/>
          <w:sz w:val="22"/>
        </w:rPr>
        <w:t xml:space="preserve"> võrdlusväärtustega saadakse järgmise valemi abil:“; sõnastus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asendatakse järgmisega: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tekst „V on soojusümbrise siseruumala [m</w:t>
      </w:r>
      <w:r>
        <w:rPr>
          <w:rFonts w:ascii="Calibri" w:hAnsi="Calibri"/>
          <w:sz w:val="22"/>
          <w:vertAlign w:val="superscript"/>
        </w:rPr>
        <w:t>3</w:t>
      </w:r>
      <w:r>
        <w:rPr>
          <w:rFonts w:ascii="Calibri" w:hAnsi="Calibri"/>
          <w:sz w:val="22"/>
        </w:rPr>
        <w:t>]“ sõnastatakse järgmiselt: „V</w:t>
      </w:r>
      <w:r>
        <w:rPr>
          <w:rFonts w:ascii="Calibri" w:hAnsi="Calibri"/>
          <w:sz w:val="22"/>
          <w:vertAlign w:val="subscript"/>
        </w:rPr>
        <w:t>int</w:t>
      </w:r>
      <w:r>
        <w:rPr>
          <w:rFonts w:ascii="Calibri" w:hAnsi="Calibri"/>
          <w:sz w:val="22"/>
        </w:rPr>
        <w:t xml:space="preserve"> on </w:t>
      </w:r>
      <w:r>
        <w:rPr>
          <w:rFonts w:ascii="Calibri" w:hAnsi="Calibri"/>
          <w:i/>
          <w:sz w:val="22"/>
        </w:rPr>
        <w:t>soojusümbrise</w:t>
      </w:r>
      <w:r>
        <w:rPr>
          <w:rFonts w:ascii="Calibri" w:hAnsi="Calibri"/>
          <w:sz w:val="22"/>
        </w:rPr>
        <w:t xml:space="preserve"> siseruumala [m</w:t>
      </w:r>
      <w:r>
        <w:rPr>
          <w:rFonts w:ascii="Calibri" w:hAnsi="Calibri"/>
          <w:sz w:val="22"/>
          <w:vertAlign w:val="superscript"/>
        </w:rPr>
        <w:t>3</w:t>
      </w:r>
      <w:r>
        <w:rPr>
          <w:rFonts w:ascii="Calibri" w:hAnsi="Calibri"/>
          <w:sz w:val="22"/>
        </w:rPr>
        <w:t>]“; sõnastus „A</w:t>
      </w:r>
      <w:r>
        <w:rPr>
          <w:rFonts w:ascii="Calibri" w:hAnsi="Calibri"/>
          <w:sz w:val="22"/>
          <w:vertAlign w:val="subscript"/>
        </w:rPr>
        <w:t>o</w:t>
      </w:r>
      <w:r>
        <w:rPr>
          <w:rFonts w:ascii="Calibri" w:hAnsi="Calibri"/>
          <w:sz w:val="22"/>
        </w:rPr>
        <w:t xml:space="preserve"> on </w:t>
      </w:r>
      <w:r>
        <w:rPr>
          <w:rFonts w:ascii="Calibri" w:hAnsi="Calibri"/>
          <w:i/>
          <w:sz w:val="22"/>
        </w:rPr>
        <w:t>soojusümbrise</w:t>
      </w:r>
      <w:r>
        <w:rPr>
          <w:rFonts w:ascii="Calibri" w:hAnsi="Calibri"/>
          <w:sz w:val="22"/>
        </w:rPr>
        <w:t xml:space="preserve"> läbipaistmatu osa pindala [m</w:t>
      </w:r>
      <w:r>
        <w:rPr>
          <w:rFonts w:ascii="Calibri" w:hAnsi="Calibri"/>
          <w:sz w:val="22"/>
          <w:vertAlign w:val="superscript"/>
        </w:rPr>
        <w:t>2</w:t>
      </w:r>
      <w:r>
        <w:rPr>
          <w:rFonts w:ascii="Calibri" w:hAnsi="Calibri"/>
          <w:sz w:val="22"/>
        </w:rPr>
        <w:t>]“ asendatakse järgmisega: „A</w:t>
      </w:r>
      <w:r>
        <w:rPr>
          <w:rFonts w:ascii="Calibri" w:hAnsi="Calibri"/>
          <w:sz w:val="22"/>
          <w:vertAlign w:val="subscript"/>
        </w:rPr>
        <w:t>o</w:t>
      </w:r>
      <w:r>
        <w:rPr>
          <w:rFonts w:ascii="Calibri" w:hAnsi="Calibri"/>
          <w:sz w:val="22"/>
        </w:rPr>
        <w:t xml:space="preserve"> on </w:t>
      </w:r>
      <w:r>
        <w:rPr>
          <w:rFonts w:ascii="Calibri" w:hAnsi="Calibri"/>
          <w:i/>
          <w:sz w:val="22"/>
        </w:rPr>
        <w:t>soojusümbrise</w:t>
      </w:r>
      <w:r>
        <w:rPr>
          <w:rFonts w:ascii="Calibri" w:hAnsi="Calibri"/>
          <w:sz w:val="22"/>
        </w:rPr>
        <w:t xml:space="preserve"> läbipaistmatu osa pindala, mis puutub kokku välisõhuga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H lisas peaksid mõistete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kirjelduses ja tabelis a mõisted „soojusümbris“ ja „avad“ olema kaldkirjas.</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Neljandaks.</w:t>
      </w:r>
      <w:r>
        <w:rPr>
          <w:rFonts w:ascii="Calibri" w:hAnsi="Calibri"/>
          <w:b/>
          <w:sz w:val="22"/>
        </w:rPr>
        <w:t xml:space="preserve"> </w:t>
      </w:r>
      <w:r>
        <w:rPr>
          <w:rFonts w:ascii="Calibri" w:hAnsi="Calibri"/>
          <w:sz w:val="22"/>
        </w:rPr>
        <w:t xml:space="preserve">Tehnilise ehitusseadustiku II osas sisalduvas põhidokumendis DB-SUA „Kasutusohutus ja ligipääsetavus“ tehakse järgmised muudatused: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 lisas lisatakse mõiste „ligipääsetav parkimiskoht“ määratluse teksti sidekriips:</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Kui </w:t>
      </w:r>
      <w:r>
        <w:rPr>
          <w:rFonts w:ascii="Calibri" w:hAnsi="Calibri"/>
          <w:i/>
          <w:sz w:val="22"/>
        </w:rPr>
        <w:t>ligipääsetaval parkimiskohal</w:t>
      </w:r>
      <w:r>
        <w:rPr>
          <w:rFonts w:ascii="Calibri" w:hAnsi="Calibri"/>
          <w:sz w:val="22"/>
        </w:rPr>
        <w:t xml:space="preserve"> on elektrisõidukite laadimisjaam, peab ka see laadimisjaam jääma </w:t>
      </w:r>
      <w:r>
        <w:rPr>
          <w:rFonts w:ascii="Calibri" w:hAnsi="Calibri"/>
          <w:i/>
          <w:sz w:val="22"/>
        </w:rPr>
        <w:t>ligipääsetavale marsruudile</w:t>
      </w:r>
      <w:r>
        <w:rPr>
          <w:rFonts w:ascii="Calibri" w:hAnsi="Calibri"/>
          <w:sz w:val="22"/>
        </w:rPr>
        <w:t>. Nende laadimisjaamade toiteavad ja pistikud peavad olema keskkonnaga kromaatiliselt kontrastsed, asetatud 80–120 cm kõrgusele ja nurkadest vähemalt 35 cm kaugusele.“</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lastRenderedPageBreak/>
        <w:t>Viiendaks. II osas sisalduvas põhidokumenti DB-HS „Tervis“ tehakse järgmised muudatused:</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Jaotise HS 4 punkti 2 alapunktis 3.2.2.1 asendatakse väljend „päikeseenergia minimaalne panus sooja tarbevee tootmisse“ väljend „taastuvenergia minimaalne panus sooja tarbevee nõudluse katmisse“.</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Jaotise HS punktis 6.2 asendatakse täht „e) klooritud polüvinüülkloriidist (PVC-C) torud vastavalt standarditele UNE-EN ISO 15874-1:2013, UNE-EN ISO 15874-2:2013 ja UNE-EN ISO 15874-3:2013;“ tähega „e) polüklooritud vinüülkloriidist (PVC-C) torud vastavalt standardile UNE-EN ISO 15877-1:2009 (+UNE-EN ISO 15877-1:2009/A1): 2011), UNE-EN ISO 15877–2:2009 (+UNE-EN ISO 15877–2:2009/A1: 2011) ja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jaotise HS 4 punktis 6.2 asendatakse täht „h) polübutüleentorud (PB) vastavalt standarditele UNE-EN ISO 15876-1:2017, UNE-EN ISO 15876-2:2017 ja UNE-EN ISO 15876-3:2017;“ tähega „h) polübutüleentorud (PB) vastavalt standarditele UNE-EN ISO 15876-1:2017, UNE-EN ISO 15876-2:2017 ja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Jaotise HS 4 C lisa tekst „Kuuma ja külma vee rajatiste plasttorustikud. Polübutüleen (PB). 1. osa: Üldine“ sõnastatakse järgmiselt: „Kuuma ja külma vee rajatiste plasttorustikud. Polübuteen (PB) 1. osa:  Üldsätted</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Jaotise HS 4 C lisa tekst „Kuuma ja külma vee rajatiste plasttorustikud. Polübutüleen (PB). 2. osa: Torud“ peaks olema järgmine: „Kuuma ja külma vee rajatiste plasttorustikud. Polübuteen (PB) 2. osa:  Torud,</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Jaotise HS 4 C lisa tekst „Kuuma ja külma vee rajatiste plasttorustikud. Polübutüleen (PB). 3. osa: Abiseadmed“ asendatakse järgmisega: „Kuuma ja külma vee rajatiste plasttorustikud. Polübuteen (PB) 3. osa:  Liitmikud</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Jaotise HS 4 C lisas lisatakse järgmine pärast viidet standardile „UNE-EN ISO 15876-3: 2017</w:t>
      </w:r>
      <w:r>
        <w:rPr>
          <w:rFonts w:ascii="Calibri" w:hAnsi="Calibri"/>
          <w:sz w:val="22"/>
        </w:rPr>
        <w:tab/>
        <w:t>Plasttorustikud kuuma ja külma vee rajatiste jaoks. Polübuteen (PB) 3. osa:  Liitmikud“ järgmised standardid:</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Plastist torusüsteemid kuuma ja külma vee paigaldamiseks. Klooritud polü(vinüülkloriid) (PVC-C). 1. osa: Üldsätted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Plastist torustikud kuuma ja külma vee paigaldiste jaoks. Klooritud polü(vinüülkloriid) (PVC-C). 2. osa: Torud,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15877–3:2009 Plastist torustikud kuuma ja külma vee paigaldiste jaoks. Klooritud polü(vinüülkloriid) (PVC-C). 3. osa: Liitmikud (+UNE-EN ISO 15877–3:2009/A1:2011) </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Esimene üleminekusäte. </w:t>
      </w:r>
      <w:r>
        <w:rPr>
          <w:rFonts w:ascii="Calibri" w:hAnsi="Calibri"/>
          <w:i/>
          <w:sz w:val="22"/>
        </w:rPr>
        <w:t>Hooned, mille suhtes ei kohaldata käesoleva kuningliku dekreedi sätteid.</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Käesoleva kuningliku dekreediga vastu võetud tehnuilise ehitusseadustiku muudatusi ei kohaldata uutele hoonetele või olemasolevate hoonetega seotud töödele, mis on käesoleva kuningliku dekreedi jõustumise ajal juba taotlenud munitsipaalehitusluba.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Sellised ehitustööd algavad nimetatud loa maksimaalse tõhususe tähtaja jooksul vastavalt selle kehtivatele eeskirjadele või selle puudumisel kuue kuu jooksul alates nimetatud loa andmisest. Vastasel juhul tuleb projekte kohandada vastavalt käesoleva kuningliku dekreediga heaks kiidetud CTE muudatustele.</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Teine üleminekusäte. </w:t>
      </w:r>
      <w:r>
        <w:rPr>
          <w:rFonts w:ascii="Calibri" w:hAnsi="Calibri"/>
          <w:i/>
          <w:sz w:val="22"/>
        </w:rPr>
        <w:t>Hooned, mille puhul käesoleva kuningliku dekreedi sätete kohaldamine on vabatahtlik.</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Käesoleva kuningliku dekreediga heaks kiidetud tehnilise ehitusseadustiku muudatusi kohaldatakse vabatahtlikult uutele ehitustöödele ja olemasolevate hoonete ehitustöödele, mille jaoks on kuue kuu jooksul alates käesoleva kuningliku dekreedi jõustumisest mõlemal juhul nõutav munitsipaalehitusluba.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Sellised ehitustööd algavad nimetatud loa maksimaalse tõhususe tähtaja jooksul vastavalt selle kehtivatele eeskirjadele või selle puudumisel kuue kuu jooksul alates nimetatud loa andmisest. Vastasel juhul tuleb projekte kohandada vastavalt käesoleva kuningliku dekreediga heaks kiidetud CTE muudatustele.</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Kolmas üleminekusäte. </w:t>
      </w:r>
      <w:r>
        <w:rPr>
          <w:rFonts w:ascii="Calibri" w:hAnsi="Calibri"/>
          <w:i/>
          <w:sz w:val="22"/>
        </w:rPr>
        <w:t>Hooned, mille puhul käesoleva kuningliku dekreedi sätete kohaldamine on kohustuslik.</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Käesoleva kuningliku dekreediga vastu võetud tehnilise ehitusseadustiku muudatuste kohaldamine on kohustuslik uute hoonete või olemasolevate hoonetega seotud tööde puhul, mis taotlevad munitsipaalehitusluba, hiljemalt üheksa kuud pärast käesoleva sätte jõustumist.</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Esimene lõppsäte. </w:t>
      </w:r>
      <w:r>
        <w:rPr>
          <w:rFonts w:ascii="Calibri" w:hAnsi="Calibri"/>
          <w:i/>
          <w:sz w:val="22"/>
        </w:rPr>
        <w:t>12. detsembri kuningliku dekreedi 1053/2014 muudatus, millega kiidetakse heaks uus täiendav tehniline juhend BT 52 „Eriotstarbelised käitised. Elektrisõidukite laadimistaristu“ muudetakse 2. augusti kuningliku dekreediga 842/2002 heaks kiidetud madalpinge elektrotehniliste eeskirjade ja muude täiendavate tehniliste juhistega.</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12. detsembri kuninglikku dekreeti 1053/2014, millega kiidetakse heaks uus tehniline juhend (ITC) BT 52 „Eriotstarbega paigaldised. Elektrisõidukite laadimistaristu“, mis täiendab 2. augusti kuningliku dekreediga 842/2002 heaks kiidetud madalpinge-elektrotehnilist eeskirja, ja muid täiendavaid tehnilisi juhendeid muudetakse järgmiselt: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Esiteks. Esimest lisasätet muudetakse ja see sõnastatakse järgmiselt:</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„Esimene lisasäte. Minimaalsed ehituslikud rajatised elektrisõidukite laadimiseks parklates, mis ei ole eraldatud hoonetele, mis on äsja ehitatud või mida oluliselt renoveeritakse, ning avalikel teedel.</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Uutes parklates või oluliselt renoveeritavates parklates, mis ei asu hoones või külgnevad hoonega ja jäävad seetõttu tehnilise ehitusseadustiku energiasäästmise põhidokumendi (DB HE) reguleerimisalast välja, tuleb iga 40 parkimiskoha või selle osa kohta paigaldada vähemalt üks laadimisjaam. Parkla loetakse äsja ehitatuks, kui ehitusprojekt esitatakse pädevale ametiasutusele töötlemiseks pärast käesoleva kuningliku dekreedi jõustumist.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Tuleb tagada rajatised, mis on vajalikud elektrisõidukiruumides asuvate laadimisjaamade varustamiseks linnaülestes või kohalike omavalitsuste säästva liikuvuse kavades ette nähtud avalikel teedel.“</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Teiseks. INSTRUCCIÓN TÉCNICA COMPLEMENTARIA (ITC) BT-52 punkti 3.2 muudetakse ja sõnastatakse järgmiselt:</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Hoonete paigaldamine parklatesse või ühisparklatesse, mis asuvad hoonete või hoonekomplekside kõrval.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Elektripaigaldised </w:t>
      </w:r>
      <w:r>
        <w:rPr>
          <w:rFonts w:ascii="Calibri" w:hAnsi="Calibri"/>
          <w:color w:val="000000"/>
          <w:sz w:val="22"/>
        </w:rPr>
        <w:t>elektrisõidukite laadimiseks</w:t>
      </w:r>
      <w:r>
        <w:rPr>
          <w:rFonts w:ascii="Calibri" w:hAnsi="Calibri"/>
          <w:sz w:val="22"/>
        </w:rPr>
        <w:t xml:space="preserve"> asuvad parklates või parklates, mis asuvad hoonetes või elamurajoonides või on nendega ühendatud, peavad järgima kõiki eespool kirjeldatud skeeme.</w:t>
      </w:r>
      <w:r>
        <w:rPr>
          <w:rFonts w:ascii="Calibri" w:hAnsi="Calibri"/>
          <w:color w:val="000000"/>
          <w:sz w:val="22"/>
        </w:rPr>
        <w:t xml:space="preserve"> </w:t>
      </w:r>
      <w:r>
        <w:rPr>
          <w:rFonts w:ascii="Calibri" w:hAnsi="Calibri"/>
          <w:sz w:val="22"/>
        </w:rPr>
        <w:t>Samas hoones võib kasutada erinevaid skeeme, tingimusel et kõik käesolevas juhendis BT-52 sätestatud nõuded on täidetud.</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Kava 4a puhul peab laadimisahel vastama (ITC) BT-15s kirjeldatud paigaldustingimustele, kasutades sama tüüpi ja sama laadi ja sama laadi juhtimissüsteeme kui individuaalse möödaviigu puhul, ning kaablilõik arvutatakse käesoleva ITC 5. jaotise üldnõuete kohaselt. Kasutatava juhtimissüsteemi läbimõõdu või põikimõõtmete määramiseks ei ole vaja ette näha kaablite sektsiooni laiendamist.</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Skeemi 4b kasutatakse siis, kui laadimisjaamade varustamine on kavandatud garaažide üldteenuseid osutava elektripaigaldise lahutamatuks osaks või laienduseks.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Nii olemasolevates kui ka uutes seadmetes ning valitud elektriskeemi kasutamise hõlbustamiseks võivad üldkaitsega tabelid ja muud elektrisõidukite laadimisseadmed asuda selleks ettenähtud ruumides või ühisruumides.</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Elektrisõidukite laadimise elektriline eelpaigaldamine hoonete või hoonekompleksidega külgnevatesse parklatesse peab hõlbustama mis tahes võimaliku paigaldusskeemi edasist kasutamist. See hõlmab järgmisi elemente: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kaabli juhtimissüsteemide paigaldamine arvestite tsentraliseerimisest ja parklate põhiteedelt, et hiljem oleks võimalik toita laadimisjaamu, mis võivad asuda üksikutes parkimiskohtades või parklates. Kui eelpaigaldus on kavandatud 100 % ruumidele, peavad kaabli juhtivussüsteemid jõudma igasse ruumi. Kui eelpaigaldus ei ole kavandatud 100 % ruumidele, tuleb määratleda ruumid, mida peetakse kaabli juhtivussüsteemide õigusnormidele vastavaks, ning need süsteemid peavad jõudma igasse nimetatud ruumi.</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Arvestite tsentraliseerimine toimub vastavalt elektrisõiduki laadimiseks valitud elektriskeemile ja vastavalt (ITC) BT-16 sätetele. Varumoodulid peavad olema paigaldatud vähemalt 20 %-le garaažiruumidest, mis ei ole seotud eluruumiga, ja isegi kui kõik ruumid on seotud eluruumidega vähemalt ühe varumooduli jaoks. Need varumoodulid peavad suutma majutada peaarvestit ja mõõturiga seotud ülevoolukaitseseadmeid kas kaitsmete või kaitselülititega.</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Laadimisjaama paigaldatud pistikupesad või pistikupesad ja nende automaatsed kaitselülitid peavad vastama ühele punktis 5.4 esitatud võimalustest.“</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Kolmandaks. Lisandi BT-52 punkti 5.4 esimene lõik muudetakse ja sõnastatakse järgmiselt:</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Ühenduspunkt.  </w:t>
      </w:r>
      <w:bookmarkStart w:id="26" w:name="_Hlk81468651"/>
      <w:r>
        <w:rPr>
          <w:rFonts w:ascii="Calibri" w:hAnsi="Calibri"/>
          <w:sz w:val="22"/>
        </w:rPr>
        <w:t xml:space="preserve">Ühenduspunkt peab asuma toiteväljaku kõrval ja olema püsivalt paigaldatud kaitseümbrisesse.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Pistikupesade ja pistikute minimaalne paigalduskõrgus peab olema 60 cm maapinnast. </w:t>
      </w:r>
      <w:bookmarkStart w:id="27" w:name="_Hlk81468224"/>
      <w:r>
        <w:rPr>
          <w:rFonts w:ascii="Calibri" w:hAnsi="Calibri"/>
          <w:sz w:val="22"/>
        </w:rPr>
        <w:t>Kui laadimisjaam on ette nähtud avalikuks kasutamiseks, on maksimaalne kõrgus 120 cm. Ligipääsetavates parkimiskohtades peavad pistikupesad ja pistikupesad olema ümbritsevast värvilisest kontrastsusega 80–120 cm ja nurkristmike kaugus vähemalt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Teine lõppsäte. </w:t>
      </w:r>
      <w:r>
        <w:rPr>
          <w:rFonts w:ascii="Calibri" w:hAnsi="Calibri"/>
          <w:i/>
          <w:sz w:val="22"/>
        </w:rPr>
        <w:t>Euroopa Liidu õiguse ülevõtmine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Käesoleva kuningliku dekreediga võetakse Hispaania õigusesse üle Euroopa Parlamendi ja nõukogu direktiivi 2010/31/EL (hoonete energiatõhususe kohta), mida on muudetud Euroopa Parlamendi ja nõukogu direktiiviga (EL) 2018/844 (millega muudetakse direktiivi 2010/31/EL</w:t>
      </w:r>
      <w:r>
        <w:t xml:space="preserve"> </w:t>
      </w:r>
      <w:bookmarkStart w:id="28" w:name="_Hlk92814279"/>
      <w:r>
        <w:rPr>
          <w:rFonts w:ascii="Calibri" w:hAnsi="Calibri"/>
          <w:sz w:val="22"/>
        </w:rPr>
        <w:t>hoonete energiatõhususe kohta</w:t>
      </w:r>
      <w:bookmarkEnd w:id="28"/>
      <w:r>
        <w:t xml:space="preserve"> </w:t>
      </w:r>
      <w:r>
        <w:rPr>
          <w:rFonts w:ascii="Calibri" w:hAnsi="Calibri"/>
          <w:sz w:val="22"/>
        </w:rPr>
        <w:t>ja direktiivi 2012/27/EL energiatõhususe kohta), artikli 8 lõiked 2, 4, 5 ja 6.</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Kolmas lõppsäte. </w:t>
      </w:r>
      <w:r>
        <w:rPr>
          <w:rFonts w:ascii="Calibri" w:hAnsi="Calibri"/>
          <w:i/>
          <w:sz w:val="22"/>
        </w:rPr>
        <w:t>Jõustumine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See kuninglik dekreet jõustub järgmisel päeval pärast selle avaldamist riigi ametlikus väljaandes.</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ESITADA MINISTRITE NÕUKOGULE</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lastRenderedPageBreak/>
              <w:t>TRANSPORDI, LIIKUVUSE JA LINNADE TEGEVUSKAVA MINISTER</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VALITSUSE KOLMAS ASEPEAMINISTER NING ÖKOLOOGILISE ÜLEMINEKU JA DEMOGRAAFILISTE PROBLEEMIDE MINISTER</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23B8" w14:textId="77777777" w:rsidR="000E5830" w:rsidRDefault="000E5830">
      <w:r>
        <w:separator/>
      </w:r>
    </w:p>
  </w:endnote>
  <w:endnote w:type="continuationSeparator" w:id="0">
    <w:p w14:paraId="71DCBA2C" w14:textId="77777777" w:rsidR="000E5830" w:rsidRDefault="000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A0AD" w14:textId="77777777" w:rsidR="000E5830" w:rsidRDefault="000E5830">
      <w:r>
        <w:separator/>
      </w:r>
    </w:p>
  </w:footnote>
  <w:footnote w:type="continuationSeparator" w:id="0">
    <w:p w14:paraId="23FEED52" w14:textId="77777777" w:rsidR="000E5830" w:rsidRDefault="000E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656"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79657"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TRANSPORDI,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LIIKUVUSE JA LINNADE TEGEVUSKAVA MINISTEERIUM</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ÖKOLOOGILISE ÜLEMINEKU JA DEMOGRAAFILISTE PROBLEEMIDE MINISTEERIUM</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VIIDE:</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VIITE 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0E5830"/>
    <w:rsid w:val="001F7365"/>
    <w:rsid w:val="002B64A6"/>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DD3EA5"/>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et-EE"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5317</Words>
  <Characters>39777</Characters>
  <Application>Microsoft Office Word</Application>
  <DocSecurity>0</DocSecurity>
  <Lines>576</Lines>
  <Paragraphs>278</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2022-09-12T07:21:00Z</dcterms:created>
  <dcterms:modified xsi:type="dcterms:W3CDTF">2022-09-12T07:21:00Z</dcterms:modified>
</cp:coreProperties>
</file>