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De Raad van Ministers wordt voorgesteld de volgende ontwerpbepaling goed te keuren:</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Ontwerp van Koninklijk Besluit tot wijziging van de Technisch Bouwwet, goedgekeurd door Koninklijk Besluit 314/2006 van 17 maart.</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Wet 38/1999, van 5 november, inzake Bouwvoorschriften, definieert de Technische Bouwwet (CTE) als het regelgevingskader dat de basiskwaliteitseisen voor gebouwen en hun installaties vastlegt en dat toelaat om te voldoen aan de in artikel 3 vastgelegde basisvereisten. De Technische Bouwwet (CTE) waarin deze wet voorziet, is goedgekeurd bij Koninklijk Besluit 314/2006 van 17 maart. De basisdocumenten die deel II van het CTE vormen, bevatten de in deel I vastgestelde basisvereisten en kwantificeren, waar van toepassing, door de vaststelling van prestatiedoelstellingen of -limieten of andere parameters. Met name het DB-HE-basisdocument ‘Energiebesparing’ specificeert en kwantificeert de energie-efficiëntie-eisen waaraan nieuwbouw moet voldoen, evenals ingrepen aan bestaande gebouwen.</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Op 30 mei 2018 is Richtlijn (EU) 2018/844 van het Europees Parlement en de Raad tot wijziging van Richtlijn 2010/31/EU betreffende de energieprestatie van gebouwen en Richtlijn 2012/27/EU betreffende energie-efficiëntie vastgesteld.</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Deze richtlijn moedigt de introductie van specifieke vereisten aan voor de implementatie oplaadinfrastructuren van elektrische voertuigen in parkeergarages in gebouwen. Zo zullen zowel de bouw- als de mobiliteitssector strategische gebieden zijn voor de algehele decarbonisatie van de economie, met een regelgevend kader dat erop gericht is de innovatie, de duurzaamheid en de energie-efficiëntie in deze sectoren te stimuleren.</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 ontwikkeling van infrastructuur voor intelligent opladen van elektrische voertuigen zal op zijn beurt bijdragen tot energiebeheer en flexibiliteit, het gebruik van hernieuwbare energie en de verbetering van de luchtkwaliteit, en de energieprestaties ervan zullen worden geoptimaliseerd door gebouwen digitaler te maken en nieuwe technologieën in het veld te integreren.</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Het geïntegreerde Nationale Energie- en Klimaatplan 2021-2030 (PNIEC) dat Spanje bij de Europese Commissie heeft ingediend, voorziet in de bevordering van elektrische mobiliteit als maatregel om het energieverbruik en de voertuigemissies te verminderen door aanpassing van de regelgeving en omzetting van EU-wetgeving die de uitrol van oplaadinfrastructuur voor elektrische voertuigen mogelijk maakt in overeenstemming met de ontwikkeling van de elektrificatie van het wagenpark, alsook via andere stimulerings- en ondersteuningsmechanismen.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 xml:space="preserve">Om deze doelstellingen te bereiken en de Richtlijn ter zake gedeeltelijk om te zetten, voert dit Koninklijk Besluit in de Technische Bouwwet een nieuwe fundamentele energiebesparende eis in met betrekking tot de minimumallocaties voor oplaadinfrastructuur van elektrische voertuigen, die wordt uitgewerkt in het nieuwe artikel HE 6 ‘Minimumoplaadinfrastructuur voor elektrische voertuigen’ van het Basisdocument DB-HE ‘Energiebesparingen’.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Aan de andere kant moet worden opgemerkt dat wet 7/2021 van 20 mei inzake klimaatverandering en energietransitie, in artikel 15, lid 10, verwijst naar de CTE voor deze verordening tot het vaststellen van de bepalingen voor de minimale oplaadinfrastructuur van elektrische voertuigen voor bestaande gebouwen voor ander gebruik dan particulier residentieel gebruik, die een parkeerplaats hebben met meer dan twintig plaatsen, hetzij binnen, hetzij in een toegewezen buitenruimte, welke bepalingen vóór 1 januari 2023 ingevoerd moeten zijn. Deze minimumtoewijzingen zijn echter uiteindelijk vastgesteld bij Koninklijk Besluit 29/2021 van 21 december, waarin dringende maatregelen worden vastgesteld op het gebied van energie ter bevordering van elektrische mobiliteit, zelfverbruik en de uitrol van hernieuwbare energie, waarin deze vereiste in artikel 4 is opgenomen.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Teneinde de verordening van oplaadinfrastructuren voor elektrische voertuigen uit te voeren, is Koninklijk Besluit 1053/2014 van 12 december ook gewijzigd, met goedkeuring van een nieuwe Aanvullende Technische Instructie (ITC) BT 52 ‘Installaties met speciale doelstellingen. Infrastructuur voor het opladen van elektrische voertuigen’ van het Elektrotechnisch Reglement voor Laagspanning, goedgekeurd bij Koninklijk Besluit 842/2002 van 2 augustus, en worden andere aanvullende technische instructies van hetzelfde gewijzigd.</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Bovendien voorziet de PNIEC, als maatregel ter bevordering van hernieuwbare energie, ter verbetering van het concurrentievermogen van de productiesectoren en ter bevordering van de betrokkenheid van consumenten bij het beheer van hun energie, de ontwikkeling van zelfverbruik met hernieuwbare energie en gedistribueerde opwekking in woon- en bedrijfsgebieden.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In dit verband heeft de goedkeuring van Koninklijk Besluit nr. 244/2019 van 5 april, dat de administratieve, technische en economische voorwaarden voor het zelfverbruik van elektriciteit regelt, onder meer geleid tot collectief zelfverbruik mogelijk gemaakt en tegelijkertijd heeft de administratieve procedures voor de implementatie van zelfverbruik verminderd. Daarom wordt geoordeeld dat het huidige wettelijke kader de uitbreiding van het toepassingsgebied van de basisvereiste HE 5 met betrekking tot de minimale elektriciteitsopwekking uit hernieuwbare energiebronnen mogelijk maakt, zowel door deze toepasbaar te maken in gebouwen voor residentieel gebruik als door de drempel van de bebouwde oppervlakte in gebouwen te verlagen voor alle toepassingen waarvoor de vereiste geldt.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Bovendien wordt het noodzakelijk geacht om een aantal delen van de Basisdocumenten DB-HE ‘Energiebesparing’</w:t>
      </w:r>
      <w:bookmarkStart w:id="0" w:name="_Hlk92819359"/>
      <w:bookmarkEnd w:id="0"/>
      <w:r>
        <w:rPr>
          <w:rFonts w:ascii="Calibri" w:hAnsi="Calibri"/>
          <w:sz w:val="22"/>
        </w:rPr>
        <w:t xml:space="preserve"> en DB-HS ‘Gezondheid’ te wijzigen om de toepassing ervan te vergemakkelijken, en de onmiddellijke wijziging van het basisdocument DB-SUA ‘Veiligheid van gebruik en toegankelijkheid’ om toegankelijkheidscriteria voor oplaadstations in toegankelijke parkeerplaatsen op te nemen.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De wijziging van de CTE met betrekking tot de opname van de nieuwe afdeling HE 6 ‘Minimumbepalingen voor het opladen van elektrische voertuigen’ van het basisdocument DB-HE inzake energiebesparing, alsmede de wijziging van Koninklijk Besluit 1053/2014 van 12 december, waarbij een nieuwe Aanvullende technische instructie (ITC) BT 52 wordt goedgekeurd, die is opgenomen in de eerste slotbepaling, maken deel uit van de regelgevende hervormingen voorzien in het Herstel, Transformatie- en Veerkrachtplan (PRTR). Met name de component 1 van het PRTR over ‘Duurzaam, veilig en geconnecteerd mobiliteitsschokplan in stedelijke en metropolitane omgevingen’ gaat in op de goedkeuring van dit Koninklijk Besluit tot uitvoering van de bovengenoemde regelgevende hervormingen in het kader van de C1.R1-hervorming, genaamd ‘Plan voor de uitrol van oplaadinfrastructuur en de bevordering van elektrische voertuigen’.  De C1.R1-hervorming is ontworpen als het wettelijke, regelgevende en strategische kader om de uitrol van oplaadinfrastructuur te vergemakkelijken om elektrische voertuigen in Spanje te bevorderen en heeft twee </w:t>
      </w:r>
      <w:r>
        <w:rPr>
          <w:rFonts w:ascii="Calibri" w:hAnsi="Calibri"/>
          <w:sz w:val="22"/>
        </w:rPr>
        <w:lastRenderedPageBreak/>
        <w:t xml:space="preserve">mijlpalen. De eerste hiervan is gevormd door Besluit TMA/178/2020 van 19 februari tot wijziging van de Verordening van 16 december 1997, dat de toegang tot rijkswegen, dienstwegen en de aanleg van dienstvoorzieningen regelt, en bij Koninklijk Wetsbesluit 23/2020 van 23 juni, die maatregelen op het gebied van energie en andere gebieden voor economische reactivering goedkeurt. De tweede mijlpaal van de C1.R1-hervorming omvat de goedkeuring van dit Koninklijk Besluit tot wijziging van de Technische Bouwwet en Koninklijk Besluit 1053/2014 van 12 december tot goedkeuring van een nieuwe Aanvullende technische instructie (ITC) BT 52.  De mijlpaal in tijdsverbintenis voor deze hervorming is de inwerkingtreding van het Koninklijk Besluit tot regulering ervan vóór 30 juni 2022. Hervorm C1.R1. is gekoppeld aan investering C1.I2 ‘Stimuleringsplan voor de installatie van oplaadpunten, de aanschaf van elektrische voertuigen en brandstofcelvoertuigen en innovatie op het gebied van elektromobiliteit, opladen en groene waterstof.’ Deze investering omvat steunlijnen voor de installatie van oplaadstations zoals gespecificeerd in Koninklijk Besluit 266/2021 van 13 april tot goedkeuring van de rechtstreekse toekenning van steun aan de autonome gemeenschappen en de steden Ceuta en Melilla voor de uitvoering van stimuleringsprogramma's in verband met elektrische mobiliteit (MOVES III) in het kader van het PRTR.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Dit Koninklijk Besluit eerbiedigt het (beginsel van Do No Significant Harm (DNSH)) en de voorwaarden voor klimaat- en digitale etikettering, in overeenstemming met de bepalingen van het PRTR, Verordening (EU) 2021/241 van het Europees Parlement en de Raad van 12 februari 2021 tot instelling van de herstel- en veerkrachtfaciliteit, en de uitvoeringswetgeving daarvan, met name de mededeling van de technische richtlijnen van de Commissie over de toepassing van het beginsel van geen significante schade krachtens de verordening veerkracht en herstelmechanisme, en de vereisten van het uitvoeringsbesluit van de Raad over de goedkeuring van de evaluatie van het Spaanse herstel-, transformatie- en veerkrachtplan. Dit omvat de naleving van de specifieke voorwaarden uiteengezet in component 1, alsook in hervorming 1 waarin dit Koninklijk Besluit is ingekaderd, zowel met betrekking tot het DNSH-principe als met betrekking tot klimaat- en digitale etikettering, en met name die uiteengezet in artikelen 3, 6 en 8 van het PRTR Component-document. PRTR-investeringen C1.I2, in verband met hervorming C1.R1, respecteren ook het beginsel van geen significante schade aan het milieu en de klimaatomstandigheden en digitale etikettering.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Dit Koninklijk Besluit is in overeenstemming met de beginselen van noodzakelijkheid, doeltreffendheid, evenredigheid, rechtszekerheid, transparantie en efficiëntie die zijn vastgelegd in artikel 129 van wet 39/2015 van 1 oktober betreffende de gemeenschappelijke administratieve procedure van overheidsdiensten. Wat de beginselen van noodzakelijkheid en doeltreffendheid betreft, beantwoordt de wet aan de verplichting om Europese richtlijnen in nationaal recht om te zetten en is zij in overeenstemming met doelstellingen van algemeen belang, zoals de aanpassing van de infrastructuur voor gebouwen ter bevordering van duurzame mobiliteit en het gebruik van hernieuwbare energie. Dit zal leiden tot welzijn in de samenleving en bescherming van het milieu. Dit Koninklijk Besluit is ook in overeenstemming met het evenredigheidsbeginsel, aangezien het voorziet in de noodzakelijke en toereikende middelen om het wettelijk mandaat van de richtlijn uit te voeren, maar geen innovatie vereist die overbodig is of verder gaat dan de wettelijke vereisten, en evenmin een beperking van de rechten van de burger inhoudt. Deze verordening voldoet aan het rechtszekerheidsbeginsel, omdat zij is ontwikkeld volgens de procedures van regeringswet 50/1997 van 27 november 1997 en het transparantiebeginsel, omdat het doel ervan duidelijk wordt omschreven en de inhoud ervan in de openbaar toegankelijke toelichting volledig wordt verklaart. Ten slotte voldoet het ook aan het efficiëntiebeginsel, omdat het geen administratieve lasten met zich meebrengt.</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Deze algemene bepaling is onderworpen aan de procedures van voorafgaande openbare consultatie en openbare hoorzitting en informatie vastgesteld in artikel 26 van wet 50/1997, van 27 november, van de Overheid, evenals de informatieprocedure op het gebied van technische voorschriften en regels betreffende de diensten van de informatiemaatschappij, zoals bepaald in Richtlijn (EU) 2015/1535 van het Europees Parlement en de Raad van 9 september 2015, alsook in Koninklijk Besluit 1337/1999 van 31 juli 1999.</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Op grond hiervan, op voorstel van de minister van Vervoer, Mobiliteit en Stedelijke Agenda en de minister van Ecologische Transitie en Demografische Uitdaging, in overeenstemming met de Raad van State en na beraadslagingen van de Raad van Ministers in zijn zitting over</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t>HET VOLGENDE IS BESLUIT:</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Enkel artikel. </w:t>
      </w:r>
      <w:r>
        <w:rPr>
          <w:rFonts w:ascii="Calibri" w:hAnsi="Calibri"/>
          <w:i/>
          <w:sz w:val="22"/>
        </w:rPr>
        <w:t>Wijziging van de Technisch Bouwwet (CTE), goedgekeurd bij Koninklijk Besluit 314/2006 van 17 maart 2006.</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 Technische Bouwwet (CTE), goedgekeurd bij Koninklijk Besluit 314/2006 van 17 maart, wordt als volgt gewijzigd:</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Eén. De index in deel I wordt als volgt gewijzigd:</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De formulering ’15.6. Basisvereiste HE5: Minimum elektriciteitsopwekking’ komt te luiden als volg:</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Basisvereiste HE 5: Minimum elektriciteitsopwekking uit hernieuwbare bronnen.’</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In de verwijzing naar artikel 15 wordt een extra punt met de volgende tekst ingevoegd:</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Basisvereiste HE6: Minimale oplaadinfrastructuurvoorzieningen voor elektrische voertuigen.</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Twee. Artikel 15 van deel I wordt als volgt gewijzigd:</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Punt 15.6 wordt als volgt gewijzigd:</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Basisvereiste HE 5: Minimale elektriciteitsopwekking uit hernieuwbare bronnen.</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Gebouwen moeten beschikken over elektriciteitsopwekkingssystemen uit hernieuwbare bronnen voor eigen gebruik of voor levering aan het net.’</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Een nieuw artikel 15.7 wordt toegevoegd met de volgende inhoud:</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Basisvereiste HE 6: Minimale oplaadinfrastructuurvoorzieningen voor elektrische voertuigen.</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Gebouwen moeten een minimale infrastructuur hebben die het opladen van elektrische voertuigen mogelijk maakt.’</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Drie. In het basisdocument DB-HE ‘Energiebesparing’ worden de volgende wijzigingen aangebracht, opgenomen in deel II:</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In de eerste alinea van artikel ‘I Onderwerp’ van de ‘Inleiding’ in de zin ‘Afdeling van deze DB komen overeen met de basisvereisten HE 0 a tot en met HE 5’, in plaats van ‘HE 5’, moet ‘HE 6’ worden vermeld.</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In afdeling I ‘Onderwerp’ van de ‘Inleiding’ wordt de verwijzing naar artikel 15.6 van deel I van het CTE als volgt gewijzigd:</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Basisvereiste HE 5: Minimale elektriciteitsopwekking uit hernieuwbare bronnen.</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Gebouwen moeten beschikken over elektriciteitsopwekkingssystemen uit hernieuwbare bronnen voor eigen gebruik of voor levering aan het net.’</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In deel I ‘Onderwerp’ van de ‘Inleiding’ wordt in de verwijzing naar artikel 15 van deel I van het CTE aan het einde van de CTE een extra punt ingevoegd, met de volgende tekst:</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Basisvereiste HE 6: Minimale oplaadinfrastructuurvoorzieningen voor elektrische voertuigen.</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 xml:space="preserve">Gebouwen moeten een minimale infrastructuur hebben die het opladen van </w:t>
      </w:r>
      <w:r>
        <w:rPr>
          <w:rFonts w:ascii="Calibri" w:hAnsi="Calibri"/>
          <w:i/>
          <w:sz w:val="22"/>
        </w:rPr>
        <w:t>elektrische voertuigen</w:t>
      </w:r>
      <w:r>
        <w:rPr>
          <w:rFonts w:ascii="Calibri" w:hAnsi="Calibri"/>
          <w:sz w:val="22"/>
        </w:rPr>
        <w:t xml:space="preserve"> mogelijk maakt.’</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In de inhoudsopgave wordt de titel van afdeling HE 5 als volgt gewijzigd:</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«Sectie HE 5 Minimale opwekking van elektrische energie uit hernieuwbare bronnen.»</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In de verwijzing naar artikel 15 in het register wordt een extra punt met de volgende tekst ingevoegd:</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‘Afdeling HE 6 Minimale oplaadinfrastructuurvoorzieningen voor elektrische voertuigen</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Toepassingsgebied</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Beschrijving van de vereiste</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Kwantificering van de vereiste</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Rechtvaardiging van de vereiste</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Bouw, onderhoud en instandhouding</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Uitvoering</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5.2</w:t>
      </w:r>
      <w:r>
        <w:rPr>
          <w:rFonts w:ascii="Calibri" w:hAnsi="Calibri"/>
          <w:sz w:val="22"/>
        </w:rPr>
        <w:tab/>
        <w:t>Toezicht op de uitvoering van de werkzaamheden</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5.3</w:t>
      </w:r>
      <w:r>
        <w:rPr>
          <w:rFonts w:ascii="Calibri" w:hAnsi="Calibri"/>
          <w:sz w:val="22"/>
        </w:rPr>
        <w:tab/>
        <w:t>Controle van de voltooide werkzaamheden</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5.4</w:t>
      </w:r>
      <w:r>
        <w:rPr>
          <w:rFonts w:ascii="Calibri" w:hAnsi="Calibri"/>
          <w:sz w:val="22"/>
        </w:rPr>
        <w:tab/>
        <w:t>Onderhoud en instandhouding van het gebouw</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afdeling HE 0, artikel 1 Toepassingsgebied, lid 1, wordt de tekst: ‘...wanneer de totale uitgebreide gebruiksoppervlakte groter is dan 50 m</w:t>
      </w:r>
      <w:r>
        <w:rPr>
          <w:rFonts w:ascii="Calibri" w:hAnsi="Calibri"/>
          <w:sz w:val="22"/>
          <w:vertAlign w:val="superscript"/>
        </w:rPr>
        <w:t>2</w:t>
      </w:r>
      <w:r>
        <w:rPr>
          <w:rFonts w:ascii="Calibri" w:hAnsi="Calibri"/>
          <w:sz w:val="22"/>
        </w:rPr>
        <w:t>;’, vervangen door ‘... wanneer de uitgebreide bruikbare oppervlak groter is dan 50 m</w:t>
      </w:r>
      <w:r>
        <w:rPr>
          <w:rFonts w:ascii="Calibri" w:hAnsi="Calibri"/>
          <w:sz w:val="22"/>
          <w:vertAlign w:val="superscript"/>
        </w:rPr>
        <w:t>2</w:t>
      </w:r>
      <w:r>
        <w:rPr>
          <w:rFonts w:ascii="Calibri" w:hAnsi="Calibri"/>
          <w:sz w:val="22"/>
        </w:rPr>
        <w: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Afdeling HE 0, artikel 3 Kwantificering van de vereiste, artikel 3.1 Niet-hernieuwbaar primair energieverbruik</w:t>
      </w:r>
      <w:bookmarkStart w:id="1" w:name="_Hlk96944651"/>
      <w:r>
        <w:rPr>
          <w:rFonts w:ascii="Calibri" w:hAnsi="Calibri"/>
          <w:sz w:val="22"/>
        </w:rPr>
        <w:t>,</w:t>
      </w:r>
      <w:bookmarkEnd w:id="1"/>
      <w:r>
        <w:rPr>
          <w:rFonts w:ascii="Calibri" w:hAnsi="Calibri"/>
          <w:sz w:val="22"/>
        </w:rPr>
        <w:t xml:space="preserve"> lid 1, </w:t>
      </w:r>
      <w:bookmarkStart w:id="2" w:name="_Hlk96943118"/>
      <w:r>
        <w:rPr>
          <w:rFonts w:ascii="Calibri" w:hAnsi="Calibri"/>
          <w:sz w:val="22"/>
        </w:rPr>
        <w:t>wordt de term ‘Cep, Nren’ vervangen door ‘C</w:t>
      </w:r>
      <w:r>
        <w:rPr>
          <w:rFonts w:ascii="Calibri" w:hAnsi="Calibri"/>
          <w:sz w:val="22"/>
          <w:vertAlign w:val="subscript"/>
        </w:rPr>
        <w:t>ep,nren</w:t>
      </w:r>
      <w:r>
        <w:rPr>
          <w:rFonts w:ascii="Calibri" w:hAnsi="Calibri"/>
          <w:sz w:val="22"/>
        </w:rPr>
        <w:t>’ en wordt de term ‘Cep,nren,lim’ vervangen door ‘C</w:t>
      </w:r>
      <w:r>
        <w:rPr>
          <w:rFonts w:ascii="Calibri" w:hAnsi="Calibri"/>
          <w:sz w:val="22"/>
          <w:vertAlign w:val="subscript"/>
        </w:rPr>
        <w:t>ep,nren,lim</w:t>
      </w:r>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Afdeling HE 0, artikel 3 Kwantificering van de vereiste, artikel 3.1, Niet-hernieuwbaar primair energieverbruik, lid 2, wordt de term ‘Cep,nren,lim’ vervangen door ‘C</w:t>
      </w:r>
      <w:r>
        <w:rPr>
          <w:rFonts w:ascii="Calibri" w:hAnsi="Calibri"/>
          <w:sz w:val="22"/>
          <w:vertAlign w:val="subscript"/>
        </w:rPr>
        <w:t>ep,nren,lim</w:t>
      </w:r>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afdeling HE 0, artikel 3 Kwantificering van de vereiste, artikel 3.2. Totaal primair energieverbruik, lid 1, wordt ‘Cep,tot’ vervangen door ‘C</w:t>
      </w:r>
      <w:r>
        <w:rPr>
          <w:rFonts w:ascii="Calibri" w:hAnsi="Calibri"/>
          <w:sz w:val="22"/>
          <w:vertAlign w:val="subscript"/>
        </w:rPr>
        <w:t>ep,tot</w:t>
      </w:r>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Afdeling HE 0, artikel 3, Kwantificering van de vereiste, artikel 3.2 Niet-hernieuwbaar primair energieverbruik, lid 2, wordt de term ‘Cep,tot,lim’ vervangen door ‘C</w:t>
      </w:r>
      <w:r>
        <w:rPr>
          <w:rFonts w:ascii="Calibri" w:hAnsi="Calibri"/>
          <w:sz w:val="22"/>
          <w:vertAlign w:val="subscript"/>
        </w:rPr>
        <w:t>ep,tot,lim</w:t>
      </w:r>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Afdeling HE 0, artikel 3 Kwantificering van de vereiste, moet de term ‘</w:t>
      </w:r>
      <w:r>
        <w:rPr>
          <w:rFonts w:ascii="Calibri" w:hAnsi="Calibri"/>
          <w:i/>
          <w:sz w:val="22"/>
        </w:rPr>
        <w:t>privé residentieel gebruik’</w:t>
      </w:r>
      <w:r>
        <w:rPr>
          <w:rFonts w:ascii="Calibri" w:hAnsi="Calibri"/>
          <w:sz w:val="22"/>
        </w:rPr>
        <w:t xml:space="preserve"> cursief zijn.</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Afdeling HE 0, in artikel 4.1 ‘Berekeningsprocedure’ worden in lid 9 de woorden ‘Erkend document’ vervangen door ‘Erkend energiecertificeringsdocument voor gebouwen’.</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In Afdeling HE 0 in artikel 4.1 ‘Berekeningsprocedure’, wordt lid 9 lid 11 en worden de volgende alinea's toegevoegd:</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De berekening van de energiebalans die nodig is voor de verificatie van de vereiste van dit BD wordt uitgevoerd in overeenstemming met UNE-EN ISO 52000-1:2019: </w:t>
      </w:r>
      <w:r>
        <w:rPr>
          <w:rFonts w:ascii="Calibri" w:hAnsi="Calibri"/>
          <w:i/>
          <w:sz w:val="22"/>
        </w:rPr>
        <w:t>Algehele beoordeling van de energieprestatie van gebouwen. Deel 1: algemeen kader en procedures</w:t>
      </w:r>
      <w:r>
        <w:rPr>
          <w:rFonts w:ascii="Calibri" w:hAnsi="Calibri"/>
          <w:sz w:val="22"/>
        </w:rPr>
        <w:t>, met een exportfactor K</w:t>
      </w:r>
      <w:r>
        <w:rPr>
          <w:rFonts w:ascii="Calibri" w:hAnsi="Calibri"/>
          <w:sz w:val="22"/>
          <w:vertAlign w:val="subscript"/>
        </w:rPr>
        <w:t>exp</w:t>
      </w:r>
      <w:r>
        <w:rPr>
          <w:rFonts w:ascii="Calibri" w:hAnsi="Calibri"/>
          <w:sz w:val="22"/>
        </w:rPr>
        <w:t xml:space="preserve">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«10</w:t>
      </w:r>
      <w:r>
        <w:rPr>
          <w:rFonts w:ascii="Calibri" w:hAnsi="Calibri"/>
          <w:sz w:val="22"/>
        </w:rPr>
        <w:tab/>
        <w:t>Voor de toewijzing van de verschillende diensten wordt de verdeling van de ter plaatse geproduceerde elektriciteit in elk tijdsinterval berekend naar evenredigheid van het elektriciteitsverbruik van het betrokken verbruik (verwarming, koeling, ventilatie, ACS en tertiair gebruik, daarnaast verlichting).’</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In afdeling HE 0, artikel 4.3 Interne verzoeken en operationele voorwaarden, lid 2, moet de term ‘</w:t>
      </w:r>
      <w:r>
        <w:rPr>
          <w:rFonts w:ascii="Calibri" w:hAnsi="Calibri"/>
          <w:i/>
          <w:sz w:val="22"/>
        </w:rPr>
        <w:t>particulier residentieel gebruik</w:t>
      </w:r>
      <w:r>
        <w:rPr>
          <w:rFonts w:ascii="Calibri" w:hAnsi="Calibri"/>
          <w:sz w:val="22"/>
        </w:rPr>
        <w:t>’ cursief zijn.</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ñ) In afdeling HE 0, artikel 4.5 Referentiesystemen voor particulier residentieel gebruik, moet de term ‘</w:t>
      </w:r>
      <w:r>
        <w:rPr>
          <w:rFonts w:ascii="Calibri" w:hAnsi="Calibri"/>
          <w:i/>
          <w:sz w:val="22"/>
        </w:rPr>
        <w:t>particulier residentieel gebruik</w:t>
      </w:r>
      <w:r>
        <w:rPr>
          <w:rFonts w:ascii="Calibri" w:hAnsi="Calibri"/>
          <w:sz w:val="22"/>
        </w:rPr>
        <w:t>’ zowel in de titel als in lid 1 cursief zijn.</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In afdeling HE 1, artikel 3, Kwantificering van de vereiste, punt 3.1.1. De transmissie van de </w:t>
      </w:r>
      <w:r>
        <w:rPr>
          <w:rFonts w:ascii="Calibri" w:hAnsi="Calibri"/>
          <w:i/>
          <w:sz w:val="22"/>
        </w:rPr>
        <w:t>thermische omhulling</w:t>
      </w:r>
      <w:r>
        <w:rPr>
          <w:rFonts w:ascii="Calibri" w:hAnsi="Calibri"/>
          <w:sz w:val="22"/>
        </w:rPr>
        <w:t>, de term ‘compactheid’ in de tabellen 3.1.1.b-HE1 en de tabellen 3.1.1.c-HE1 moeten cursief zijn.</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In afdeling HE 1, artikel 3, Kwantificering van de vereiste, punt 3.1.1. De transmissie van de </w:t>
      </w:r>
      <w:r>
        <w:rPr>
          <w:rFonts w:ascii="Calibri" w:hAnsi="Calibri"/>
          <w:i/>
          <w:sz w:val="22"/>
        </w:rPr>
        <w:t>thermische omhulling</w:t>
      </w:r>
      <w:r>
        <w:rPr>
          <w:rFonts w:ascii="Calibri" w:hAnsi="Calibri"/>
          <w:sz w:val="22"/>
        </w:rPr>
        <w:t>, de term ‘compactheid’ in de tabelvoetnoten 3.1.1.b-HE1 en de tabellen 3.1.1.c-HE1 en de term ‘compactheid’ in de tabelvoetnoot in tabel 3.1.1.c-HE1 moeten cursief zijn.</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In afdeling HE 1, artikel 3, Kwantificering van de vereiste, punt 3.1.1. </w:t>
      </w:r>
      <w:r>
        <w:rPr>
          <w:rFonts w:ascii="Calibri" w:hAnsi="Calibri"/>
          <w:i/>
          <w:sz w:val="22"/>
        </w:rPr>
        <w:t>Thermische omhulling</w:t>
      </w:r>
      <w:r>
        <w:rPr>
          <w:rFonts w:ascii="Calibri" w:hAnsi="Calibri"/>
          <w:sz w:val="22"/>
        </w:rPr>
        <w:t>, artikel 3 moet de term ‘</w:t>
      </w:r>
      <w:r>
        <w:rPr>
          <w:rFonts w:ascii="Calibri" w:hAnsi="Calibri"/>
          <w:i/>
          <w:sz w:val="22"/>
        </w:rPr>
        <w:t>particulier residentieel gebruik</w:t>
      </w:r>
      <w:r>
        <w:rPr>
          <w:rFonts w:ascii="Calibri" w:hAnsi="Calibri"/>
          <w:sz w:val="22"/>
        </w:rPr>
        <w:t>’ cursief zijn in zowel artikel 3 als tabel 3.1.1.b-HE1.</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In afdeling HE 1, artikel 3, Kwantificering van de vereiste, punt 3.1.1. De transmissie van de </w:t>
      </w:r>
      <w:r>
        <w:rPr>
          <w:rFonts w:ascii="Calibri" w:hAnsi="Calibri"/>
          <w:i/>
          <w:sz w:val="22"/>
        </w:rPr>
        <w:t>thermische omhulling</w:t>
      </w:r>
      <w:r>
        <w:rPr>
          <w:rFonts w:ascii="Calibri" w:hAnsi="Calibri"/>
          <w:sz w:val="22"/>
        </w:rPr>
        <w:t>, de term ‘thermische omhulling’ in de tabellen 3.1.1.b-HE1 en 3.1.1.c-HE1 moeten cursief zijn.</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In Afdeling HE 1, artikel 3 Kwantificering van de vereiste, wordt in punt 3.1.1 ‘</w:t>
      </w:r>
      <w:r>
        <w:rPr>
          <w:rFonts w:ascii="Calibri" w:hAnsi="Calibri"/>
          <w:i/>
          <w:sz w:val="22"/>
        </w:rPr>
        <w:t>Transmissie van de thermische omhulling</w:t>
      </w:r>
      <w:r>
        <w:rPr>
          <w:rFonts w:ascii="Calibri" w:hAnsi="Calibri"/>
          <w:sz w:val="22"/>
        </w:rPr>
        <w:t>’ de volgende alinea toegevoegd:</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«6 Als alternatief kunnen gebouwen of, in het geval van gedeeltelijke ingrepen op bestaande gebouwen, delen van gebouwen waarop ingrepen worden uitgevoerd, waarvan de vraag naar verwarming en koeling in beide gevallen minder bedraagt dan 15 kWh/m</w:t>
      </w:r>
      <w:r>
        <w:rPr>
          <w:rFonts w:ascii="Calibri" w:hAnsi="Calibri"/>
          <w:sz w:val="22"/>
          <w:vertAlign w:val="superscript"/>
        </w:rPr>
        <w:t>2</w:t>
      </w:r>
      <w:r>
        <w:rPr>
          <w:rFonts w:ascii="Calibri" w:hAnsi="Calibri"/>
          <w:sz w:val="22"/>
        </w:rPr>
        <w:t xml:space="preserve">, worden uitgesloten van naleving van de </w:t>
      </w:r>
      <w:r>
        <w:rPr>
          <w:rFonts w:ascii="Calibri" w:hAnsi="Calibri"/>
          <w:i/>
          <w:sz w:val="22"/>
        </w:rPr>
        <w:t>algemene warmteoverdrachtscoëfficiënt via de thermische omhulling</w:t>
      </w:r>
      <w:r>
        <w:rPr>
          <w:rFonts w:ascii="Calibri" w:hAnsi="Calibri"/>
          <w:sz w:val="22"/>
        </w:rPr>
        <w:t xml:space="preserve"> (K).’</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In afdeling HE 1, artikel 3, Kwantificering van de vereiste, punt 3.1.2 zonnebeheersing van de thermische omhulling, wordt de tekst: ‘Tabel 3.1.2-HE1 Grenswaarde van de parameter voor zonnebeheersing qsol;jul,lim [kWh/m</w:t>
      </w:r>
      <w:r>
        <w:rPr>
          <w:rFonts w:ascii="Calibri" w:hAnsi="Calibri"/>
          <w:sz w:val="22"/>
          <w:vertAlign w:val="superscript"/>
        </w:rPr>
        <w:t>2</w:t>
      </w:r>
      <w:r>
        <w:rPr>
          <w:rFonts w:ascii="Calibri" w:hAnsi="Calibri"/>
          <w:sz w:val="22"/>
        </w:rPr>
        <w:t>·mes]’ vervangen door: ‘Tabel 3.1.2-HE1 Grenswaarde van de parameter voor zonnebeheersing q</w:t>
      </w:r>
      <w:r>
        <w:rPr>
          <w:rFonts w:ascii="Calibri" w:hAnsi="Calibri"/>
          <w:sz w:val="22"/>
          <w:vertAlign w:val="subscript"/>
        </w:rPr>
        <w:t>sol;jul,lim</w:t>
      </w:r>
      <w:r>
        <w:rPr>
          <w:rFonts w:ascii="Calibri" w:hAnsi="Calibri"/>
          <w:sz w:val="22"/>
        </w:rPr>
        <w:t xml:space="preserve"> [kWh/m</w:t>
      </w:r>
      <w:r>
        <w:rPr>
          <w:rFonts w:ascii="Calibri" w:hAnsi="Calibri"/>
          <w:sz w:val="22"/>
          <w:vertAlign w:val="superscript"/>
        </w:rPr>
        <w:t>2</w:t>
      </w:r>
      <w:r>
        <w:rPr>
          <w:rFonts w:ascii="Calibri" w:hAnsi="Calibri"/>
          <w:sz w:val="22"/>
        </w:rPr>
        <w:t>·mes]’.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In afdeling HE 1, artikel 3, Kwantificering van de vereiste, punt 3.1.3 Luchtdoorlatendheid van de thermische omhulling, moet de term ‘thermische omhulling’ cursief zijn in zowel de titel van de afdeling als de titel van tabel 3.1.3.a-HE1.</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In afdeling HE 1, artikel 3 Kwantificering van de vereiste, in artikel 3.1.3 ‘Luchtdoorlatendheid van de </w:t>
      </w:r>
      <w:r>
        <w:rPr>
          <w:rFonts w:ascii="Calibri" w:hAnsi="Calibri"/>
          <w:i/>
          <w:sz w:val="22"/>
        </w:rPr>
        <w:t>thermische omhulling</w:t>
      </w:r>
      <w:r>
        <w:rPr>
          <w:rFonts w:ascii="Calibri" w:hAnsi="Calibri"/>
          <w:sz w:val="22"/>
        </w:rPr>
        <w:t>’ wordt het volgende nieuwe lid 3 toegevoegd:</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‘3 «In het geval van wijzigingen is tabel 3.1.3.a-HE1 hierboven alleen van toepassing op die elementen van de </w:t>
      </w:r>
      <w:r>
        <w:rPr>
          <w:rFonts w:ascii="Calibri" w:hAnsi="Calibri"/>
          <w:i/>
          <w:sz w:val="22"/>
        </w:rPr>
        <w:t>thermische omhulling</w:t>
      </w:r>
      <w:r>
        <w:rPr>
          <w:rFonts w:ascii="Calibri" w:hAnsi="Calibri"/>
          <w:sz w:val="22"/>
        </w:rPr>
        <w:t xml:space="preserve"> die worden vervangen, ingebouwd of substantieel gewijzigd;»</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De nummering van de huidige leden 3 en 4 van artikel 3.1.3 ‘Luchtdoorlatendheid van de </w:t>
      </w:r>
      <w:r>
        <w:rPr>
          <w:rFonts w:ascii="Calibri" w:hAnsi="Calibri"/>
          <w:i/>
          <w:sz w:val="22"/>
        </w:rPr>
        <w:t>thermische omhulling</w:t>
      </w:r>
      <w:r>
        <w:rPr>
          <w:rFonts w:ascii="Calibri" w:hAnsi="Calibri"/>
          <w:sz w:val="22"/>
        </w:rPr>
        <w:t>’ wordt vervangen door respectievelijk 4 en 5.</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lastRenderedPageBreak/>
        <w:t xml:space="preserve">In afdeling HE 1, artikel 3 Kwantificering van de vereiste, artikel 3.1.3 Luchtdoorlatendheid van de </w:t>
      </w:r>
      <w:r>
        <w:rPr>
          <w:rFonts w:ascii="Calibri" w:hAnsi="Calibri"/>
          <w:i/>
          <w:sz w:val="22"/>
        </w:rPr>
        <w:t>thermische omhulling</w:t>
      </w:r>
      <w:r>
        <w:rPr>
          <w:rFonts w:ascii="Calibri" w:hAnsi="Calibri"/>
          <w:sz w:val="22"/>
        </w:rPr>
        <w:t>, de term ‘compactheid’ in tabel 3.1.3.b-HE1, de term ‘compactheid’ in de tabel in tabel 3.1.3.b-HE1 en de term ‘particulier residentieel gebruik’ in lid 3, moeten cursief zijn.</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In afdeling HE 1, artikel 3 Kwantificering van de vereiste, in artikel 3.1.3 Luchtdoorlatendheid van de </w:t>
      </w:r>
      <w:r>
        <w:rPr>
          <w:rFonts w:ascii="Calibri" w:hAnsi="Calibri"/>
          <w:i/>
          <w:sz w:val="22"/>
        </w:rPr>
        <w:t>thermische omhulling,</w:t>
      </w:r>
      <w:r>
        <w:rPr>
          <w:rFonts w:ascii="Calibri" w:hAnsi="Calibri"/>
          <w:sz w:val="22"/>
        </w:rPr>
        <w:t xml:space="preserve"> tabel 3.1.3.b-HE1, waar staat ‘m</w:t>
      </w:r>
      <w:r>
        <w:rPr>
          <w:rFonts w:ascii="Calibri" w:hAnsi="Calibri"/>
          <w:sz w:val="22"/>
          <w:vertAlign w:val="superscript"/>
        </w:rPr>
        <w:t>3</w:t>
      </w:r>
      <w:r>
        <w:rPr>
          <w:rFonts w:ascii="Calibri" w:hAnsi="Calibri"/>
          <w:sz w:val="22"/>
        </w:rPr>
        <w:t>/m²’ moet ‘m</w:t>
      </w:r>
      <w:r>
        <w:rPr>
          <w:rFonts w:ascii="Calibri" w:hAnsi="Calibri"/>
          <w:sz w:val="22"/>
          <w:vertAlign w:val="superscript"/>
        </w:rPr>
        <w:t>3</w:t>
      </w:r>
      <w:r>
        <w:rPr>
          <w:rFonts w:ascii="Calibri" w:hAnsi="Calibri"/>
          <w:sz w:val="22"/>
        </w:rPr>
        <w:t>/m</w:t>
      </w:r>
      <w:r>
        <w:rPr>
          <w:rFonts w:ascii="Calibri" w:hAnsi="Calibri"/>
          <w:sz w:val="22"/>
          <w:vertAlign w:val="superscript"/>
        </w:rPr>
        <w:t>2</w:t>
      </w:r>
      <w:r>
        <w:rPr>
          <w:rFonts w:ascii="Calibri" w:hAnsi="Calibri"/>
          <w:sz w:val="22"/>
        </w:rPr>
        <w:t xml:space="preserve">’ staan met de 2 als superscript.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In afdeling HE 1, artikel 4 Rechtvaardiging van de vereiste, moet de term ‘compactheid’ in punt 4.1.b) en de term ‘privé residentieel gebruik’ in punt 4.1.g) cursief zijn.</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t>In afdeling HE 3, in tabel 3.1-HE3 Installatie-efficiëntiegrenswaarde (VEEI</w:t>
      </w:r>
      <w:r>
        <w:rPr>
          <w:rFonts w:ascii="Calibri" w:hAnsi="Calibri"/>
          <w:sz w:val="22"/>
          <w:vertAlign w:val="subscript"/>
        </w:rPr>
        <w:t>lim</w:t>
      </w:r>
      <w:r>
        <w:rPr>
          <w:rFonts w:ascii="Calibri" w:hAnsi="Calibri"/>
          <w:sz w:val="22"/>
        </w:rPr>
        <w:t>), worden de woorden ‘Warenhuizen en kleine winkels’ vervangen door ‘Warenhuizen en kleine winkels</w:t>
      </w:r>
      <w:r>
        <w:rPr>
          <w:rFonts w:ascii="Calibri" w:hAnsi="Calibri"/>
          <w:sz w:val="22"/>
          <w:vertAlign w:val="superscript"/>
        </w:rPr>
        <w:t xml:space="preserve"> (10)</w:t>
      </w:r>
      <w:r>
        <w:rPr>
          <w:rFonts w:ascii="Calibri" w:hAnsi="Calibri"/>
          <w:sz w:val="22"/>
        </w:rPr>
        <w:t>’ en wordt de volgende voetnoot toegevoegd:</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w:t>
      </w:r>
      <w:r>
        <w:rPr>
          <w:rFonts w:ascii="Calibri" w:hAnsi="Calibri"/>
          <w:sz w:val="22"/>
          <w:vertAlign w:val="superscript"/>
        </w:rPr>
        <w:t>(10)</w:t>
      </w:r>
      <w:r>
        <w:rPr>
          <w:rFonts w:ascii="Calibri" w:hAnsi="Calibri"/>
          <w:sz w:val="22"/>
        </w:rPr>
        <w:t xml:space="preserve"> De term warenhuis verwijst zowel naar kleine zelfstandige winkels als naar het deel voor commercieel gebruik dat niet vaak in winkelcentra wordt gebruikt.’</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In afdeling HE 3, artikel 3.3 Controle- en regelgevingssystemen, komt lid 2, dat als volgt luidt: ‘...kan worden vervangen door een van de volgende twee opties: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xml:space="preserve">- activerings- en deactiveringscontrole door een getimed aanwezigheidsdetectiesysteem; of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t>- een getimed drukknopsysteem.’</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als volgt te luiden: ‘...kan worden vervangen door een van de volgende twee opties: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activerings- en deactiveringscontrole door een </w:t>
      </w:r>
      <w:r>
        <w:rPr>
          <w:rFonts w:ascii="Calibri" w:hAnsi="Calibri"/>
          <w:i/>
          <w:sz w:val="22"/>
        </w:rPr>
        <w:t>getimed aanwezigheidsdetectiesysteem</w:t>
      </w:r>
      <w:r>
        <w:rPr>
          <w:rFonts w:ascii="Calibri" w:hAnsi="Calibri"/>
          <w:sz w:val="22"/>
        </w:rPr>
        <w:t xml:space="preserve">, of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een </w:t>
      </w:r>
      <w:r>
        <w:rPr>
          <w:rFonts w:ascii="Calibri" w:hAnsi="Calibri"/>
          <w:i/>
          <w:sz w:val="22"/>
        </w:rPr>
        <w:t>timersysteem</w:t>
      </w:r>
      <w:r>
        <w:rPr>
          <w:rFonts w:ascii="Calibri" w:hAnsi="Calibri"/>
          <w:sz w:val="22"/>
        </w:rPr>
        <w:t xml:space="preserve"> door middel van een drukknop.’</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In afdeling HE 3, artikel 4, Rechtvaardiging van de vereiste, lid 1, onder b), dat als volgt luidt: ‘...de efficiëntie van de gebruikte </w:t>
      </w:r>
      <w:r>
        <w:rPr>
          <w:rFonts w:ascii="Calibri" w:hAnsi="Calibri"/>
          <w:i/>
          <w:sz w:val="22"/>
        </w:rPr>
        <w:t>lampen</w:t>
      </w:r>
      <w:r>
        <w:rPr>
          <w:rFonts w:ascii="Calibri" w:hAnsi="Calibri"/>
          <w:sz w:val="22"/>
        </w:rPr>
        <w:t xml:space="preserve"> (voor wat betreft lum/W)’ moet als volgt luiden: ‘...de efficiëntie van de gebruikte </w:t>
      </w:r>
      <w:r>
        <w:rPr>
          <w:rFonts w:ascii="Calibri" w:hAnsi="Calibri"/>
          <w:i/>
          <w:sz w:val="22"/>
        </w:rPr>
        <w:t>lampen</w:t>
      </w:r>
      <w:r>
        <w:rPr>
          <w:rFonts w:ascii="Calibri" w:hAnsi="Calibri"/>
          <w:sz w:val="22"/>
        </w:rPr>
        <w:t xml:space="preserve"> (voor wat betreft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In afdeling HE 4, artikel 2 Beschrijving van de vereiste, moet lid 1 als volgt luiden:</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 xml:space="preserve">«1 Tot hoge mate moeten gebouwen grotendeels voldoen aan hun behoeften aan DHW- en waterverwarming voor verwarmde binnenzwembaden door gebruik te maken van </w:t>
      </w:r>
      <w:r>
        <w:rPr>
          <w:rFonts w:ascii="Calibri" w:hAnsi="Calibri"/>
          <w:i/>
          <w:sz w:val="22"/>
        </w:rPr>
        <w:t>energie uit hernieuwbare bronnen</w:t>
      </w:r>
      <w:r>
        <w:rPr>
          <w:rFonts w:ascii="Calibri" w:hAnsi="Calibri"/>
          <w:sz w:val="22"/>
        </w:rPr>
        <w:t xml:space="preserve"> of hernieuwbare warmtekrachtkoppelingsprocessen; hetzij in het gebouw zelf, hetzij door aansluiting op een </w:t>
      </w:r>
      <w:r>
        <w:rPr>
          <w:rFonts w:ascii="Calibri" w:hAnsi="Calibri"/>
          <w:i/>
          <w:sz w:val="22"/>
        </w:rPr>
        <w:t>stadsverwarmingssysteem</w:t>
      </w:r>
      <w:r>
        <w:rPr>
          <w:rFonts w:ascii="Calibri" w:hAnsi="Calibri"/>
          <w:sz w:val="22"/>
        </w:rPr>
        <w:t>.’</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 In afdeling HE 4, artikel 3 Kwantificering van de vereiste, artikel 3.1 Minimumbijdrage hernieuwbare energie voor DHW en/of zwembadverwarming, lid 4, moet de tekst: </w:t>
      </w:r>
      <w:bookmarkStart w:id="3" w:name="_Hlk96945986"/>
      <w:r>
        <w:rPr>
          <w:rFonts w:ascii="Calibri" w:hAnsi="Calibri"/>
          <w:sz w:val="22"/>
        </w:rPr>
        <w:t>‘...</w:t>
      </w:r>
      <w:bookmarkEnd w:id="3"/>
      <w:r>
        <w:rPr>
          <w:rFonts w:ascii="Calibri" w:hAnsi="Calibri"/>
          <w:sz w:val="22"/>
        </w:rPr>
        <w:t>meer dan 2,5 wanneer elektrisch bediend en groter dan 1,15 wanneer bediend door thermische energie...’ worden vervangen door ‘... gelijk aan of groter dan 2,5 wanneer elektrisch bediend en gelijk aan of groter dan 1,15 wanneer bediend door thermische energie...’.</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In afdeling HE 4, artikel 3 Kwantificering van de vereiste, artikel 3.1 Minimumbijdrage hernieuwbare energie voor DHW en/of zwembadverwarming, lid 5, moet de tekst: ‘... residentiële gebouwen...’ worden vervangen door ‘... gebouwen voor </w:t>
      </w:r>
      <w:r>
        <w:rPr>
          <w:rFonts w:ascii="Calibri" w:hAnsi="Calibri"/>
          <w:i/>
          <w:sz w:val="22"/>
        </w:rPr>
        <w:t>particulier residentieel gebruik</w:t>
      </w:r>
      <w:r>
        <w:rPr>
          <w:rFonts w:ascii="Calibri" w:hAnsi="Calibri"/>
          <w:sz w:val="22"/>
        </w:rPr>
        <w:t>...’</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In afdeling HE 4, vóór artikel ‘5.1. 'Uitvoering’ wordt ingevoegd «5. Bouw, onderhoud en instandhouding’ als titel.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In Afdeling HE 5, wordt de titel ‘Afdeling HE 5 Minimale elektriciteitsopwekking’ vervangen door ‘Afdeling HE 5 </w:t>
      </w:r>
      <w:bookmarkStart w:id="4" w:name="_Hlk92123384"/>
      <w:r>
        <w:rPr>
          <w:rFonts w:ascii="Calibri" w:hAnsi="Calibri"/>
          <w:sz w:val="22"/>
        </w:rPr>
        <w:t>Minimale elektriciteitsopwekking</w:t>
      </w:r>
      <w:bookmarkEnd w:id="4"/>
      <w:r>
        <w:t xml:space="preserve"> </w:t>
      </w:r>
      <w:r>
        <w:rPr>
          <w:rFonts w:ascii="Calibri" w:hAnsi="Calibri"/>
          <w:sz w:val="22"/>
        </w:rPr>
        <w:t>uit hernieuwbare bronnen.’</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lastRenderedPageBreak/>
        <w:t xml:space="preserve">In afdeling HE 5, wordt lid 1 ‘Toepassingsgebied’ als volgt geformuleerd: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 Deze afdeling is van toepassing in de volgende gevallen: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 nieuw gebouwde gebouwen met een constructie groter dan 1.000 m</w:t>
      </w:r>
      <w:r>
        <w:rPr>
          <w:rFonts w:ascii="Calibri" w:hAnsi="Calibri"/>
          <w:sz w:val="22"/>
          <w:vertAlign w:val="superscript"/>
        </w:rPr>
        <w:t>2</w:t>
      </w:r>
      <w:r>
        <w:rPr>
          <w:rFonts w:ascii="Calibri" w:hAnsi="Calibri"/>
          <w:sz w:val="22"/>
        </w:rPr>
        <w:t>;</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b) uitbreidingen van bestaande gebouwen, wanneer het bebouwde oppervlakte wordt vergroot met meer dan 1.000 m</w:t>
      </w:r>
      <w:r>
        <w:rPr>
          <w:rFonts w:ascii="Calibri" w:hAnsi="Calibri"/>
          <w:sz w:val="22"/>
          <w:vertAlign w:val="superscript"/>
        </w:rPr>
        <w:t>2</w:t>
      </w:r>
      <w:r>
        <w:rPr>
          <w:rFonts w:ascii="Calibri" w:hAnsi="Calibri"/>
          <w:sz w:val="22"/>
        </w:rPr>
        <w:t>.</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c) bestaande gebouwen die volledig worden gerenoveerd, of waar de gebruikskenmerken ervan worden gewijzigd, wanneer zij meer dan 1.000 m</w:t>
      </w:r>
      <w:r>
        <w:rPr>
          <w:rFonts w:ascii="Calibri" w:hAnsi="Calibri"/>
          <w:sz w:val="22"/>
          <w:vertAlign w:val="superscript"/>
        </w:rPr>
        <w:t>2</w:t>
      </w:r>
      <w:r>
        <w:rPr>
          <w:rFonts w:ascii="Calibri" w:hAnsi="Calibri"/>
          <w:sz w:val="22"/>
        </w:rPr>
        <w:t xml:space="preserve"> van de bebouwde oppervlakte hebben.</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De bebouwde oppervlakte omvat de oppervlakte van de parkeerplaatsen binnen het gebouw te omvatten en de gemeenschappelijke buitenruimten uit te sluiten.»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In afdeling HE 5 is de eerste alinea van paragraaf 2 ‘Kenmerken van de vereiste’ als volgt geformuleerd:</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 Gebouwen moeten beschikken over elektriciteitsopwekkingssystemen uit hernieuwbare bronnen voor eigen gebruik of voor levering aan het net.’</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In afdeling HE 5, paragraaf 3 ‘Kwantificering van de vereiste’ luidt als volgt:</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Het </w:t>
      </w:r>
      <w:r>
        <w:rPr>
          <w:rFonts w:ascii="Calibri" w:hAnsi="Calibri"/>
          <w:i/>
          <w:sz w:val="22"/>
        </w:rPr>
        <w:t>minimale vermogen voor het installeren</w:t>
      </w:r>
      <w:r>
        <w:rPr>
          <w:rFonts w:ascii="Calibri" w:hAnsi="Calibri"/>
          <w:sz w:val="22"/>
        </w:rPr>
        <w:t xml:space="preserve"> van P</w:t>
      </w:r>
      <w:r>
        <w:rPr>
          <w:rFonts w:ascii="Calibri" w:hAnsi="Calibri"/>
          <w:sz w:val="22"/>
          <w:vertAlign w:val="subscript"/>
        </w:rPr>
        <w:t>min</w:t>
      </w:r>
      <w:r>
        <w:rPr>
          <w:rFonts w:ascii="Calibri" w:hAnsi="Calibri"/>
          <w:sz w:val="22"/>
        </w:rPr>
        <w:t xml:space="preserve"> is het laagste van het resultaat van de volgende twee vergelijkingen: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1</w:t>
      </w:r>
      <w:r>
        <w:rPr>
          <w:rFonts w:ascii="Calibri" w:hAnsi="Calibri"/>
          <w:sz w:val="22"/>
        </w:rPr>
        <w:t xml:space="preserve"> = F</w:t>
      </w:r>
      <w:r>
        <w:rPr>
          <w:rFonts w:ascii="Calibri" w:hAnsi="Calibri"/>
          <w:sz w:val="22"/>
          <w:vertAlign w:val="subscript"/>
        </w:rPr>
        <w:t>pr;el</w:t>
      </w:r>
      <w:r>
        <w:rPr>
          <w:rFonts w:ascii="Calibri" w:hAnsi="Calibri"/>
          <w:sz w:val="22"/>
        </w:rPr>
        <w:t xml:space="preserve"> ·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2</w:t>
      </w:r>
      <w:r>
        <w:rPr>
          <w:rFonts w:ascii="Calibri" w:hAnsi="Calibri"/>
          <w:sz w:val="22"/>
        </w:rPr>
        <w:t xml:space="preserve"> = 0,1 · (0,5 · S</w:t>
      </w:r>
      <w:r>
        <w:rPr>
          <w:rFonts w:ascii="Calibri" w:hAnsi="Calibri"/>
          <w:sz w:val="22"/>
          <w:vertAlign w:val="subscript"/>
        </w:rPr>
        <w:t>c</w:t>
      </w:r>
      <w:r>
        <w:rPr>
          <w:rFonts w:ascii="Calibri" w:hAnsi="Calibri"/>
          <w:sz w:val="22"/>
        </w:rPr>
        <w:t xml:space="preserve"> - S</w:t>
      </w:r>
      <w:r>
        <w:rPr>
          <w:rFonts w:ascii="Calibri" w:hAnsi="Calibri"/>
          <w:sz w:val="22"/>
          <w:vertAlign w:val="subscript"/>
        </w:rPr>
        <w:t>oc</w:t>
      </w:r>
      <w:r>
        <w:rPr>
          <w:rFonts w:ascii="Calibri" w:hAnsi="Calibri"/>
          <w:sz w:val="22"/>
        </w:rPr>
        <w:t xml:space="preserve"> )</w:t>
      </w:r>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waarbij:</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P</w:t>
      </w:r>
      <w:r>
        <w:rPr>
          <w:rFonts w:ascii="Calibri" w:hAnsi="Calibri"/>
          <w:sz w:val="22"/>
          <w:vertAlign w:val="subscript"/>
        </w:rPr>
        <w:t>min</w:t>
      </w:r>
      <w:r>
        <w:rPr>
          <w:rFonts w:ascii="Calibri" w:hAnsi="Calibri"/>
          <w:sz w:val="22"/>
        </w:rPr>
        <w:tab/>
      </w:r>
      <w:r>
        <w:rPr>
          <w:rFonts w:ascii="Calibri" w:hAnsi="Calibri"/>
          <w:i/>
          <w:sz w:val="22"/>
        </w:rPr>
        <w:t>vermogen om te installeren</w:t>
      </w:r>
      <w:r>
        <w:rPr>
          <w:rFonts w:ascii="Calibri" w:hAnsi="Calibri"/>
          <w:sz w:val="22"/>
        </w:rPr>
        <w:t xml:space="preserve"> [kW];</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F</w:t>
      </w:r>
      <w:r>
        <w:rPr>
          <w:rFonts w:ascii="Calibri" w:hAnsi="Calibri"/>
          <w:sz w:val="22"/>
          <w:vertAlign w:val="subscript"/>
        </w:rPr>
        <w:t>pr;e</w:t>
      </w:r>
      <w:r>
        <w:rPr>
          <w:rFonts w:ascii="Calibri" w:hAnsi="Calibri"/>
          <w:sz w:val="22"/>
        </w:rPr>
        <w:t>l</w:t>
      </w:r>
      <w:r>
        <w:rPr>
          <w:rFonts w:ascii="Calibri" w:hAnsi="Calibri"/>
          <w:sz w:val="22"/>
        </w:rPr>
        <w:tab/>
        <w:t>vermogensopwekkingsfactor, die de waarde 0,005 heeft voor particulier residentieel gebruik en 0,010 voor ander gebruik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S</w:t>
      </w:r>
      <w:r>
        <w:rPr>
          <w:rFonts w:ascii="Calibri" w:hAnsi="Calibri"/>
          <w:sz w:val="22"/>
        </w:rPr>
        <w:tab/>
        <w:t>oppervlakte van de bebouwing van het gebouw [m</w:t>
      </w:r>
      <w:r>
        <w:rPr>
          <w:rFonts w:ascii="Calibri" w:hAnsi="Calibri"/>
          <w:sz w:val="22"/>
          <w:vertAlign w:val="superscript"/>
        </w:rPr>
        <w:t>2</w:t>
      </w:r>
      <w:r>
        <w:rPr>
          <w:rFonts w:ascii="Calibri" w:hAnsi="Calibri"/>
          <w:sz w:val="22"/>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r>
        <w:rPr>
          <w:rFonts w:ascii="Calibri" w:hAnsi="Calibri"/>
          <w:sz w:val="22"/>
        </w:rPr>
        <w:t>S</w:t>
      </w:r>
      <w:r>
        <w:rPr>
          <w:rFonts w:ascii="Calibri" w:hAnsi="Calibri"/>
          <w:sz w:val="22"/>
          <w:vertAlign w:val="subscript"/>
        </w:rPr>
        <w:t>c</w:t>
      </w:r>
      <w:r>
        <w:rPr>
          <w:rFonts w:ascii="Calibri" w:hAnsi="Calibri"/>
          <w:sz w:val="22"/>
        </w:rPr>
        <w:tab/>
        <w:t>oppervlakte van niet-verkeersbaar dak of alleen toegankelijk voor onderhoud [m</w:t>
      </w:r>
      <w:r>
        <w:rPr>
          <w:rFonts w:ascii="Calibri" w:hAnsi="Calibri"/>
          <w:sz w:val="22"/>
          <w:vertAlign w:val="superscript"/>
        </w:rPr>
        <w:t>2</w:t>
      </w:r>
      <w:r>
        <w:rPr>
          <w:rFonts w:ascii="Calibri" w:hAnsi="Calibri"/>
          <w:sz w:val="22"/>
        </w:rPr>
        <w:t>];</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S</w:t>
      </w:r>
      <w:r>
        <w:rPr>
          <w:rFonts w:ascii="Calibri" w:hAnsi="Calibri"/>
          <w:sz w:val="22"/>
          <w:vertAlign w:val="subscript"/>
        </w:rPr>
        <w:t>oc</w:t>
      </w:r>
      <w:r>
        <w:rPr>
          <w:rFonts w:ascii="Calibri" w:hAnsi="Calibri"/>
          <w:sz w:val="22"/>
        </w:rPr>
        <w:tab/>
        <w:t>oppervlakte van niet-verkeersbaar dak of toegankelijk voor onderhoud alleen gebruikt door thermische zonnecollectoren [m</w:t>
      </w:r>
      <w:r>
        <w:rPr>
          <w:rFonts w:ascii="Calibri" w:hAnsi="Calibri"/>
          <w:sz w:val="22"/>
          <w:vertAlign w:val="superscript"/>
        </w:rPr>
        <w:t>2</w:t>
      </w:r>
      <w:r>
        <w:rPr>
          <w:rFonts w:ascii="Calibri" w:hAnsi="Calibri"/>
          <w:sz w:val="22"/>
        </w:rPr>
        <w: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2</w:t>
      </w:r>
      <w:r>
        <w:rPr>
          <w:rFonts w:ascii="Calibri" w:hAnsi="Calibri"/>
          <w:sz w:val="22"/>
        </w:rPr>
        <w:tab/>
        <w:t xml:space="preserve">In gebouwen waar, om stedelijke of architectonische redenen of omdat het officieel beschermde gebouwen zijn, waar het de autoriteit die de officiële bescherming verleent die de onveranderlijke elementen bepaalt, het minimale </w:t>
      </w:r>
      <w:r>
        <w:rPr>
          <w:rFonts w:ascii="Calibri" w:hAnsi="Calibri"/>
          <w:i/>
          <w:sz w:val="22"/>
        </w:rPr>
        <w:t>installatievermogen</w:t>
      </w:r>
      <w:r>
        <w:rPr>
          <w:rFonts w:ascii="Calibri" w:hAnsi="Calibri"/>
          <w:sz w:val="22"/>
        </w:rPr>
        <w:t xml:space="preserve"> niet kan worden bereikt, deze onmogelijkheid moet worden gerechtvaardigd door een analyse van de verschillende alternatieven, en de oplossing die het maximaal mogelijke geïnstalleerde vermogen bereikt, zal worden gekozen.»</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In afdeling HE 5 wordt in paragraaf 4 ‘Rechtvaardiging van de vereiste’ het volgende toegevoegd:</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 xml:space="preserve">c) in voorkomend geval, redenen die verhinderen dat het minimaal vereiste </w:t>
      </w:r>
      <w:r>
        <w:rPr>
          <w:rFonts w:ascii="Calibri" w:hAnsi="Calibri"/>
          <w:i/>
          <w:sz w:val="22"/>
        </w:rPr>
        <w:t>vermogen om te installeren</w:t>
      </w:r>
      <w:r>
        <w:rPr>
          <w:rFonts w:ascii="Calibri" w:hAnsi="Calibri"/>
          <w:sz w:val="22"/>
        </w:rPr>
        <w:t xml:space="preserve"> wordt bereikt, analyse van alternatieven en de gekozen oplossing om het maximaal mogelijke geïnstalleerde vermogen te bereiken.’</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ll) In Basisdocument DB-HE ‘Energiebesparing’ wordt Afdeling HE 6 toegevoegd met de titel ‘Minimale </w:t>
      </w:r>
      <w:r>
        <w:rPr>
          <w:rFonts w:ascii="Calibri" w:hAnsi="Calibri"/>
          <w:i/>
          <w:sz w:val="22"/>
        </w:rPr>
        <w:t>oplaadinfrastructuurvoorzieningen voor elektrische voertuigen</w:t>
      </w:r>
      <w:r>
        <w:rPr>
          <w:rFonts w:ascii="Calibri" w:hAnsi="Calibri"/>
          <w:sz w:val="22"/>
        </w:rPr>
        <w:t xml:space="preserve">’ en de volgende inhoud: </w:t>
      </w:r>
    </w:p>
    <w:p w14:paraId="1807669A" w14:textId="77FE9144" w:rsidR="000760AB" w:rsidRPr="000760AB" w:rsidRDefault="000760AB" w:rsidP="000760AB">
      <w:pPr>
        <w:keepNext/>
        <w:ind w:left="284"/>
        <w:outlineLvl w:val="0"/>
        <w:rPr>
          <w:rFonts w:ascii="Calibri" w:eastAsia="Arial" w:hAnsi="Calibri" w:cs="Calibri"/>
          <w:kern w:val="2"/>
          <w:sz w:val="22"/>
          <w:szCs w:val="22"/>
        </w:rPr>
      </w:pPr>
      <w:bookmarkStart w:id="5" w:name="_Toc530396161"/>
      <w:bookmarkStart w:id="6" w:name="_Toc530395282"/>
      <w:r>
        <w:rPr>
          <w:rFonts w:ascii="Calibri" w:hAnsi="Calibri"/>
          <w:sz w:val="22"/>
        </w:rPr>
        <w:lastRenderedPageBreak/>
        <w:t>‘Afdeling HE 6</w:t>
      </w:r>
      <w:r>
        <w:rPr>
          <w:rFonts w:ascii="Calibri" w:hAnsi="Calibri"/>
          <w:sz w:val="22"/>
        </w:rPr>
        <w:br/>
        <w:t xml:space="preserve">Minimale </w:t>
      </w:r>
      <w:r>
        <w:rPr>
          <w:rFonts w:ascii="Calibri" w:hAnsi="Calibri"/>
          <w:i/>
          <w:sz w:val="22"/>
        </w:rPr>
        <w:t>oplaadinfrastructuurvoorzieningen voor elektrisch voertuig</w:t>
      </w:r>
      <w:r>
        <w:rPr>
          <w:rFonts w:ascii="Calibri" w:hAnsi="Calibri"/>
          <w:sz w:val="22"/>
        </w:rPr>
        <w:br/>
      </w:r>
      <w:bookmarkEnd w:id="5"/>
      <w:bookmarkEnd w:id="6"/>
      <w:r>
        <w:rPr>
          <w:i/>
        </w:rPr>
        <w:t>en</w:t>
      </w:r>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7" w:name="_Toc530396162"/>
      <w:bookmarkStart w:id="8" w:name="_Toc530395283"/>
      <w:r>
        <w:rPr>
          <w:rFonts w:ascii="Calibri" w:hAnsi="Calibri"/>
          <w:sz w:val="22"/>
        </w:rPr>
        <w:t>1 Toepassingsgebied</w:t>
      </w:r>
      <w:bookmarkEnd w:id="7"/>
      <w:bookmarkEnd w:id="8"/>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De vereisten van deze afdeling zijn van toepassing op gebouwen met een parkeerplaats, zowel binnen als buiten het gebouw, in de volgende gevallen:</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nieuw gebouwde gebouwen;</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bestaande gebouwen, in de volgende gevallen:</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veranderingen in het karakteristieke gebruik van het gebouw;</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uitbreidingen, in gevallen waaronder ingrepen in de parkeergarage en de oppervlakte of het gebouwde volume van de eenheid of</w:t>
      </w:r>
      <w:r>
        <w:rPr>
          <w:rFonts w:ascii="Calibri" w:hAnsi="Calibri"/>
          <w:i/>
          <w:sz w:val="22"/>
        </w:rPr>
        <w:t xml:space="preserve"> gebruikseenheden</w:t>
      </w:r>
      <w:r>
        <w:rPr>
          <w:rFonts w:ascii="Calibri" w:hAnsi="Calibri"/>
          <w:sz w:val="22"/>
        </w:rPr>
        <w:t xml:space="preserve"> waarop de ingreep plaatsvindt, wordt met meer dan 10% verhoogd en de toegenomen bruikbare oppervlakte is groter dan 50 m</w:t>
      </w:r>
      <w:r>
        <w:rPr>
          <w:rFonts w:ascii="Calibri" w:hAnsi="Calibri"/>
          <w:sz w:val="22"/>
          <w:vertAlign w:val="superscript"/>
        </w:rPr>
        <w:t>2</w:t>
      </w:r>
      <w:r>
        <w:rPr>
          <w:rFonts w:ascii="Calibri" w:hAnsi="Calibri"/>
          <w:sz w:val="22"/>
        </w:rPr>
        <w:t>;</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hervormingen die ingrepen in de parkeergarage omvatten en die meer dan 25% van de totale oppervlakte van de uiteindelijke </w:t>
      </w:r>
      <w:r>
        <w:rPr>
          <w:rFonts w:ascii="Calibri" w:hAnsi="Calibri"/>
          <w:i/>
          <w:sz w:val="22"/>
        </w:rPr>
        <w:t>thermische omhulling</w:t>
      </w:r>
      <w:r>
        <w:rPr>
          <w:rFonts w:ascii="Calibri" w:hAnsi="Calibri"/>
          <w:sz w:val="22"/>
        </w:rPr>
        <w:t xml:space="preserve"> van het gebouw vernieuwen;</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ingrepen in de elektrische installatie van het gebouw die betrekking hebben op meer dan 50% van het vermogen dat vóór de ingreep in het gebouw was geïnstalleerd, in gevallen waarin de parkeerplaats zich in het gebouw bevindt</w:t>
      </w:r>
      <w:r>
        <w:rPr>
          <w:rFonts w:ascii="Calibri" w:hAnsi="Calibri"/>
          <w:sz w:val="22"/>
          <w:u w:color="FF0000"/>
        </w:rPr>
        <w:t>, mits de ontwikkelaar die een dergelijke ingreep uitvoert, het recht heeft om in de parkeerplaats op te treden</w:t>
      </w:r>
      <w:r>
        <w:rPr>
          <w:rFonts w:ascii="Calibri" w:hAnsi="Calibri"/>
          <w:sz w:val="22"/>
        </w:rPr>
        <w:t>;</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ingrepen in de elektrische installatie van de parkeergarage die meer dan 50% van het vermogen dat vóór de ingreep in de parkeergarage was geïnstalleerd, beïnvloeden.</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Het volgende valt buiten het toepassingsgebied:</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gebouwen voor andere doeleinden dan particulier residentieel met een parkeerterrein van niet meer dan 10 parkeerplaatsen;</w:t>
      </w:r>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 xml:space="preserve">b) bestaande gebouwen voor ander gebruik dan particulier residentieel met een parkeerterrein van niet meer dan 20 parkeerplaatsen en bestaande gebouwen van </w:t>
      </w:r>
      <w:r>
        <w:rPr>
          <w:rFonts w:ascii="Calibri" w:hAnsi="Calibri"/>
          <w:i/>
          <w:sz w:val="22"/>
        </w:rPr>
        <w:t>particulier residentieel gebruik</w:t>
      </w:r>
      <w:r>
        <w:rPr>
          <w:rFonts w:ascii="Calibri" w:hAnsi="Calibri"/>
          <w:sz w:val="22"/>
        </w:rPr>
        <w:t>, waarbij, in beide gevallen, de kosten van naleving van dit lid hoger zijn dan 7% van de kosten van de uitbreidings-, gebruikswijzigings- of renovatie-ingreep die aanleiding geeft tot de verplichting tot naleving. Om de kosten van de bovengenoemde ingrepen te bepalen, worden de werkelijke en effectieve kosten ervan beschouwd als hun fysieke bouwkosten;</w:t>
      </w:r>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c) gebouwen die officieel worden beschermd, omdat zij deel uitmaken van een aangegeven omgeving of vanwege hun bijzondere architectonische of historische waarde, worden van deze verplichtingen uitgesloten voor zover de naleving van de vereisten die in deze afdeling worden vastgesteld, op onredelijke wijze hun karakter of uiterlijk zou kunnen wijzigen, en de officiële beschermingsautoriteit de onveranderbare elementen bepaalt.</w:t>
      </w:r>
      <w:bookmarkStart w:id="9" w:name="_Toc530396163"/>
      <w:bookmarkStart w:id="10"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t>2</w:t>
      </w:r>
      <w:r>
        <w:rPr>
          <w:rFonts w:ascii="Calibri" w:hAnsi="Calibri"/>
          <w:sz w:val="22"/>
        </w:rPr>
        <w:tab/>
        <w:t>Beschrijving van de vereiste</w:t>
      </w:r>
      <w:bookmarkEnd w:id="9"/>
      <w:bookmarkEnd w:id="10"/>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1</w:t>
      </w:r>
      <w:r>
        <w:rPr>
          <w:rFonts w:ascii="Calibri" w:hAnsi="Calibri"/>
          <w:sz w:val="22"/>
        </w:rPr>
        <w:tab/>
        <w:t xml:space="preserve">Gebouwen moeten een minimale infrastructuur hebben die het opladen van </w:t>
      </w:r>
      <w:r>
        <w:rPr>
          <w:rFonts w:ascii="Calibri" w:hAnsi="Calibri"/>
          <w:i/>
          <w:sz w:val="22"/>
        </w:rPr>
        <w:t>elektrische voertuigen</w:t>
      </w:r>
      <w:r>
        <w:rPr>
          <w:rFonts w:ascii="Calibri" w:hAnsi="Calibri"/>
          <w:sz w:val="22"/>
        </w:rPr>
        <w:t xml:space="preserve"> mogelijk maakt.</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 xml:space="preserve">Deze </w:t>
      </w:r>
      <w:r>
        <w:rPr>
          <w:rFonts w:ascii="Calibri" w:hAnsi="Calibri"/>
          <w:i/>
          <w:sz w:val="22"/>
        </w:rPr>
        <w:t>heroplaadinfrastructuur voor elektrische voertuigen</w:t>
      </w:r>
      <w:r>
        <w:rPr>
          <w:rFonts w:ascii="Calibri" w:hAnsi="Calibri"/>
          <w:sz w:val="22"/>
        </w:rPr>
        <w:t xml:space="preserve"> voldoet aan de bepalingen van het huidige Elektrotechnisch Reglement voor Laagspanning en de bijbehorende aanvullende technische instructie (ITC) BT 52 </w:t>
      </w:r>
      <w:r>
        <w:rPr>
          <w:rFonts w:ascii="Calibri" w:hAnsi="Calibri"/>
          <w:sz w:val="22"/>
        </w:rPr>
        <w:lastRenderedPageBreak/>
        <w:t xml:space="preserve">‘Installaties voor speciale doelstellingen. Infrastructuur voor het opladen van </w:t>
      </w:r>
      <w:r>
        <w:rPr>
          <w:rFonts w:ascii="Calibri" w:hAnsi="Calibri"/>
          <w:i/>
          <w:sz w:val="22"/>
        </w:rPr>
        <w:t>elektrische voertuigen</w:t>
      </w:r>
      <w:r>
        <w:rPr>
          <w:rFonts w:ascii="Calibri" w:hAnsi="Calibri"/>
          <w:sz w:val="22"/>
        </w:rPr>
        <w:t>’.</w:t>
      </w:r>
      <w:bookmarkStart w:id="11" w:name="_Toc530396164"/>
      <w:bookmarkStart w:id="12"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Kwantificering van de vereiste</w:t>
      </w:r>
      <w:bookmarkEnd w:id="11"/>
      <w:bookmarkEnd w:id="12"/>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t xml:space="preserve">In gebouwen voor </w:t>
      </w:r>
      <w:r>
        <w:rPr>
          <w:rFonts w:ascii="Calibri" w:hAnsi="Calibri"/>
          <w:i/>
          <w:sz w:val="22"/>
        </w:rPr>
        <w:t>particulier residentieel gebruik</w:t>
      </w:r>
      <w:r>
        <w:rPr>
          <w:rFonts w:ascii="Calibri" w:hAnsi="Calibri"/>
          <w:sz w:val="22"/>
        </w:rPr>
        <w:t xml:space="preserve"> worden bedradingssystemen geïnstalleerd om toekomstige levering aan </w:t>
      </w:r>
      <w:r>
        <w:rPr>
          <w:rFonts w:ascii="Calibri" w:hAnsi="Calibri"/>
          <w:i/>
          <w:sz w:val="22"/>
        </w:rPr>
        <w:t>oplaadstations</w:t>
      </w:r>
      <w:r>
        <w:rPr>
          <w:rFonts w:ascii="Calibri" w:hAnsi="Calibri"/>
          <w:sz w:val="22"/>
        </w:rPr>
        <w:t xml:space="preserve"> voor 100% van de parkeerplaatsen mogelijk te maken.</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In gebouwen voor ander gebruik van particulier residentieel, worden bedradingssystemen geïnstalleerd om toekomstige levering aan </w:t>
      </w:r>
      <w:r>
        <w:rPr>
          <w:rFonts w:ascii="Calibri" w:hAnsi="Calibri"/>
          <w:i/>
          <w:sz w:val="22"/>
        </w:rPr>
        <w:t>oplaadstations</w:t>
      </w:r>
      <w:r>
        <w:rPr>
          <w:rFonts w:ascii="Calibri" w:hAnsi="Calibri"/>
          <w:sz w:val="22"/>
        </w:rPr>
        <w:t xml:space="preserve"> voor ten minste 20% van de parkeerplaatsen mogelijk te maken.</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Daarnaast wordt een </w:t>
      </w:r>
      <w:r>
        <w:rPr>
          <w:rFonts w:ascii="Calibri" w:hAnsi="Calibri"/>
          <w:i/>
          <w:sz w:val="22"/>
        </w:rPr>
        <w:t>oplaadstation</w:t>
      </w:r>
      <w:r>
        <w:rPr>
          <w:rFonts w:ascii="Calibri" w:hAnsi="Calibri"/>
          <w:sz w:val="22"/>
        </w:rPr>
        <w:t xml:space="preserve"> geïnstalleerd voor elke 40 parkeerplaatsen, of een fractie daarvan.</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In gebouwen voor ander gebruik dan particulier residentieel gebruik die eigendom zijn van de Algemene Staatsadministratie of van daarmee verbonden of afhankelijke overheidsinstanties, is de bepaling groter dan die welke algemeen is vastgesteld, met de installatie van</w:t>
      </w:r>
      <w:r>
        <w:rPr>
          <w:rFonts w:ascii="Calibri" w:hAnsi="Calibri"/>
          <w:color w:val="1F497D"/>
          <w:sz w:val="22"/>
        </w:rPr>
        <w:t xml:space="preserve"> </w:t>
      </w:r>
      <w:r>
        <w:rPr>
          <w:rFonts w:ascii="Calibri" w:hAnsi="Calibri"/>
          <w:sz w:val="22"/>
        </w:rPr>
        <w:t xml:space="preserve">één </w:t>
      </w:r>
      <w:r>
        <w:rPr>
          <w:rFonts w:ascii="Calibri" w:hAnsi="Calibri"/>
          <w:i/>
          <w:sz w:val="22"/>
        </w:rPr>
        <w:t>oplaadstation</w:t>
      </w:r>
      <w:r>
        <w:rPr>
          <w:rFonts w:ascii="Calibri" w:hAnsi="Calibri"/>
          <w:sz w:val="22"/>
        </w:rPr>
        <w:t xml:space="preserve"> voor elke 20 parkeerplaatsen, of een fractie daarvan.</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In het geval van parkeergarages met toegankelijke parkeerplaatsen, zoals uiteengezet in het basisdocument over Veiligheid in gebruik en toegankelijkheid (DB SUA), wordt voor elke 5 toegankelijke parkeerplaatsen één </w:t>
      </w:r>
      <w:r>
        <w:rPr>
          <w:rFonts w:ascii="Calibri" w:hAnsi="Calibri"/>
          <w:i/>
          <w:sz w:val="22"/>
        </w:rPr>
        <w:t>oplaadstation</w:t>
      </w:r>
      <w:r>
        <w:rPr>
          <w:rFonts w:ascii="Calibri" w:hAnsi="Calibri"/>
          <w:sz w:val="22"/>
        </w:rPr>
        <w:t xml:space="preserve"> geïnstalleerd. De </w:t>
      </w:r>
      <w:r>
        <w:rPr>
          <w:rFonts w:ascii="Calibri" w:hAnsi="Calibri"/>
          <w:i/>
          <w:sz w:val="22"/>
        </w:rPr>
        <w:t>oplaadstations</w:t>
      </w:r>
      <w:r>
        <w:rPr>
          <w:rFonts w:ascii="Calibri" w:hAnsi="Calibri"/>
          <w:sz w:val="22"/>
        </w:rPr>
        <w:t xml:space="preserve"> op deze locaties worden meegeteld om te voldoen aan de kwantificering van de vereiste.</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3</w:t>
      </w:r>
      <w:r>
        <w:rPr>
          <w:rFonts w:ascii="Calibri" w:hAnsi="Calibri"/>
          <w:sz w:val="22"/>
        </w:rPr>
        <w:tab/>
        <w:t xml:space="preserve">Voor gebouwen met eenheden voor </w:t>
      </w:r>
      <w:r>
        <w:rPr>
          <w:rFonts w:ascii="Calibri" w:hAnsi="Calibri"/>
          <w:i/>
          <w:sz w:val="22"/>
        </w:rPr>
        <w:t xml:space="preserve">particulier residentieel gebruik </w:t>
      </w:r>
      <w:r>
        <w:rPr>
          <w:rFonts w:ascii="Calibri" w:hAnsi="Calibri"/>
          <w:sz w:val="22"/>
        </w:rPr>
        <w:t>samen met eenheden voor ander gebruik, waarbij de aan elk gebruik gekoppelde parkeerplaatsen niet duidelijk zijn gedifferentieerd, is het criterium voor het karakteristieke gebruik van het gebouw van toepassing.</w:t>
      </w:r>
      <w:bookmarkStart w:id="13" w:name="_Toc530396167"/>
      <w:bookmarkStart w:id="14"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Rechtvaardiging van de vereiste</w:t>
      </w:r>
      <w:bookmarkEnd w:id="13"/>
      <w:bookmarkEnd w:id="14"/>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Om aan te tonen dat een gebouw aan de vereisten van dit basisdocument voldoet, moeten de ontwerpdocumenten de volgende informatie over het gebouw of het desbetreffende deel ervan bevatten:</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bedradingsschema dat wordt gebruikt voor dimensionering, zoals beschreven in het Elektrotechnisch Reglement voor Laagspanning;</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beschrijving van de hoofdluchtkanalen en de voorbereide leidingen, met vermelding van het percentage parkeerplaatsen met bedradingssystemen en het vereiste minimumpercentage;</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c) aantal geïnstalleerde </w:t>
      </w:r>
      <w:r>
        <w:rPr>
          <w:rFonts w:ascii="Calibri" w:hAnsi="Calibri"/>
          <w:i/>
          <w:sz w:val="22"/>
        </w:rPr>
        <w:t>oplaadstations</w:t>
      </w:r>
      <w:r>
        <w:rPr>
          <w:rFonts w:ascii="Calibri" w:hAnsi="Calibri"/>
          <w:sz w:val="22"/>
        </w:rPr>
        <w:t xml:space="preserve"> en minimumaantal dat voortvloeit uit de kwantificering van de vereiste;</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d) types </w:t>
      </w:r>
      <w:r>
        <w:rPr>
          <w:rFonts w:ascii="Calibri" w:hAnsi="Calibri"/>
          <w:i/>
          <w:sz w:val="22"/>
        </w:rPr>
        <w:t>oplaadstations</w:t>
      </w:r>
      <w:r>
        <w:rPr>
          <w:rFonts w:ascii="Calibri" w:hAnsi="Calibri"/>
          <w:sz w:val="22"/>
        </w:rPr>
        <w:t xml:space="preserve"> en hun vermogensclassificaties.</w:t>
      </w:r>
      <w:bookmarkStart w:id="15" w:name="_Toc530396168"/>
      <w:bookmarkStart w:id="16"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5</w:t>
      </w:r>
      <w:r>
        <w:rPr>
          <w:rFonts w:ascii="Calibri" w:hAnsi="Calibri"/>
          <w:sz w:val="22"/>
        </w:rPr>
        <w:tab/>
        <w:t>Bouw, onderhoud en instandhouding</w:t>
      </w:r>
      <w:bookmarkEnd w:id="15"/>
      <w:bookmarkEnd w:id="16"/>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7" w:name="_Toc530396169"/>
      <w:bookmarkStart w:id="18" w:name="_Toc530395290"/>
      <w:r>
        <w:rPr>
          <w:rFonts w:ascii="Calibri" w:hAnsi="Calibri"/>
          <w:sz w:val="22"/>
        </w:rPr>
        <w:t>5.1 Uitvoering</w:t>
      </w:r>
      <w:bookmarkEnd w:id="17"/>
      <w:bookmarkEnd w:id="18"/>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De bouwwerkzaamheden van het gebouw worden uitgevoerd in overeenstemming met het project en de wijzigingen die zijn goedgekeurd door de bouwbeheerder, onder voorbehoud van de instemming van de ontwikkelaar, de toepasselijke wetgeving, de specificaties van het Elektrotechnisch Reglement voor Laagspanning en in de aanvullende technische instructie ITC BT-52 ‘Installaties voor speciale doelstellingen. Infrastructuur voor het opladen van </w:t>
      </w:r>
      <w:r>
        <w:rPr>
          <w:rFonts w:ascii="Calibri" w:hAnsi="Calibri"/>
          <w:i/>
          <w:sz w:val="22"/>
        </w:rPr>
        <w:t>elektrische voertuigen</w:t>
      </w:r>
      <w:r>
        <w:rPr>
          <w:rFonts w:ascii="Calibri" w:hAnsi="Calibri"/>
          <w:sz w:val="22"/>
        </w:rPr>
        <w:t>’, volgens de normen inzake goede bouwpraktijken en de instructies van de bouwbeheerder en de projectuitvoeringsmanager, als bedoeld in artikel 7 van deel I van de CTE.</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9" w:name="_Toc530396170"/>
      <w:bookmarkStart w:id="20" w:name="_Toc530395291"/>
      <w:r>
        <w:rPr>
          <w:rFonts w:ascii="Calibri" w:hAnsi="Calibri"/>
          <w:sz w:val="22"/>
        </w:rPr>
        <w:lastRenderedPageBreak/>
        <w:t>5.2 Toezicht op de uitvoering van de werkzaamheden</w:t>
      </w:r>
      <w:bookmarkEnd w:id="19"/>
      <w:bookmarkEnd w:id="20"/>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De uitvoering van het </w:t>
      </w:r>
      <w:r>
        <w:rPr>
          <w:rFonts w:ascii="Calibri" w:hAnsi="Calibri"/>
          <w:color w:val="FF0000"/>
          <w:sz w:val="22"/>
        </w:rPr>
        <w:t xml:space="preserve"> </w:t>
      </w:r>
      <w:r>
        <w:rPr>
          <w:rFonts w:ascii="Calibri" w:hAnsi="Calibri"/>
          <w:sz w:val="22"/>
        </w:rPr>
        <w:t>werk wordt gemonitord in overeenstemming met de projectspecificaties, de bijlagen en wijzigingen die zijn goedgekeurd door de bouwbeheerder en de instructies van de projectuitvoeringsmanager, volgens de specificaties van het Elektrotechnisch Reglement voor Laagspanning, overeenkomstig artikel 7, lid 3, van deel I van de CTE en andere toepasselijke voorschriften.</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De uitvoering van de werkzaamheden wordt gecontroleerd om na te gaan of de inspecties op de vereiste frequentie worden uitgevoerd, overeenkomstig de projectspecificaties.</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Wijzigingen die tijdens de uitvoering van de werken worden aangebracht, moeten in de documentatie van de voltooide werken worden opgenomen en in alle gevallen moet aan de in dit basisdocument vastgestelde minimumvoorwaarden zijn voldaan.</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Documentatie met betrekking tot de kenmerken van de in het gebouw opgenomen producten, uitrusting en systemen, wordt opgenomen in het boek van het gebouw.</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1" w:name="_Toc530396171"/>
      <w:bookmarkStart w:id="22" w:name="_Toc530395292"/>
      <w:r>
        <w:rPr>
          <w:rFonts w:ascii="Calibri" w:hAnsi="Calibri"/>
          <w:sz w:val="22"/>
        </w:rPr>
        <w:t>5.3 Controle van de voltooide werkzaamheden</w:t>
      </w:r>
      <w:bookmarkEnd w:id="21"/>
      <w:bookmarkEnd w:id="22"/>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De inspectie van voltooide werken moet voldoen aan de criteria van artikel 7, lid 4, van deel I van de CTE.</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Dit gedeelte van het basisdocument schrijft geen laatste tests voor.</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3" w:name="_Toc530396172"/>
      <w:bookmarkStart w:id="24" w:name="_Toc530395293"/>
      <w:r>
        <w:rPr>
          <w:rFonts w:ascii="Calibri" w:hAnsi="Calibri"/>
          <w:sz w:val="22"/>
        </w:rPr>
        <w:t>5.4 Onderhoud en instandhouding van het gebouw</w:t>
      </w:r>
      <w:bookmarkEnd w:id="23"/>
      <w:bookmarkEnd w:id="24"/>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Het in het Bouwboek opgenomen onderhoudsplan omvat de werkzaamheden en frequentie die nodig zijn voor het onderhoud, in de loop van de tijd, van de ontwerp- en prestatieparameters van de </w:t>
      </w:r>
      <w:r>
        <w:rPr>
          <w:rFonts w:ascii="Calibri" w:hAnsi="Calibri"/>
          <w:i/>
          <w:sz w:val="22"/>
        </w:rPr>
        <w:t>infrastructuur voor het opladen van elektrische voertuigen</w:t>
      </w:r>
      <w:r>
        <w:rPr>
          <w:rFonts w:ascii="Calibri" w:hAnsi="Calibri"/>
          <w:sz w:val="22"/>
        </w:rPr>
        <w:t>.</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Evenzo documenteert het Bouwboek alle ingrepen, of het nu gaat om reparatie, renovatie of rehabilitatie, die gedurende de volledige levensduur van het gebouw worden uitgevoerd.’</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mm) In bijlage A worden de termen ‘Initiële verlichting’ en ‘Reflectiefactor’ geschrapt.</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nn) In bijlage A, in de definitie van ‘</w:t>
      </w:r>
      <w:r>
        <w:rPr>
          <w:rFonts w:ascii="Calibri" w:hAnsi="Calibri"/>
          <w:i/>
          <w:sz w:val="22"/>
        </w:rPr>
        <w:t>Totale coëfficiënt van warmteoverdracht (via de thermische omhulling van het gebouw</w:t>
      </w:r>
      <w:r>
        <w:rPr>
          <w:rFonts w:ascii="Calibri" w:hAnsi="Calibri"/>
          <w:sz w:val="22"/>
        </w:rPr>
        <w:t>) (K)’, waarin het luidt: “... K = X Hx/Aint...’ moet als volgt luiden, met "x", "x" and "int" als subscript: “... K = Σ</w:t>
      </w:r>
      <w:r>
        <w:rPr>
          <w:rFonts w:ascii="Calibri" w:hAnsi="Calibri"/>
          <w:sz w:val="22"/>
          <w:vertAlign w:val="subscript"/>
        </w:rPr>
        <w:t>x</w:t>
      </w:r>
      <w:r>
        <w:rPr>
          <w:rFonts w:ascii="Calibri" w:hAnsi="Calibri"/>
          <w:sz w:val="22"/>
        </w:rPr>
        <w:t xml:space="preserve"> H</w:t>
      </w:r>
      <w:r>
        <w:rPr>
          <w:rFonts w:ascii="Calibri" w:hAnsi="Calibri"/>
          <w:sz w:val="22"/>
          <w:vertAlign w:val="subscript"/>
        </w:rPr>
        <w:t>x</w:t>
      </w:r>
      <w:r>
        <w:rPr>
          <w:rFonts w:ascii="Calibri" w:hAnsi="Calibri"/>
          <w:sz w:val="22"/>
        </w:rPr>
        <w:t xml:space="preserve"> / A</w:t>
      </w:r>
      <w:r>
        <w:rPr>
          <w:rFonts w:ascii="Calibri" w:hAnsi="Calibri"/>
          <w:sz w:val="22"/>
          <w:vertAlign w:val="subscript"/>
        </w:rPr>
        <w:t>int</w:t>
      </w:r>
      <w:r>
        <w:rPr>
          <w:rFonts w:ascii="Calibri" w:hAnsi="Calibri"/>
          <w:sz w:val="22"/>
        </w:rPr>
        <w:t>...’, moeten de termen ‘pariëtodynamische muren’ en ‘Trombe-muren’ cursief zijn.</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ññ) In Bijlage A, in de definitie van ‘Compactheid’, moet het woord ‘compactheid’ in de tweede alinea cursief zijn.</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oo) In bijlage A moet in de definitie van ‘bedrijfsomstandigheden’ de term ‘particulier residentieel gebruik’ cursief zijn.</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pp) In bijlage A, in de definitie van ‘Niet-hernieuwbaar primair energieverbruik’, waarin het luidt: “... Verbruik van niet-hernieuwbare primaire energie...’ moet als volgt luiden, met "ep,nren" in subscript: “... Niet-hernieuwbaar primair energieverbruik (C</w:t>
      </w:r>
      <w:r>
        <w:rPr>
          <w:rFonts w:ascii="Calibri" w:hAnsi="Calibri"/>
          <w:sz w:val="22"/>
          <w:vertAlign w:val="subscript"/>
        </w:rPr>
        <w:t>ep,tot</w:t>
      </w:r>
      <w:r>
        <w:rPr>
          <w:rFonts w:ascii="Calibri" w:hAnsi="Calibri"/>
          <w:sz w:val="22"/>
        </w:rPr>
        <w:t>)...».</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qq) In bijlage A, in de definitie van ‘Totaal primair energieverbruik’, waarin het luidt: “... Totaal primair energieverbruik...’ moet als volgt luiden, met "ep,tot" in subscript: “... Totaal primair energieverbruik (C</w:t>
      </w:r>
      <w:r>
        <w:rPr>
          <w:rFonts w:ascii="Calibri" w:hAnsi="Calibri"/>
          <w:sz w:val="22"/>
          <w:vertAlign w:val="subscript"/>
        </w:rPr>
        <w:t>ep,tot</w:t>
      </w:r>
      <w:r>
        <w:rPr>
          <w:rFonts w:ascii="Calibri" w:hAnsi="Calibri"/>
          <w:sz w:val="22"/>
        </w:rPr>
        <w:t>)...».</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rr) In bijlage A, in de definitie van ‘zonnebeheersing (q</w:t>
      </w:r>
      <w:r>
        <w:rPr>
          <w:rFonts w:ascii="Calibri" w:hAnsi="Calibri"/>
          <w:sz w:val="22"/>
          <w:vertAlign w:val="subscript"/>
        </w:rPr>
        <w:t>sol;jul</w:t>
      </w:r>
      <w:r>
        <w:rPr>
          <w:rFonts w:ascii="Calibri" w:hAnsi="Calibri"/>
          <w:sz w:val="22"/>
        </w:rPr>
        <w:t>)’, waarin het luidt: ‘... het bruikbare oppervlak van de ruimten...’ moet als volgt luiden: ‘... de bruikbare oppervlakte van de woonruimtes...’. De punt en nieuwe alinea aan het einde van de definitie van de component van de formule ‘Hsol;jul’ wordt vervangen door een puntkomma, en de definitie van een andere component van de formule wordt als volgt toegevoegd:</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lastRenderedPageBreak/>
        <w:t>‘A</w:t>
      </w:r>
      <w:r>
        <w:rPr>
          <w:rFonts w:ascii="Calibri" w:hAnsi="Calibri"/>
          <w:sz w:val="22"/>
          <w:vertAlign w:val="subscript"/>
        </w:rPr>
        <w:t>util</w:t>
      </w:r>
      <w:r>
        <w:rPr>
          <w:rFonts w:ascii="Calibri" w:hAnsi="Calibri"/>
          <w:sz w:val="22"/>
        </w:rPr>
        <w:t>-gebied wordt beschouwd als in overeenstemming met sectie 4.6 van HE 0.’</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ss) In bijlage A wordt in de definitie van de term ‘Finale energie’ de zinsnede ‘Het is dat wat door consumenten in de vorm van rechtstreeks gebruikte elektriciteit of brandstoffen wordt aangekocht’ vervangen door ‘het is dat wat wordt geleverd aan bouwsystemen voor het verlenen van diensten; dit wordt normaal gesproken geleverd via brandstoffen, opwekking ter plaatse of specifieke netwerken (elektriciteit, gas, stadsverwarming of -koeling, enz.)’.</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tt) In bijlage A moet in de definitie van ‘geconditioneerde woonruimte’ de term ‘particulier residentieel gebruik’ cursief zijn.</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uu) In bijlage A moet in de definitie van ‘Gebruiksduur’ in het tweede lid de term ‘particulier residentieel gebruik’ cursief zijn.</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vv) In bijlage A wordt aan de definitie van de term ‘Thermische transmissie (U-waarde)’ aan het einde van de definitie de volgende zin toegevoegd:</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'Uitgedrukt in W/m</w:t>
      </w:r>
      <w:r>
        <w:rPr>
          <w:rFonts w:ascii="Calibri" w:hAnsi="Calibri"/>
          <w:sz w:val="22"/>
          <w:vertAlign w:val="superscript"/>
        </w:rPr>
        <w:t>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ww) In bijlage A moet in de definitie van ‘energie-efficiëntiewaarde van de installatie (VEEI)’ de term ‘privé residentieel gebruik’ cursief zijn.</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t>xx) De volgende termen worden opgenomen in bijlage A ‘Terminologie’:</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sz w:val="22"/>
        </w:rPr>
        <w:t>‘</w:t>
      </w:r>
      <w:r>
        <w:rPr>
          <w:rFonts w:ascii="Calibri" w:hAnsi="Calibri"/>
          <w:b/>
          <w:i/>
          <w:sz w:val="22"/>
        </w:rPr>
        <w:t>Hulpapparatuur</w:t>
      </w:r>
      <w:r>
        <w:rPr>
          <w:rFonts w:ascii="Calibri" w:hAnsi="Calibri"/>
          <w:b/>
          <w:sz w:val="22"/>
        </w:rPr>
        <w:t xml:space="preserve">: </w:t>
      </w:r>
      <w:r>
        <w:rPr>
          <w:rFonts w:ascii="Calibri" w:hAnsi="Calibri"/>
          <w:sz w:val="22"/>
        </w:rPr>
        <w:t>elektrische of elektronische apparatuur die bij het licht hoort, verschillend voor elk type licht, waarvan de functie is de ontsteking en de controle van de bedrijfsomstandigheden. Deze hulpapparatuur, tenzij deze elektronisch is, wordt gevormd door een combinatie van starter, ballast en condensor.</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w:t>
      </w:r>
      <w:r>
        <w:rPr>
          <w:rFonts w:ascii="Calibri" w:hAnsi="Calibri"/>
          <w:b/>
          <w:i/>
          <w:sz w:val="22"/>
        </w:rPr>
        <w:t>Oplaadstation</w:t>
      </w:r>
      <w:r>
        <w:rPr>
          <w:rFonts w:ascii="Calibri" w:hAnsi="Calibri"/>
          <w:b/>
          <w:sz w:val="22"/>
        </w:rPr>
        <w:t xml:space="preserve">: </w:t>
      </w:r>
      <w:r>
        <w:rPr>
          <w:rFonts w:ascii="Calibri" w:hAnsi="Calibri"/>
          <w:sz w:val="22"/>
        </w:rPr>
        <w:t xml:space="preserve">set elementen die nodig zijn om het elektrisch voertuig aan te sluiten op de vaste elektrische installatie die nodig is voor het opladen. </w:t>
      </w:r>
      <w:r>
        <w:rPr>
          <w:rFonts w:ascii="Calibri" w:hAnsi="Calibri"/>
          <w:i/>
          <w:sz w:val="22"/>
        </w:rPr>
        <w:t>Oplaadstations</w:t>
      </w:r>
      <w:r>
        <w:rPr>
          <w:rFonts w:ascii="Calibri" w:hAnsi="Calibri"/>
          <w:sz w:val="22"/>
        </w:rPr>
        <w:t xml:space="preserve"> worden geclassificeerd als:</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1.</w:t>
      </w:r>
      <w:r>
        <w:rPr>
          <w:rFonts w:ascii="Calibri" w:hAnsi="Calibri"/>
          <w:sz w:val="22"/>
        </w:rPr>
        <w:tab/>
        <w:t xml:space="preserve">Eén oplaadpunt, bestaande uit de nodige beveiligingen, één of meer stopcontacten die niet specifiek zijn voor het </w:t>
      </w:r>
      <w:r>
        <w:rPr>
          <w:rFonts w:ascii="Calibri" w:hAnsi="Calibri"/>
          <w:i/>
          <w:sz w:val="22"/>
        </w:rPr>
        <w:t>elektrisch voertuig</w:t>
      </w:r>
      <w:r>
        <w:rPr>
          <w:rFonts w:ascii="Calibri" w:hAnsi="Calibri"/>
          <w:sz w:val="22"/>
        </w:rPr>
        <w:t xml:space="preserve"> en, indien van toepassing, de envelop.</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rPr>
      </w:pPr>
      <w:r>
        <w:rPr>
          <w:rFonts w:ascii="Calibri" w:hAnsi="Calibri"/>
          <w:sz w:val="22"/>
        </w:rPr>
        <w:t>2.</w:t>
      </w:r>
      <w:r>
        <w:rPr>
          <w:rFonts w:ascii="Calibri" w:hAnsi="Calibri"/>
          <w:sz w:val="22"/>
        </w:rPr>
        <w:tab/>
        <w:t>OPSLAAN</w:t>
      </w:r>
      <w:r>
        <w:rPr>
          <w:rFonts w:ascii="Calibri" w:hAnsi="Calibri"/>
          <w:i/>
          <w:sz w:val="22"/>
        </w:rPr>
        <w:t xml:space="preserve"> (Specifiek elektrisch voertuigvoedingssysteem)</w:t>
      </w:r>
      <w:r>
        <w:rPr>
          <w:rFonts w:ascii="Calibri" w:hAnsi="Calibri"/>
          <w:sz w:val="22"/>
        </w:rPr>
        <w:t xml:space="preserve"> type oplaadpunt.’</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Oplaadinfrastructuur voor elektrische voertuigen</w:t>
      </w:r>
      <w:r>
        <w:rPr>
          <w:rFonts w:ascii="Calibri" w:hAnsi="Calibri"/>
          <w:b/>
          <w:sz w:val="22"/>
        </w:rPr>
        <w:t xml:space="preserve">: </w:t>
      </w:r>
      <w:r>
        <w:rPr>
          <w:rFonts w:ascii="Calibri" w:hAnsi="Calibri"/>
          <w:sz w:val="22"/>
        </w:rPr>
        <w:t>set fysieke en logische apparaten bestemd voor het opladen van elektrische voertuigen die voldoen aan de veiligheids- en beschikbaarheidsvereisten die voor elk geval zijn bepaald door de Elektrotechnische laagspanningsverordening, en die een volledige en uitgebreide oplaadservice kunnen bieden. Het omvat oplaadstations, het besturingssysteem, elektrische leidingen, elektrische bedienings- en beveiligingspanelen en meetapparatuur, wanneer deze uitsluitend voor het opladen van elektrische voertuigen zijn.’</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Specifiek elektrisch voertuigvoedingssysteem (SAVE)</w:t>
      </w:r>
      <w:r>
        <w:rPr>
          <w:rFonts w:ascii="Calibri" w:hAnsi="Calibri"/>
          <w:b/>
          <w:sz w:val="22"/>
        </w:rPr>
        <w:t>:</w:t>
      </w:r>
      <w:r>
        <w:rPr>
          <w:rFonts w:ascii="Calibri" w:hAnsi="Calibri"/>
          <w:sz w:val="22"/>
        </w:rPr>
        <w:t xml:space="preserve"> set apparatuur die is geassembleerd om elektrische stroom te leveren voor het opladen van een elektrisch voertuig inclusief beveiligingen van het oplaadstation, de aansluitkabel (met fase-, nul-, en beveiligingsgeleiders) de aansluitingsbasis of -connector en, indien van toepassing, een continu-wisselstroomomzetter. Dit systeem moet, in voorkomend geval, communicatie tussen het </w:t>
      </w:r>
      <w:r>
        <w:rPr>
          <w:rFonts w:ascii="Calibri" w:hAnsi="Calibri"/>
          <w:i/>
          <w:sz w:val="22"/>
        </w:rPr>
        <w:t>elektrisch voertuig</w:t>
      </w:r>
      <w:r>
        <w:rPr>
          <w:rFonts w:ascii="Calibri" w:hAnsi="Calibri"/>
          <w:sz w:val="22"/>
        </w:rPr>
        <w:t xml:space="preserve"> en de vaste installatie mogelijk maken.’</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sz w:val="22"/>
        </w:rPr>
        <w:t>«</w:t>
      </w:r>
      <w:r>
        <w:rPr>
          <w:rFonts w:ascii="Calibri" w:hAnsi="Calibri"/>
          <w:b/>
          <w:i/>
          <w:sz w:val="22"/>
        </w:rPr>
        <w:t>Particulier residentieel gebruik</w:t>
      </w:r>
      <w:r>
        <w:rPr>
          <w:rFonts w:ascii="Calibri" w:hAnsi="Calibri"/>
          <w:sz w:val="22"/>
        </w:rPr>
        <w:t>: Gebouw of ruimte bestemd voor permanent bewoning, ongeacht het type gebouw: vrijstaand huis, appartementsgebouw, enz., zowel voor openbare als particuliere ontwikkeling.’</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lastRenderedPageBreak/>
        <w:t>«</w:t>
      </w:r>
      <w:r>
        <w:rPr>
          <w:rFonts w:ascii="Calibri" w:hAnsi="Calibri"/>
          <w:b/>
          <w:i/>
          <w:sz w:val="22"/>
        </w:rPr>
        <w:t>Elektrisch voertuig</w:t>
      </w:r>
      <w:r>
        <w:rPr>
          <w:rFonts w:ascii="Calibri" w:hAnsi="Calibri"/>
          <w:sz w:val="22"/>
        </w:rPr>
        <w:t>: motorvoertuig uitgerust met een voortstuwingsgroep met ten minste één niet-periferisch elektrisch mechanisme dat werkt als energieomzetter en uitgerust met een oplaadbaar elektrisch energieopslagsysteem dat van buitenaf kan worden opgeladen.’</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yy) In bijlage C moeten de term ‘thermische omhulling’ in de titel en de term ‘niet-bewoonbare ruimtes’ in artikel 1, onder a), cursief zijn.</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zz) In bijlage D moeten de termen ‘Operationele voorwaarden’, ’gebruiksprofielen’ en ‘particulier residentieel gebruik’ cursief zijn in de titel, lid 2, en de tabellen, tabel a-bijlage D, tabel b-bijlage D en tabel c-bijlage D.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aaa) In bijlage D moet paragraaf ‘2 De </w:t>
      </w:r>
      <w:r>
        <w:rPr>
          <w:rFonts w:ascii="Calibri" w:hAnsi="Calibri"/>
          <w:i/>
          <w:sz w:val="22"/>
        </w:rPr>
        <w:t>operationele voorwaarden</w:t>
      </w:r>
      <w:r>
        <w:rPr>
          <w:rFonts w:ascii="Calibri" w:hAnsi="Calibri"/>
          <w:sz w:val="22"/>
        </w:rPr>
        <w:t xml:space="preserve"> en het </w:t>
      </w:r>
      <w:r>
        <w:rPr>
          <w:rFonts w:ascii="Calibri" w:hAnsi="Calibri"/>
          <w:i/>
          <w:sz w:val="22"/>
        </w:rPr>
        <w:t>gebruiksprofiel</w:t>
      </w:r>
      <w:r>
        <w:rPr>
          <w:rFonts w:ascii="Calibri" w:hAnsi="Calibri"/>
          <w:sz w:val="22"/>
        </w:rPr>
        <w:t xml:space="preserve">...’ worden hernummerd tot ’3 De </w:t>
      </w:r>
      <w:r>
        <w:rPr>
          <w:rFonts w:ascii="Calibri" w:hAnsi="Calibri"/>
          <w:i/>
          <w:sz w:val="22"/>
        </w:rPr>
        <w:t>operationele voorwaarden</w:t>
      </w:r>
      <w:r>
        <w:rPr>
          <w:rFonts w:ascii="Calibri" w:hAnsi="Calibri"/>
          <w:sz w:val="22"/>
        </w:rPr>
        <w:t xml:space="preserve"> en het </w:t>
      </w:r>
      <w:r>
        <w:rPr>
          <w:rFonts w:ascii="Calibri" w:hAnsi="Calibri"/>
          <w:i/>
          <w:sz w:val="22"/>
        </w:rPr>
        <w:t>gebruiksprofiel</w:t>
      </w:r>
      <w:r>
        <w:rPr>
          <w:rFonts w:ascii="Calibri" w:hAnsi="Calibri"/>
          <w:sz w:val="22"/>
        </w:rPr>
        <w:t>...’</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bb) In bijlage D, lid 4, wordt de tekst ‘Erkend document’ vervangen door ‘Erkend document voor de energiecertificering van gebouwen’.</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ccc) In bijlage E moet de term ‘particulier residentieel gebruik’ in punt 1 cursief zijn.</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ddd) In bijlage F moet de term ‘particulier residentieel gebruik’ cursief zijn, zowel in deel 1 als in tabel a-bijlage F.</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r>
        <w:rPr>
          <w:rFonts w:ascii="Calibri" w:hAnsi="Calibri"/>
          <w:sz w:val="22"/>
        </w:rPr>
        <w:t xml:space="preserve">eee) In bijlage H wordt de volgende bewoording na de titel van het artikel ingevoegd: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‘Bepaling van de </w:t>
      </w:r>
      <w:r>
        <w:rPr>
          <w:rFonts w:ascii="Calibri" w:hAnsi="Calibri"/>
          <w:i/>
          <w:sz w:val="22"/>
        </w:rPr>
        <w:t>luchtdoorlatendheid</w:t>
      </w:r>
      <w:r>
        <w:rPr>
          <w:rFonts w:ascii="Calibri" w:hAnsi="Calibri"/>
          <w:sz w:val="22"/>
        </w:rPr>
        <w:t xml:space="preserve"> van het gebouw moet worden uitgevoerd volgens een van de volgende methoden’.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fff) In bijlage H moet de bewoording ‘De waarde van de verhouding van de luchtverversing bij 50 Pa, n50, kan worden verkregen door te testen volgens methode B van UNE-EN 13829:2002 Bepaling van luchtdichtheid in gebouwen. Methode van onder druk brengen door middel van een ventilator.» wordt vervangen door: ‘De waarde van de </w:t>
      </w:r>
      <w:r>
        <w:rPr>
          <w:rFonts w:ascii="Calibri" w:hAnsi="Calibri"/>
          <w:i/>
          <w:sz w:val="22"/>
        </w:rPr>
        <w:t>luchtverversingsverhouding</w:t>
      </w:r>
      <w:r>
        <w:rPr>
          <w:rFonts w:ascii="Calibri" w:hAnsi="Calibri"/>
          <w:sz w:val="22"/>
        </w:rPr>
        <w:t xml:space="preserve"> bij 50 Pa, n</w:t>
      </w:r>
      <w:r>
        <w:rPr>
          <w:rFonts w:ascii="Calibri" w:hAnsi="Calibri"/>
          <w:sz w:val="22"/>
          <w:vertAlign w:val="subscript"/>
        </w:rPr>
        <w:t>50</w:t>
      </w:r>
      <w:r>
        <w:rPr>
          <w:rFonts w:ascii="Calibri" w:hAnsi="Calibri"/>
          <w:sz w:val="22"/>
        </w:rPr>
        <w:t xml:space="preserve"> door middel van testen wordt verkregen uit methode 1 of 2 van UNE-EN ISO 9972: 2019 </w:t>
      </w:r>
      <w:r>
        <w:rPr>
          <w:rFonts w:ascii="Calibri" w:hAnsi="Calibri"/>
          <w:i/>
          <w:sz w:val="22"/>
        </w:rPr>
        <w:t>Thermische prestaties van gebouwen. Bepaling van de luchtdoorlaatbaarheid van gebouwen. Ventilatordrukmethode.».</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ggg) In afdeling H, artikel 2, waarin het als volgt luidt: «... 2. De waarde van de verhouding van de verandering van lucht bij 50 Pa, n</w:t>
      </w:r>
      <w:r>
        <w:rPr>
          <w:rFonts w:ascii="Calibri" w:hAnsi="Calibri"/>
          <w:sz w:val="22"/>
          <w:vertAlign w:val="subscript"/>
        </w:rPr>
        <w:t>50</w:t>
      </w:r>
      <w:r>
        <w:rPr>
          <w:rFonts w:ascii="Calibri" w:hAnsi="Calibri"/>
          <w:sz w:val="22"/>
        </w:rPr>
        <w:t xml:space="preserve">, kan worden berekend met de volgende vergelijking:’ moet als volgt luiden: «... 1. De waarde van de </w:t>
      </w:r>
      <w:r>
        <w:rPr>
          <w:rFonts w:ascii="Calibri" w:hAnsi="Calibri"/>
          <w:i/>
          <w:sz w:val="22"/>
        </w:rPr>
        <w:t>verhouding van de luchtverandering</w:t>
      </w:r>
      <w:r>
        <w:rPr>
          <w:rFonts w:ascii="Calibri" w:hAnsi="Calibri"/>
          <w:sz w:val="22"/>
        </w:rPr>
        <w:t xml:space="preserve"> bij 50 Pa, n</w:t>
      </w:r>
      <w:r>
        <w:rPr>
          <w:rFonts w:ascii="Calibri" w:hAnsi="Calibri"/>
          <w:sz w:val="22"/>
          <w:vertAlign w:val="subscript"/>
        </w:rPr>
        <w:t>50</w:t>
      </w:r>
      <w:r>
        <w:rPr>
          <w:rFonts w:ascii="Calibri" w:hAnsi="Calibri"/>
          <w:sz w:val="22"/>
        </w:rPr>
        <w:t xml:space="preserve"> aan de hand van referentiewaarden wordt verkregen uit de volgende uitdrukking:’ waarin het luidt: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 moet als volgt luiden: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w:t>
      </w:r>
      <w:r>
        <w:rPr>
          <w:rFonts w:ascii="Calibri" w:hAnsi="Calibri"/>
          <w:sz w:val="22"/>
          <w:vertAlign w:val="subscript"/>
        </w:rPr>
        <w:t>int</w:t>
      </w:r>
      <w:r>
        <w:rPr>
          <w:rFonts w:ascii="Calibri" w:hAnsi="Calibri"/>
          <w:sz w:val="22"/>
        </w:rPr>
        <w:t>’, waar het luidt: ‘V is het interne volume van de thermische omhulling in [m</w:t>
      </w:r>
      <w:r>
        <w:rPr>
          <w:rFonts w:ascii="Calibri" w:hAnsi="Calibri"/>
          <w:sz w:val="22"/>
          <w:vertAlign w:val="superscript"/>
        </w:rPr>
        <w:t>3</w:t>
      </w:r>
      <w:r>
        <w:rPr>
          <w:rFonts w:ascii="Calibri" w:hAnsi="Calibri"/>
          <w:sz w:val="22"/>
        </w:rPr>
        <w:t>]’ moet als volgt luiden: ‘V</w:t>
      </w:r>
      <w:r>
        <w:rPr>
          <w:rFonts w:ascii="Calibri" w:hAnsi="Calibri"/>
          <w:sz w:val="22"/>
          <w:vertAlign w:val="subscript"/>
        </w:rPr>
        <w:t>int</w:t>
      </w:r>
      <w:r>
        <w:rPr>
          <w:rFonts w:ascii="Calibri" w:hAnsi="Calibri"/>
          <w:sz w:val="22"/>
        </w:rPr>
        <w:t xml:space="preserve"> is het interne luchtvolume van de </w:t>
      </w:r>
      <w:r>
        <w:rPr>
          <w:rFonts w:ascii="Calibri" w:hAnsi="Calibri"/>
          <w:i/>
          <w:sz w:val="22"/>
        </w:rPr>
        <w:t>thermische omhulling</w:t>
      </w:r>
      <w:r>
        <w:rPr>
          <w:rFonts w:ascii="Calibri" w:hAnsi="Calibri"/>
          <w:sz w:val="22"/>
        </w:rPr>
        <w:t>, in [m</w:t>
      </w:r>
      <w:r>
        <w:rPr>
          <w:rFonts w:ascii="Calibri" w:hAnsi="Calibri"/>
          <w:sz w:val="22"/>
          <w:vertAlign w:val="superscript"/>
        </w:rPr>
        <w:t>3</w:t>
      </w:r>
      <w:r>
        <w:rPr>
          <w:rFonts w:ascii="Calibri" w:hAnsi="Calibri"/>
          <w:sz w:val="22"/>
        </w:rPr>
        <w:t>]’, en waar het luidt: ‘A</w:t>
      </w:r>
      <w:r>
        <w:rPr>
          <w:rFonts w:ascii="Calibri" w:hAnsi="Calibri"/>
          <w:sz w:val="22"/>
          <w:vertAlign w:val="subscript"/>
        </w:rPr>
        <w:t>o</w:t>
      </w:r>
      <w:r>
        <w:rPr>
          <w:rFonts w:ascii="Calibri" w:hAnsi="Calibri"/>
          <w:sz w:val="22"/>
        </w:rPr>
        <w:t xml:space="preserve"> is het oppervlak van het ondoorzichtige deel van de </w:t>
      </w:r>
      <w:r>
        <w:rPr>
          <w:rFonts w:ascii="Calibri" w:hAnsi="Calibri"/>
          <w:i/>
          <w:sz w:val="22"/>
        </w:rPr>
        <w:t>thermische omhulling</w:t>
      </w:r>
      <w:r>
        <w:rPr>
          <w:rFonts w:ascii="Calibri" w:hAnsi="Calibri"/>
          <w:sz w:val="22"/>
        </w:rPr>
        <w:t xml:space="preserve"> in [m</w:t>
      </w:r>
      <w:r>
        <w:rPr>
          <w:rFonts w:ascii="Calibri" w:hAnsi="Calibri"/>
          <w:sz w:val="22"/>
          <w:vertAlign w:val="superscript"/>
        </w:rPr>
        <w:t>2</w:t>
      </w:r>
      <w:r>
        <w:rPr>
          <w:rFonts w:ascii="Calibri" w:hAnsi="Calibri"/>
          <w:sz w:val="22"/>
        </w:rPr>
        <w:t>]’ moet als volgt luiden: ‘A</w:t>
      </w:r>
      <w:r>
        <w:rPr>
          <w:rFonts w:ascii="Calibri" w:hAnsi="Calibri"/>
          <w:sz w:val="22"/>
          <w:vertAlign w:val="subscript"/>
        </w:rPr>
        <w:t>o</w:t>
      </w:r>
      <w:r>
        <w:rPr>
          <w:rFonts w:ascii="Calibri" w:hAnsi="Calibri"/>
          <w:sz w:val="22"/>
        </w:rPr>
        <w:t xml:space="preserve"> is het oppervlak van het ondoorzichtige deel van de </w:t>
      </w:r>
      <w:r>
        <w:rPr>
          <w:rFonts w:ascii="Calibri" w:hAnsi="Calibri"/>
          <w:i/>
          <w:sz w:val="22"/>
        </w:rPr>
        <w:t>thermische omhulling</w:t>
      </w:r>
      <w:r>
        <w:rPr>
          <w:rFonts w:ascii="Calibri" w:hAnsi="Calibri"/>
          <w:sz w:val="22"/>
        </w:rPr>
        <w:t xml:space="preserve"> in contact met buitenlucht, op [m</w:t>
      </w:r>
      <w:r>
        <w:rPr>
          <w:rFonts w:ascii="Calibri" w:hAnsi="Calibri"/>
          <w:sz w:val="22"/>
          <w:vertAlign w:val="superscript"/>
        </w:rPr>
        <w:t>2</w:t>
      </w:r>
      <w:r>
        <w:rPr>
          <w:rFonts w:ascii="Calibri" w:hAnsi="Calibri"/>
          <w:sz w:val="22"/>
        </w:rPr>
        <w:t xml:space="preserve">]’.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hhh) In bijlage H moet de term ‘thermische omhulling’ en ‘gaten’ cursief zijn in de beschrijving van de termen C</w:t>
      </w:r>
      <w:r>
        <w:rPr>
          <w:rFonts w:ascii="Calibri" w:hAnsi="Calibri"/>
          <w:sz w:val="22"/>
          <w:vertAlign w:val="subscript"/>
        </w:rPr>
        <w:t>o</w:t>
      </w:r>
      <w:r>
        <w:rPr>
          <w:rFonts w:ascii="Calibri" w:hAnsi="Calibri"/>
          <w:sz w:val="22"/>
        </w:rPr>
        <w:t>, C</w:t>
      </w:r>
      <w:r>
        <w:rPr>
          <w:rFonts w:ascii="Calibri" w:hAnsi="Calibri"/>
          <w:sz w:val="22"/>
          <w:vertAlign w:val="subscript"/>
        </w:rPr>
        <w:t>h</w:t>
      </w:r>
      <w:r>
        <w:rPr>
          <w:rFonts w:ascii="Calibri" w:hAnsi="Calibri"/>
          <w:sz w:val="22"/>
        </w:rPr>
        <w:t>, A</w:t>
      </w:r>
      <w:r>
        <w:rPr>
          <w:rFonts w:ascii="Calibri" w:hAnsi="Calibri"/>
          <w:sz w:val="22"/>
          <w:vertAlign w:val="subscript"/>
        </w:rPr>
        <w:t>h</w:t>
      </w:r>
      <w:r>
        <w:rPr>
          <w:rFonts w:ascii="Calibri" w:hAnsi="Calibri"/>
          <w:sz w:val="22"/>
        </w:rPr>
        <w:t xml:space="preserve"> en in tabel a-bijlage H.</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t>Vier.</w:t>
      </w:r>
      <w:r>
        <w:rPr>
          <w:rFonts w:ascii="Calibri" w:hAnsi="Calibri"/>
          <w:b/>
          <w:sz w:val="22"/>
        </w:rPr>
        <w:t xml:space="preserve"> </w:t>
      </w:r>
      <w:r>
        <w:rPr>
          <w:rFonts w:ascii="Calibri" w:hAnsi="Calibri"/>
          <w:sz w:val="22"/>
        </w:rPr>
        <w:t xml:space="preserve">De volgende wijzigingen worden geïntroduceerd in het basisdocument DB-SUA ‘Veiligheid in gebruik en toegankelijkheid’ opgenomen in deel II van de Technische Bouwwet: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In bijlage A omvat de definitie van ‘Toegankelijke parkeerplaats’ een koppelteken met de tekst:</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 In het geval dat de </w:t>
      </w:r>
      <w:r>
        <w:rPr>
          <w:rFonts w:ascii="Calibri" w:hAnsi="Calibri"/>
          <w:i/>
          <w:sz w:val="22"/>
        </w:rPr>
        <w:t>toegankelijke parkeerplaats</w:t>
      </w:r>
      <w:r>
        <w:rPr>
          <w:rFonts w:ascii="Calibri" w:hAnsi="Calibri"/>
          <w:sz w:val="22"/>
        </w:rPr>
        <w:t xml:space="preserve"> een oplaadstation voor elektrische voertuigen heeft, moet de </w:t>
      </w:r>
      <w:r>
        <w:rPr>
          <w:rFonts w:ascii="Calibri" w:hAnsi="Calibri"/>
          <w:i/>
          <w:sz w:val="22"/>
        </w:rPr>
        <w:t>toegankelijke route</w:t>
      </w:r>
      <w:r>
        <w:rPr>
          <w:rFonts w:ascii="Calibri" w:hAnsi="Calibri"/>
          <w:sz w:val="22"/>
        </w:rPr>
        <w:t xml:space="preserve"> ook dit laadstation omvatten. De stopcontacten en connectoren van deze oplaadstations </w:t>
      </w:r>
      <w:r>
        <w:rPr>
          <w:rFonts w:ascii="Calibri" w:hAnsi="Calibri"/>
          <w:sz w:val="22"/>
        </w:rPr>
        <w:lastRenderedPageBreak/>
        <w:t>moeten chromatisch contrasteren met de omgeving, geplaatst op een hoogte tussen 80 en 120 cm en de afstand tot de hoeken moet ten minste 35 cm bedragen.’</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Vijf. In deel II worden de volgende wijzigingen aangebracht in het basisdocument DB-HS ‘Gezondheid’:</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5" w:name="_Hlk103704636"/>
      <w:r>
        <w:rPr>
          <w:rFonts w:ascii="Calibri" w:hAnsi="Calibri"/>
          <w:sz w:val="22"/>
        </w:rPr>
        <w:t>a) In afdeling HS 4, artikel 3.2.2.1, onder punt 2, wordt de zin ‘de minimumbijdrage aan zonne-energie voor de productie van warm tapwater’ vervangen door de zin ‘de minimale bijdrage van hernieuwbare energie om de vraag naar warmwatervoorziening voor huishoudelijk gebruik te dekken’.</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 In HS-afdeling 4 wordt in artikel 6.2 de bewoording ‘e) polyvinylchloride gechloreerde (PVC-C) buizen volgens UNE-EN ISO 15874-1:2013, UNE-EN ISO 15874-2:2013 en UNE-EN ISO 15874-3:2013;’ vervangen door de bewoording ‘e) polychloorvinylchloride (PVC-C) buizen, overeenkomstig UNE-EN ISO 15877-1:2009 (+UNE-EN ISO 15877-1:2009/A1): 2011), UNE-EN ISO 15877-2:2009 (+UNE-EN ISO 15877-2:2009/A1: 2011) en UNE-EN ISO 15877-3:2009 (+UNE-EN ISO 15877-3:2009/A1: 2011);’.</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 In afdeling HS 4 wordt in artikel 6.2 de bewoording ‘h) polybutyleenleidingen (PB) volgens UNE-EN ISO 15876-1:2017, UNE-EN ISO 15876-2:2017 en UNE-EN ISO 15876-3:2017 vervangen door de bewoording ‘h) polybutyleenleidingen (PB) overeenkomstig UNE-EN ISO 15876-1:2017, UNE-EN ISO 15876-2:2017 en UNE-EN ISO 15876-3:2017;’.</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 In</w:t>
      </w:r>
      <w:r>
        <w:rPr>
          <w:rFonts w:ascii="Calibri" w:hAnsi="Calibri"/>
          <w:b/>
          <w:sz w:val="22"/>
        </w:rPr>
        <w:t xml:space="preserve"> </w:t>
      </w:r>
      <w:r>
        <w:rPr>
          <w:rFonts w:ascii="Calibri" w:hAnsi="Calibri"/>
          <w:sz w:val="22"/>
        </w:rPr>
        <w:t>Afdeling HS4, bijlage C, waar staat: ‘Kunststof leidingsystemen voor warm- en koudwaterinstallaties. Polybutyleen (PB). Deel 1: Algemeen' moet als volgt luiden: ‘Kunststof leidingsystemen voor warm- en koudwaterinstallaties. Polybutyleen (PB). Deel 1: Algemeen</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e) In</w:t>
      </w:r>
      <w:r>
        <w:rPr>
          <w:rFonts w:ascii="Calibri" w:hAnsi="Calibri"/>
          <w:b/>
          <w:sz w:val="22"/>
        </w:rPr>
        <w:t xml:space="preserve"> </w:t>
      </w:r>
      <w:r>
        <w:rPr>
          <w:rFonts w:ascii="Calibri" w:hAnsi="Calibri"/>
          <w:sz w:val="22"/>
        </w:rPr>
        <w:t>Afdeling HS4, bijlage C, waar staat: ‘Kunststof leidingsystemen voor warm- en koudwaterinstallaties. Polybutyleen (PB). Deel 2: Leidingen’ moet als volgt luiden: ‘Kunststof leidingsystemen voor warm- en koudwaterinstallaties. Polybutyleen (PB). Deel 2: Leidingen.</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f) In</w:t>
      </w:r>
      <w:r>
        <w:rPr>
          <w:rFonts w:ascii="Calibri" w:hAnsi="Calibri"/>
          <w:b/>
          <w:sz w:val="22"/>
        </w:rPr>
        <w:t xml:space="preserve"> </w:t>
      </w:r>
      <w:r>
        <w:rPr>
          <w:rFonts w:ascii="Calibri" w:hAnsi="Calibri"/>
          <w:sz w:val="22"/>
        </w:rPr>
        <w:t>Afdeling HS 4, bijlage C, waar staat: ‘Kunststof leidingsystemen voor warm- en koudwaterinstallaties. Polybutyleen (PB). Deel 3: Hulpstukken" het moet als volgt luiden: ‘Kunststof leidingsystemen voor warm- en koudwaterinstallaties. Polybutyleen (PB). Deel 3: Hulpstukken.</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 In Afdeling HS 4, bijlage C, wordt na de verwijzing naar de norm 'UNE-EN ISO 15876-3' het volgende opgenomen: 2017</w:t>
      </w:r>
      <w:r>
        <w:rPr>
          <w:rFonts w:ascii="Calibri" w:hAnsi="Calibri"/>
          <w:sz w:val="22"/>
        </w:rPr>
        <w:tab/>
        <w:t>Kunststof leidingsystemen voor warm- en koudwaterinstallaties. Polybutyleen (PB). Deel 3: Hulpstukken’ de volgende normen:</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15877-1:2009 Kunststof leidingsystemen voor warm- en koudwaterinstallaties. Gechloreerd poly (vinylchloride) (PVC-C). Deel 1: Algemene bepalingen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15877-2:2009 Kunststof leidingsystemen voor warm- en koudwaterinstallaties. Gechloreerd poly (vinylchloride) (PVC-C). Deel 2: Leidingen.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UNE-EN ISO 15877-3:2009 Kunststof leidingsystemen voor warm- en koudwaterinstallaties. Gechloreerd poly (vinylchloride) (PVC-C). Deel 3: Hulpstukken. (+UNE-EN ISO 15877-3:2009/A1:2011)</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5"/>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Eerste overgangsbepaling. </w:t>
      </w:r>
      <w:r>
        <w:rPr>
          <w:rFonts w:ascii="Calibri" w:hAnsi="Calibri"/>
          <w:i/>
          <w:sz w:val="22"/>
        </w:rPr>
        <w:t>Gebouwen die zijn vrijgesteld van de bepalingen van dit Koninklijk Besluit.</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De bij dit Koninklijk Besluit aangenomen wijzigingen van de Technisch Bouwwet (CTE) zijn niet van toepassing op nieuwe gebouwen of werkzaamheden aan bestaande gebouwen die in beide gevallen reeds een gemeentelijke bouwvergunning hebben aangevraagd op het tijdstip van inwerkingtreding van dit Koninklijk Besluit.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Met dergelijke werken dient te worden begonnen binnen de maximale efficiëntieperiode van genoemde vergunning, in overeenstemming met de daarbij behorende voorschriften of, bij gebreke daarvan, binnen zes maanden na verlening van genoemde vergunning. Indien dit niet het geval is, moeten de projecten worden aangepast aan de wijzigingen aan de door dit Koninklijk Besluit goedgekeurde CTE.</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Tweede overgangsbepaling. </w:t>
      </w:r>
      <w:r>
        <w:rPr>
          <w:rFonts w:ascii="Calibri" w:hAnsi="Calibri"/>
          <w:i/>
          <w:sz w:val="22"/>
        </w:rPr>
        <w:t>Gebouwen waarvoor de toepassing van de bepalingen van dit Koninklijk Besluit vrijwillig is.</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De bij dit Koninklijk Besluit goedgekeurde wijzigingen van de Technisch Bouwwet zijn vrijwillig van toepassing op nieuwe bouwwerken en op werken aan bestaande gebouwen waarvoor in beide gevallen binnen zes maanden na de inwerkingtreding van dit Koninklijk Besluit een gemeentelijke bouwvergunning is aangevraagd.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Met dergelijke werken dient te worden begonnen binnen de maximale efficiëntieperiode van genoemde vergunning, in overeenstemming met de daarbij behorende voorschriften of, bij gebreke daarvan, binnen zes maanden na verlening van genoemde vergunning. Indien dit niet het geval is, moeten de projecten worden aangepast aan de wijzigingen aan de door dit Koninklijk Besluit goedgekeurde CTE.</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Derde overgangsbepaling. </w:t>
      </w:r>
      <w:r>
        <w:rPr>
          <w:rFonts w:ascii="Calibri" w:hAnsi="Calibri"/>
          <w:i/>
          <w:sz w:val="22"/>
        </w:rPr>
        <w:t>Gebouwen waarvoor de toepassing van de bepalingen van dit Koninklijk Besluit verplicht is.</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 bij dit Koninklijk Besluit aangenomen wijzigingen van de Technische Bouwwet (CTE) zijn verplicht voor nieuwe gebouwen of werken aan bestaande gebouwen die een gemeentelijke bouwvergunning aanvragen, later dan negen maanden na de inwerkingtreding van deze bepaling.</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Eerste slotbepaling. </w:t>
      </w:r>
      <w:r>
        <w:rPr>
          <w:rFonts w:ascii="Calibri" w:hAnsi="Calibri"/>
          <w:i/>
          <w:sz w:val="22"/>
        </w:rPr>
        <w:t>Wijziging van Koninklijk Besluit 1053/2014 van 12 december tot goedkeuring van een nieuwe Aanvullende technische instructie (ITC) BT 52 ‘Speciaal doelinstallaties. Infrastructuur voor het opladen van elektrische voertuigen’, van het Elektrotechnisch reglement met laagspanning, goedgekeurd bij Koninklijk Besluit 842/2002 van 2 augustus, en andere aanvullende technische instructies worden gewijzigd.</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Koninklijk Besluit 1053/2014 van 12 december tot goedkeuring van een nieuwe Aanvullende technische instructie (ITC) BT 52 ‘Speciale doelinstallaties. Infrastructuur voor het opladen van elektrische voertuigen’, van het Elektrotechnisch reglement inzake laagspanning, goedgekeurd bij Koninklijk Besluit 842/2002 van 2 augustus, en andere aanvullende technische instructies worden als volgt gewijzigd: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Eén. De eerste aanvullende bepaling wordt als volgt gewijzigd:</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'Eerste aanvullende bepaling. Minimale structurele voorzieningen voor het opladen van elektrische voertuigen op parkeerplaatsen die niet zijn toegewezen aan gebouwen, nieuw gebouwd of ingrijpend gerenoveerd, en op openbare wegen.</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1. In nieuwbouw parkeergarages of ingrijpende renovaties die niet in of aangrenzend aan een gebouw gelegen zijn, en dus buiten het toepassingsgebied van het Basis-energiebesparingsdocument (DB HE) van de Technische Bouwwet vallen, moet minimaal één oplaadstation per 40 parkeerplaatsen of een fractie daarvan geïnstalleerd worden. Een parkeerplaats wordt als nieuw aangelegd beschouwd wanneer het bouwproject na de inwerkingtreding van dit Koninklijk Besluit aan de bevoegde overheidsinstantie wordt voorgelegd voor verwerking.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2. De installaties die nodig zijn voor de levering van oplaadstations die zich bevinden in de plaatsen voor elektrische voertuigen op de openbare wegen, als bedoeld in de bovengemeentelijke of gemeentelijke Plannen voor duurzame mobiliteit, moeten worden gewaarborgd.’</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Twee. Artikel 3.2 van INSTRUCCIÓN TÉCNICA COMPLEMENTARIA (ITC) BT-52 wordt als volgt gewijzigd:</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«3.2 Installatie in parkeergarages of collectieve parkeerplaatsen naast gebouwen of gebouwencomplexen.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 xml:space="preserve">Elektrische installaties voor het opladen van </w:t>
      </w:r>
      <w:r>
        <w:rPr>
          <w:rFonts w:ascii="Calibri" w:hAnsi="Calibri"/>
          <w:color w:val="000000"/>
          <w:sz w:val="22"/>
        </w:rPr>
        <w:t>elektrische voertuigen</w:t>
      </w:r>
      <w:r>
        <w:rPr>
          <w:rFonts w:ascii="Calibri" w:hAnsi="Calibri"/>
          <w:sz w:val="22"/>
        </w:rPr>
        <w:t xml:space="preserve"> die zich bevinden in parkeergarages of parkeergarages binnen of verbonden aan gebouwen of wooncomplexen, moeten een van de hierboven beschreven regelingen volgen.</w:t>
      </w:r>
      <w:r>
        <w:rPr>
          <w:rFonts w:ascii="Calibri" w:hAnsi="Calibri"/>
          <w:color w:val="000000"/>
          <w:sz w:val="22"/>
        </w:rPr>
        <w:t xml:space="preserve"> </w:t>
      </w:r>
      <w:r>
        <w:rPr>
          <w:rFonts w:ascii="Calibri" w:hAnsi="Calibri"/>
          <w:sz w:val="22"/>
        </w:rPr>
        <w:t>In hetzelfde gebouw mogen verschillende diagrammen worden gebruikt, mits aan alle vereisten van deze (ITC) BT-52 zijn voldaan.</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In schema 4a moet het oplaadcircuit voldoen aan de installatievoorwaarden beschreven in (ITC) BT-15, met gebruikmaking van kabels en geleidingssystemen van dezelfde typen en kenmerken als voor een individuele bypass, en de kabeldoorsnede wordt berekend in overeenstemming met de algemene vereisten van artikel 5 van deze ITC. Het is niet nodig om een verlenging van de kabelsectie te voorzien om de diameter of dwarsafmetingen van het te gebruiken geleidingssysteem te bepalen.</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Schema 4b moet worden gebruikt wanneer de levering van de laadstations is ontworpen als integraal onderdeel of uitbreiding van de elektrische installatie ten behoeve van de algemene diensten van de garages.</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Zowel in bestaande als in nieuwe installaties, en om het gebruik van de geselecteerde elektrische regeling te vergemakkelijken, kunnen tafels met algemene beveiligingen en andere apparaten voor het opladen van elektrische voertuigen zich bevinden in de daartoe aangewezen ruimten of in gemeenschappelijke ruimten.</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Elektrische pre-installatie voor het opladen van elektrische voertuigen in parkeergarages die zich bevinden of aan gebouwen of gebouwencomplexen grenzen, moet het latere gebruik van een van de mogelijke installatiesystemen vergemakkelijken. Dit omvat de volgende elementen: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a) Installatie van kabelgeleidingssystemen vanaf de centralisatie van meters en door de hoofdwegen van de parkeergarages om later de oplaadstations die zich op de individuele parkeerplaatsen of parkeergarages kunnen bevinden, van stroom te kunnen voorzien. Wanneer de voorinstallatie is gepland voor 100 % van de ruimten, moeten de kabelgeleidingssystemen elk van de ruimten bereiken. Indien de pre-installatie niet is gepland voor 100 % van de ruimten, moeten de ruimten die in aanmerking worden genomen om te voldoen aan de voorschriften inzake kabelgeleidingssystemen worden gedefinieerd en moeten deze systemen elk van deze ruimten bereiken.</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 De centralisatie van de meters moet worden afgestemd op de elektrische regeling die is gekozen voor het opladen van het elektrisch voertuig en zoals beschreven in (ITC) BT-16. Back-upmodules moeten worden geïnstalleerd voor ten minste 20 % van de garageruimten die niet aan een woning zijn gekoppeld, en zelfs als alle ruimten zijn gekoppeld aan woningen, moet er ten minste één back-upmodule worden geïnstalleerd. Deze reservemodules moeten de capaciteit hebben om de hoofdmeter te huisvesten en de overstroombeveiligingsinrichtingen die bij de meter horen, met zekeringen of stroomonderbrekers.</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De stopcontacten of connectoren die in het oplaadstation zijn geïnstalleerd en de automatische beveiligingsschakelaars moeten voldoen aan een van de opties vermeld in paragraaf 5.4.»</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Drie. De eerste alinea van artikel 5.4 van AANVULLENDE TECHNISCHE INSTRUCTIE (ITC) BT-52 wordt als volgt gewijzigd:</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«5.4 Verbindingspunt. </w:t>
      </w:r>
      <w:bookmarkStart w:id="26" w:name="_Hlk81468651"/>
      <w:r>
        <w:rPr>
          <w:rFonts w:ascii="Calibri" w:hAnsi="Calibri"/>
          <w:sz w:val="22"/>
        </w:rPr>
        <w:t xml:space="preserve">Het aansluitpunt bevindt zich naast het te leveren plein geplaatst en vast in een afgesloten ruimte ingebouwd. </w:t>
      </w:r>
    </w:p>
    <w:bookmarkEnd w:id="26"/>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De minimale installatiehoogte voor de stopcontacten en connectoren moet 60 cm boven de grond liggen. </w:t>
      </w:r>
      <w:bookmarkStart w:id="27" w:name="_Hlk81468224"/>
      <w:r>
        <w:rPr>
          <w:rFonts w:ascii="Calibri" w:hAnsi="Calibri"/>
          <w:sz w:val="22"/>
        </w:rPr>
        <w:t>Indien het oplaadstation bestemd is voor openbaar gebruik, is de maximale hoogte 120 cm. Op toegankelijke parkeerplaatsen moeten stopcontacten en connectoren chromatisch contrasteren met de omgeving, zich op een hoogte tussen 80 en 120 cm bevinden en de afstand tot hoekverbindingen moet ten minste 35 cm bedragen.»</w:t>
      </w:r>
      <w:bookmarkEnd w:id="27"/>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Tweede slotbepaling. </w:t>
      </w:r>
      <w:r>
        <w:rPr>
          <w:rFonts w:ascii="Calibri" w:hAnsi="Calibri"/>
          <w:i/>
          <w:sz w:val="22"/>
        </w:rPr>
        <w:t>Omzetting van het recht van de Europese Unie.</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Dit Koninklijk Besluit wordt omgezet in Spaanse wetsartikelen 8.2, 8.4, 8.5 en 8.6 van Richtlijn 2010/31/EU van het Europees Parlement en de Raad betreffende de energieprestatie van gebouwen, zoals gewijzigd door Richtlijn (EU) van het Europees Parlement en de Raad van 30 mei 2018 tot wijziging van Richtlijn 2010/31/EU</w:t>
      </w:r>
      <w:r>
        <w:t xml:space="preserve"> </w:t>
      </w:r>
      <w:bookmarkStart w:id="28" w:name="_Hlk92814279"/>
      <w:r>
        <w:rPr>
          <w:rFonts w:ascii="Calibri" w:hAnsi="Calibri"/>
          <w:sz w:val="22"/>
        </w:rPr>
        <w:t>betreffende de energieprestatie van gebouwen</w:t>
      </w:r>
      <w:bookmarkEnd w:id="28"/>
      <w:r>
        <w:t xml:space="preserve"> </w:t>
      </w:r>
      <w:r>
        <w:rPr>
          <w:rFonts w:ascii="Calibri" w:hAnsi="Calibri"/>
          <w:sz w:val="22"/>
        </w:rPr>
        <w:t>en Richtlijn 2012/27/EU betreffende energie-efficiëntie.</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Derde slotbepaling. </w:t>
      </w:r>
      <w:r>
        <w:rPr>
          <w:rFonts w:ascii="Calibri" w:hAnsi="Calibri"/>
          <w:i/>
          <w:sz w:val="22"/>
        </w:rPr>
        <w:t>Inwerkingtreding.</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Dit Koninklijk Besluit treedt in werking op de dag na publicatie ervan in het Spaanse Staatsblad.</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AAN DE RAAD VAN MINISTERS VOOR TE LEGGEN</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Madrid, op            2022</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DE MINISTER VAN VERVOER, MOBILITEIT EN DE STEDELIJKE AGENDA</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Raquel Sánchez Jiménez</w:t>
            </w:r>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DERDE VICEPREMIER VAN DE REGERING EN MINISTER VOOR DE ECOLOGISCHE TRANSITIE EN DE DEMOGRAFISCHE UITDAGING</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Teresa Ribera Rodríguez</w:t>
            </w:r>
          </w:p>
        </w:tc>
      </w:tr>
    </w:tbl>
    <w:p w14:paraId="15FD4F1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C636" w14:textId="77777777" w:rsidR="00BC6CAF" w:rsidRDefault="00BC6CAF">
      <w:r>
        <w:separator/>
      </w:r>
    </w:p>
  </w:endnote>
  <w:endnote w:type="continuationSeparator" w:id="0">
    <w:p w14:paraId="58CABEBB" w14:textId="77777777" w:rsidR="00BC6CAF" w:rsidRDefault="00BC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altName w:val="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8D55" w14:textId="77777777" w:rsidR="00BC6CAF" w:rsidRDefault="00BC6CAF">
      <w:r>
        <w:separator/>
      </w:r>
    </w:p>
  </w:footnote>
  <w:footnote w:type="continuationSeparator" w:id="0">
    <w:p w14:paraId="2076713D" w14:textId="77777777" w:rsidR="00BC6CAF" w:rsidRDefault="00BC6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9" w:name="_MON_1030527131"/>
      <w:bookmarkEnd w:id="29"/>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4.35pt" fillcolor="window">
                <v:imagedata r:id="rId1" o:title=""/>
              </v:shape>
              <o:OLEObject Type="Embed" ProgID="Word.Picture.8" ShapeID="_x0000_i1025" DrawAspect="Content" ObjectID="_1724480406"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7" w:type="dxa"/>
      <w:jc w:val="center"/>
      <w:tblLayout w:type="fixed"/>
      <w:tblCellMar>
        <w:left w:w="70" w:type="dxa"/>
        <w:right w:w="70" w:type="dxa"/>
      </w:tblCellMar>
      <w:tblLook w:val="0000" w:firstRow="0" w:lastRow="0" w:firstColumn="0" w:lastColumn="0" w:noHBand="0" w:noVBand="0"/>
    </w:tblPr>
    <w:tblGrid>
      <w:gridCol w:w="1357"/>
      <w:gridCol w:w="3728"/>
      <w:gridCol w:w="2020"/>
      <w:gridCol w:w="3772"/>
    </w:tblGrid>
    <w:tr w:rsidR="00546D77" w14:paraId="1E577442" w14:textId="77777777" w:rsidTr="00546D77">
      <w:trPr>
        <w:cantSplit/>
        <w:trHeight w:val="427"/>
        <w:jc w:val="center"/>
      </w:trPr>
      <w:tc>
        <w:tcPr>
          <w:tcW w:w="1357"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95pt;height:59.45pt" fillcolor="window">
                <v:imagedata r:id="rId1" o:title=""/>
              </v:shape>
              <o:OLEObject Type="Embed" ProgID="Word.Picture.8" ShapeID="_x0000_i1026" DrawAspect="Content" ObjectID="_1724480407" r:id="rId2"/>
            </w:object>
          </w:r>
        </w:p>
      </w:tc>
      <w:tc>
        <w:tcPr>
          <w:tcW w:w="3728"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MINISTERIE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VAN VERVOER, MOBILITEIT EN STEDELIJKE AGENDA</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MINISTERIE VAN ECOLOGISCHE TRANSITIE EN DEMOGRAFISCHE UITDAGING</w:t>
          </w:r>
        </w:p>
      </w:tc>
      <w:tc>
        <w:tcPr>
          <w:tcW w:w="2020"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546D77">
      <w:trPr>
        <w:cantSplit/>
        <w:trHeight w:hRule="exact" w:val="100"/>
        <w:jc w:val="center"/>
      </w:trPr>
      <w:tc>
        <w:tcPr>
          <w:tcW w:w="1357" w:type="dxa"/>
          <w:vMerge/>
        </w:tcPr>
        <w:p w14:paraId="1C13B7EF" w14:textId="77777777" w:rsidR="00546D77" w:rsidRDefault="00546D77">
          <w:pPr>
            <w:pStyle w:val="Header"/>
            <w:tabs>
              <w:tab w:val="clear" w:pos="4252"/>
              <w:tab w:val="clear" w:pos="8504"/>
            </w:tabs>
            <w:ind w:left="-41" w:right="1176"/>
          </w:pPr>
        </w:p>
      </w:tc>
      <w:tc>
        <w:tcPr>
          <w:tcW w:w="3728"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546D77">
      <w:trPr>
        <w:cantSplit/>
        <w:trHeight w:hRule="exact" w:val="427"/>
        <w:jc w:val="center"/>
      </w:trPr>
      <w:tc>
        <w:tcPr>
          <w:tcW w:w="1357" w:type="dxa"/>
          <w:vMerge/>
        </w:tcPr>
        <w:p w14:paraId="6B5B66CA" w14:textId="77777777" w:rsidR="00546D77" w:rsidRDefault="00546D77">
          <w:pPr>
            <w:pStyle w:val="Header"/>
            <w:tabs>
              <w:tab w:val="clear" w:pos="4252"/>
              <w:tab w:val="clear" w:pos="8504"/>
            </w:tabs>
            <w:ind w:left="-41" w:right="1176"/>
          </w:pPr>
        </w:p>
      </w:tc>
      <w:tc>
        <w:tcPr>
          <w:tcW w:w="3728"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REF.:</w:t>
          </w:r>
        </w:p>
      </w:tc>
    </w:tr>
    <w:tr w:rsidR="00546D77" w14:paraId="245FEC80" w14:textId="77777777" w:rsidTr="00546D77">
      <w:trPr>
        <w:cantSplit/>
        <w:trHeight w:hRule="exact" w:val="600"/>
        <w:jc w:val="center"/>
      </w:trPr>
      <w:tc>
        <w:tcPr>
          <w:tcW w:w="1357" w:type="dxa"/>
          <w:vMerge/>
        </w:tcPr>
        <w:p w14:paraId="28B5929C" w14:textId="77777777" w:rsidR="00546D77" w:rsidRDefault="00546D77">
          <w:pPr>
            <w:pStyle w:val="Header"/>
            <w:tabs>
              <w:tab w:val="clear" w:pos="4252"/>
              <w:tab w:val="clear" w:pos="8504"/>
            </w:tabs>
            <w:ind w:left="-41" w:right="1176"/>
          </w:pPr>
        </w:p>
      </w:tc>
      <w:tc>
        <w:tcPr>
          <w:tcW w:w="3728"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REF.C.M.:</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370F1"/>
    <w:rsid w:val="000760AB"/>
    <w:rsid w:val="000C089F"/>
    <w:rsid w:val="001F7365"/>
    <w:rsid w:val="002B64A6"/>
    <w:rsid w:val="004D344F"/>
    <w:rsid w:val="00513973"/>
    <w:rsid w:val="00546D77"/>
    <w:rsid w:val="00717198"/>
    <w:rsid w:val="007C6042"/>
    <w:rsid w:val="008577E8"/>
    <w:rsid w:val="008D3E08"/>
    <w:rsid w:val="00991C0F"/>
    <w:rsid w:val="009B305A"/>
    <w:rsid w:val="00B00277"/>
    <w:rsid w:val="00B00290"/>
    <w:rsid w:val="00B369EC"/>
    <w:rsid w:val="00BC3417"/>
    <w:rsid w:val="00BC6CAF"/>
    <w:rsid w:val="00C93CCC"/>
    <w:rsid w:val="00CE0018"/>
    <w:rsid w:val="00D60A1D"/>
    <w:rsid w:val="00E379B2"/>
    <w:rsid w:val="00E605F9"/>
    <w:rsid w:val="00EA33B6"/>
    <w:rsid w:val="00EB4797"/>
    <w:rsid w:val="00F00583"/>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nl-NL"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2</TotalTime>
  <Pages>17</Pages>
  <Words>7467</Words>
  <Characters>45776</Characters>
  <Application>Microsoft Office Word</Application>
  <DocSecurity>0</DocSecurity>
  <Lines>644</Lines>
  <Paragraphs>284</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52959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class='Internal'</cp:keywords>
  <dc:description/>
  <cp:lastModifiedBy>Ines Varvodic</cp:lastModifiedBy>
  <cp:revision>2</cp:revision>
  <cp:lastPrinted>2002-07-26T08:33:00Z</cp:lastPrinted>
  <dcterms:created xsi:type="dcterms:W3CDTF">2022-09-12T07:34:00Z</dcterms:created>
  <dcterms:modified xsi:type="dcterms:W3CDTF">2022-09-12T07:34:00Z</dcterms:modified>
</cp:coreProperties>
</file>