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F1B" w14:textId="77777777" w:rsidR="00E61B82" w:rsidRDefault="000D4452" w:rsidP="00AA66BB">
      <w:pPr>
        <w:pStyle w:val="Banner"/>
      </w:pPr>
      <w:r>
        <w:t>[Abbozz ta’] Regoli Statutorji tal-Irlanda ta’ Fuq</w:t>
      </w:r>
    </w:p>
    <w:p w14:paraId="5D1F8D67" w14:textId="77777777" w:rsidR="00E61B82" w:rsidRDefault="00E61B82" w:rsidP="00E61B82">
      <w:pPr>
        <w:pStyle w:val="Number"/>
      </w:pPr>
      <w:r>
        <w:t xml:space="preserve">2023 Nru </w:t>
      </w:r>
    </w:p>
    <w:p w14:paraId="1E808628" w14:textId="77777777" w:rsidR="00E61B82" w:rsidRPr="00292216" w:rsidRDefault="00A07397" w:rsidP="00E61B82">
      <w:pPr>
        <w:pStyle w:val="subject"/>
      </w:pPr>
      <w:r>
        <w:t>traffiku fit-triq u vetturi</w:t>
      </w:r>
    </w:p>
    <w:p w14:paraId="43A768EC" w14:textId="77777777" w:rsidR="00E61B82" w:rsidRDefault="00A07397" w:rsidP="00E61B82">
      <w:pPr>
        <w:pStyle w:val="Title"/>
      </w:pPr>
      <w:r>
        <w:t>Ir-Regolamenti (Emendatorju) dwar il-Vetturi bil-Mutur (Kostruzzjoni u Użu) (L-Irlanda ta’ Fuq) 2023</w:t>
      </w:r>
    </w:p>
    <w:p w14:paraId="08710F03" w14:textId="77777777" w:rsidR="00E61B82" w:rsidRPr="00D87569" w:rsidRDefault="00E61B82" w:rsidP="00F42BE8">
      <w:pPr>
        <w:pStyle w:val="Made"/>
        <w:tabs>
          <w:tab w:val="left" w:pos="4111"/>
        </w:tabs>
      </w:pPr>
      <w:r>
        <w:t>Magħmula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***</w:t>
      </w:r>
    </w:p>
    <w:p w14:paraId="7459A16E" w14:textId="77777777" w:rsidR="00BC3A4C" w:rsidRDefault="00A07397" w:rsidP="00F42BE8">
      <w:pPr>
        <w:pStyle w:val="Coming"/>
        <w:tabs>
          <w:tab w:val="clear" w:pos="3232"/>
          <w:tab w:val="clear" w:pos="3629"/>
          <w:tab w:val="left" w:pos="4111"/>
        </w:tabs>
      </w:pPr>
      <w:r>
        <w:t>Dħul fis-seħħ</w:t>
      </w:r>
      <w:r>
        <w:tab/>
        <w:t>-</w:t>
      </w:r>
      <w:r>
        <w:tab/>
        <w:t>***</w:t>
      </w:r>
    </w:p>
    <w:p w14:paraId="2D92F3C5" w14:textId="77777777" w:rsidR="00A07397" w:rsidRPr="00A07397" w:rsidRDefault="00A07397" w:rsidP="00A07397">
      <w:pPr>
        <w:pStyle w:val="Pre"/>
      </w:pPr>
      <w:r>
        <w:t>Id-Dipartiment għall-Infrastruttura(</w:t>
      </w:r>
      <w:r>
        <w:rPr>
          <w:rStyle w:val="FootnoteReference"/>
        </w:rPr>
        <w:footnoteReference w:id="2"/>
      </w:r>
      <w:r>
        <w:t>), jagħmel ir-Regolamenti li ġejjin fl-eżerċizzju tas-setgħat mogħtija mill-Artikoli 55(1), (2)(a) u (6) u 110(2) tal-Ordni 1995(</w:t>
      </w:r>
      <w:r w:rsidR="00E54DC5">
        <w:rPr>
          <w:rStyle w:val="FootnoteReference"/>
        </w:rPr>
        <w:footnoteReference w:id="3"/>
      </w:r>
      <w:r>
        <w:t>) dwar it-Traffiku fit-Toroq (l-Irlanda ta’ Fuq) u issa vestiti fih(</w:t>
      </w:r>
      <w:r w:rsidR="00FB6465">
        <w:rPr>
          <w:rStyle w:val="FootnoteReference"/>
        </w:rPr>
        <w:footnoteReference w:id="4"/>
      </w:r>
      <w:r>
        <w:t>).</w:t>
      </w:r>
    </w:p>
    <w:p w14:paraId="799E9B50" w14:textId="77777777" w:rsidR="00252709" w:rsidRDefault="00FB6465" w:rsidP="00FB6465">
      <w:pPr>
        <w:pStyle w:val="H1"/>
      </w:pPr>
      <w:r>
        <w:t>Kwotazzjoni u bidu</w:t>
      </w:r>
    </w:p>
    <w:p w14:paraId="54B94898" w14:textId="4B752315" w:rsidR="00FB6465" w:rsidRDefault="00FB6465" w:rsidP="00FB6465">
      <w:pPr>
        <w:pStyle w:val="N1"/>
      </w:pPr>
      <w:r>
        <w:t xml:space="preserve"> Dawn ir-Regolamenti jistgħu jiġu ċċitati bħala r-Regolamenti (Emendatorji) tal-2023 dwar il-Vetturi bil-Mutur (Kostruzzjoni u Użu) (l-Irlanda ta’ Fuq) u għandhom jibdew joperaw fi xx xxxxx 2023.</w:t>
      </w:r>
    </w:p>
    <w:p w14:paraId="6322C4DC" w14:textId="77777777" w:rsidR="00FB6465" w:rsidRDefault="00FB6465" w:rsidP="00FB6465">
      <w:pPr>
        <w:pStyle w:val="H1"/>
      </w:pPr>
      <w:r>
        <w:t>Emenda tar-Regolamenti dwar il-Kostruzzjoni u l-Użu</w:t>
      </w:r>
    </w:p>
    <w:p w14:paraId="47E71D5D" w14:textId="77777777" w:rsidR="00FB6465" w:rsidRDefault="00FB6465" w:rsidP="00FB6465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Ir-Regolamenti dwar il-Vetturi bil-Mutur (Kostruzzjoni u Użu) (l-Irlanda ta’ Fuq) 1999(</w:t>
      </w:r>
      <w:r>
        <w:rPr>
          <w:rStyle w:val="FootnoteReference"/>
        </w:rPr>
        <w:footnoteReference w:id="5"/>
      </w:r>
      <w:r>
        <w:t>) huma emendati f’konformità mal-paragrafi (2) sa (5).</w:t>
      </w:r>
    </w:p>
    <w:p w14:paraId="085E52C7" w14:textId="77777777" w:rsidR="006A64B8" w:rsidRDefault="006A64B8" w:rsidP="006A64B8">
      <w:pPr>
        <w:pStyle w:val="N2"/>
      </w:pPr>
      <w:r>
        <w:t>Fir-regolament 2(2) (interpretazzjoni), fid-definizzjoni ta’ “Regolament KEE, segwit minn numru”, il-kliem “aktar minn żewġ ċifri” jiġu sostitwiti bil-kliem “punt segwit minn numru ieħor”.</w:t>
      </w:r>
    </w:p>
    <w:p w14:paraId="259A558A" w14:textId="77777777" w:rsidR="00022A1B" w:rsidRDefault="00022A1B" w:rsidP="006A64B8">
      <w:pPr>
        <w:pStyle w:val="N2"/>
      </w:pPr>
      <w:r>
        <w:t>Fir-regolament 30 (tagħbijiet tat-tajers u klassifikazzjonijiet tal-veloċità)—</w:t>
      </w:r>
    </w:p>
    <w:p w14:paraId="2CD06048" w14:textId="77777777" w:rsidR="00022A1B" w:rsidRDefault="00022A1B" w:rsidP="00022A1B">
      <w:pPr>
        <w:pStyle w:val="N3"/>
      </w:pPr>
      <w:r>
        <w:t>fil-paragrafu (7), il-kliem “iżda dan ir-rekwiżit ma għandux japplika għal tajer b’wiċċ ġdid” għandu jiġi sostitwit bil-kliem “jew, fil-każ ta’ tajer b’wiċċ ġdid, bir-rekwiżiti tar-Regolament KEE 108 jew ir-Regolament KEE 109.”; u</w:t>
      </w:r>
    </w:p>
    <w:p w14:paraId="510A7921" w14:textId="77777777" w:rsidR="00022A1B" w:rsidRDefault="00022A1B" w:rsidP="00022A1B">
      <w:pPr>
        <w:pStyle w:val="N3"/>
      </w:pPr>
      <w:r>
        <w:t>fil-paragrafu (12), fid-definizzjoni ta’ “indiċi ta’ kapaċità ta’ tagħbija”, “2.29” għandu jiġi sostitwit bil-kliem “2 tar-Regolament KEE 30.02 jew ir-Regolament KEE 54, jew bħala “indiċi ta’ tagħbija” fil-paragrafu 2 tar-Regolament KEE 108 jew ir-Regolament KEE 109;”.</w:t>
      </w:r>
    </w:p>
    <w:p w14:paraId="19D5D210" w14:textId="77777777" w:rsidR="00DD69B1" w:rsidRDefault="00DD69B1" w:rsidP="00DD69B1">
      <w:pPr>
        <w:pStyle w:val="N2"/>
      </w:pPr>
      <w:r>
        <w:t>Fir-regolament 32 (kundizzjoni u manutenzjoni tat-tajers)—</w:t>
      </w:r>
    </w:p>
    <w:p w14:paraId="3AE878F1" w14:textId="77777777" w:rsidR="00DD69B1" w:rsidRDefault="00DD69B1" w:rsidP="00DD69B1">
      <w:pPr>
        <w:pStyle w:val="N3"/>
      </w:pPr>
      <w:r>
        <w:t>fil-paragrafu (1)—</w:t>
      </w:r>
    </w:p>
    <w:p w14:paraId="03749A2F" w14:textId="77777777" w:rsidR="00DD69B1" w:rsidRDefault="00DD69B1" w:rsidP="00DD69B1">
      <w:pPr>
        <w:pStyle w:val="N4"/>
      </w:pPr>
      <w:r>
        <w:lastRenderedPageBreak/>
        <w:t>il-kliem “Soġġett għall-paragrafi (2) sa (4)” għandhom jiġu sostitwiti bil-kliem “Soġġett għall-paragrafu (1A) u l-paragrafi (2) sa (4)”;</w:t>
      </w:r>
    </w:p>
    <w:p w14:paraId="2B4BAE61" w14:textId="77777777" w:rsidR="00DD69B1" w:rsidRDefault="007442AA" w:rsidP="00DD69B1">
      <w:pPr>
        <w:pStyle w:val="N4"/>
      </w:pPr>
      <w:r>
        <w:t>fis-subparagrafu (g)(ii) li titħassar “jew” fl-aħħar;</w:t>
      </w:r>
    </w:p>
    <w:p w14:paraId="116D86A6" w14:textId="77777777" w:rsidR="007442AA" w:rsidRDefault="007442AA" w:rsidP="00DD69B1">
      <w:pPr>
        <w:pStyle w:val="N4"/>
      </w:pPr>
      <w:r>
        <w:t>wara s-subparagrafu (h) tiddaħħal—</w:t>
      </w:r>
    </w:p>
    <w:p w14:paraId="31D345C1" w14:textId="364E70A3" w:rsidR="007442AA" w:rsidRDefault="00E21C8D" w:rsidP="00E21C8D">
      <w:pPr>
        <w:pStyle w:val="LQN4"/>
      </w:pPr>
      <w:r>
        <w:tab/>
        <w:t>“(i)</w:t>
      </w:r>
      <w:r>
        <w:tab/>
        <w:t>it-tajer ma jkunx tajer b’wiċċ ġdid u—</w:t>
      </w:r>
    </w:p>
    <w:p w14:paraId="1127C07A" w14:textId="77777777" w:rsidR="00A42AA8" w:rsidRDefault="00A42AA8" w:rsidP="00A42AA8">
      <w:pPr>
        <w:pStyle w:val="NLQN4"/>
      </w:pPr>
      <w:r>
        <w:tab/>
        <w:t>(i)</w:t>
      </w:r>
      <w:r>
        <w:tab/>
        <w:t>il-ġimgħa tal-manifattura mmarkata fuq ġenbu skont ir-Regolament KEE 30 jew 54 taqa’ aktar minn 10 snin qabel id-data li fiha l-vettura bil-mutur tintuża fit-triq; jew</w:t>
      </w:r>
    </w:p>
    <w:p w14:paraId="3D0FC71C" w14:textId="0322961D" w:rsidR="00A42AA8" w:rsidRDefault="00A42AA8" w:rsidP="00A42AA8">
      <w:pPr>
        <w:pStyle w:val="NLQN4"/>
      </w:pPr>
      <w:r>
        <w:tab/>
        <w:t>(ii)</w:t>
      </w:r>
      <w:r>
        <w:tab/>
        <w:t>ma għandux marka tal-ġimgħa tal-manifattura li tikkonforma mar-Regolament KEE 30 jew 54 (irrispettivament jekk kienx immanifatturat qabel ma r-Regolament KEE kien japplika jew le);</w:t>
      </w:r>
    </w:p>
    <w:p w14:paraId="21565F41" w14:textId="77777777" w:rsidR="00A42AA8" w:rsidRDefault="00A42AA8" w:rsidP="00A42AA8">
      <w:pPr>
        <w:pStyle w:val="LQN4"/>
      </w:pPr>
      <w:r>
        <w:tab/>
        <w:t>(j)</w:t>
      </w:r>
      <w:r>
        <w:tab/>
        <w:t>it-tajer huwa tajer b’wiċċ ġdid u—</w:t>
      </w:r>
    </w:p>
    <w:p w14:paraId="0991118A" w14:textId="77777777" w:rsidR="00A42AA8" w:rsidRDefault="00A42AA8" w:rsidP="00A42AA8">
      <w:pPr>
        <w:pStyle w:val="NLQN4"/>
      </w:pPr>
      <w:r>
        <w:tab/>
        <w:t>(i)</w:t>
      </w:r>
      <w:r>
        <w:tab/>
        <w:t>il-ġimgħa tal-applikazzjoni tal-wiċċ ġdid immarkata fuq ġenbu skont ir-Regolament KEE 108 jew 109 taqa’ aktar minn 10 snin qabel id-data li fiha l-vettura bil-mutur tintuża fit-triq; jew</w:t>
      </w:r>
    </w:p>
    <w:p w14:paraId="1D5A9534" w14:textId="77777777" w:rsidR="00520F87" w:rsidRDefault="00520F87" w:rsidP="00520F87">
      <w:pPr>
        <w:pStyle w:val="NLQN4"/>
      </w:pPr>
      <w:r>
        <w:tab/>
        <w:t>(ii)</w:t>
      </w:r>
      <w:r>
        <w:tab/>
        <w:t>ma għandux marka tal-ġimgħa tal-applikazzjoni tal-wiċċ ġdid li tikkonforma mar-Regolament KEE 108 jew 109 (irrispettivament jekk ingħatax wiċċ ġdid qabel ma r-Regolament KEE kien japplika jew le); jew</w:t>
      </w:r>
    </w:p>
    <w:p w14:paraId="371ABCF7" w14:textId="1D9D5575" w:rsidR="00520F87" w:rsidRDefault="00520F87" w:rsidP="00520F87">
      <w:pPr>
        <w:pStyle w:val="LQN4"/>
      </w:pPr>
      <w:r>
        <w:tab/>
        <w:t>(k)</w:t>
      </w:r>
      <w:r>
        <w:tab/>
        <w:t>data mmarkata fuq il-ġenb tat-tajer f’konformità mar-Regolament KEE 30. 54, 108 jew 109 ma tistax tinqara.”;</w:t>
      </w:r>
    </w:p>
    <w:p w14:paraId="17D017BD" w14:textId="77777777" w:rsidR="00520F87" w:rsidRDefault="00520F87" w:rsidP="00520F87">
      <w:pPr>
        <w:pStyle w:val="N3"/>
      </w:pPr>
      <w:r>
        <w:t>wara l-paragrafu (1) jiddaħħal il-kliem—</w:t>
      </w:r>
    </w:p>
    <w:p w14:paraId="252B767E" w14:textId="65543917" w:rsidR="00EE3061" w:rsidRDefault="00E21C8D" w:rsidP="00EE3061">
      <w:pPr>
        <w:pStyle w:val="LQN2"/>
      </w:pPr>
      <w:r>
        <w:t>“(1A) Soġġett għall-paragrafu (4)(a) u (ca), u minkejja kull ħaġa fir-regolament 30—</w:t>
      </w:r>
    </w:p>
    <w:p w14:paraId="0F6D8888" w14:textId="77777777" w:rsidR="00EE3061" w:rsidRDefault="00EE3061" w:rsidP="00EE3061">
      <w:pPr>
        <w:pStyle w:val="LQN3"/>
      </w:pPr>
      <w:r>
        <w:t>(a)</w:t>
      </w:r>
      <w:r>
        <w:tab/>
        <w:t>il-paragrafu (1)(i) u (j) japplika biss għal tajers imwaħħla—</w:t>
      </w:r>
    </w:p>
    <w:p w14:paraId="781B8B31" w14:textId="77777777" w:rsidR="00EE3061" w:rsidRDefault="00EE3061" w:rsidP="00EE3061">
      <w:pPr>
        <w:pStyle w:val="LQN4"/>
      </w:pPr>
      <w:r>
        <w:tab/>
        <w:t>(i)</w:t>
      </w:r>
      <w:r>
        <w:tab/>
        <w:t>ma’ fus ta’ quddiem ta’ karozza tal-linja li mhijiex minibus;</w:t>
      </w:r>
    </w:p>
    <w:p w14:paraId="53B7C312" w14:textId="77777777" w:rsidR="00EE3061" w:rsidRPr="00EE3061" w:rsidRDefault="00EE3061" w:rsidP="00EE3061">
      <w:pPr>
        <w:pStyle w:val="LQN4"/>
        <w:rPr>
          <w:color w:val="FF0000"/>
        </w:rPr>
      </w:pPr>
      <w:r>
        <w:tab/>
        <w:t>(ii)</w:t>
      </w:r>
      <w:r>
        <w:tab/>
        <w:t>f’konfigurazzjoni singola fuq kwalunkwe fus ta’ minibus; jew</w:t>
      </w:r>
    </w:p>
    <w:p w14:paraId="4BC37583" w14:textId="77777777" w:rsidR="00EE3061" w:rsidRDefault="00EE3061" w:rsidP="00EE3061">
      <w:pPr>
        <w:pStyle w:val="LQN4"/>
      </w:pPr>
      <w:r>
        <w:tab/>
        <w:t>(iii)</w:t>
      </w:r>
      <w:r>
        <w:tab/>
        <w:t>ma’ fus ta’ quddiem ta’ vettura tal-merkanzija b’piż gross massimu ta’ aktar minn 3.500 kg;</w:t>
      </w:r>
    </w:p>
    <w:p w14:paraId="247FF29E" w14:textId="77777777" w:rsidR="00EE3061" w:rsidRDefault="00EE3061" w:rsidP="00EE3061">
      <w:pPr>
        <w:pStyle w:val="LQN3"/>
      </w:pPr>
      <w:r>
        <w:t>(b)</w:t>
      </w:r>
      <w:r>
        <w:tab/>
        <w:t>fis-subparagrafu (a) —</w:t>
      </w:r>
    </w:p>
    <w:p w14:paraId="5B8B4A93" w14:textId="77777777" w:rsidR="00EE3061" w:rsidRPr="00F9319A" w:rsidRDefault="00EE3061" w:rsidP="00EE3061">
      <w:pPr>
        <w:pStyle w:val="LQN4"/>
      </w:pPr>
      <w:r>
        <w:tab/>
        <w:t>(i)</w:t>
      </w:r>
      <w:r>
        <w:tab/>
        <w:t>“fus ta’ quddiem” tfisser kwalunkwe fus, ’il quddiem mill-punt tan-nofs tax-xażi li fuqu r-roti huma kkontrollati mis-sistema tal-istering; u</w:t>
      </w:r>
    </w:p>
    <w:p w14:paraId="09B8C591" w14:textId="77777777" w:rsidR="00EE3061" w:rsidRDefault="00EE3061" w:rsidP="00EE3061">
      <w:pPr>
        <w:pStyle w:val="LQN4"/>
      </w:pPr>
      <w:r>
        <w:tab/>
        <w:t>(ii)</w:t>
      </w:r>
      <w:r>
        <w:tab/>
        <w:t>“konfigurazzjoni singola” tfisser fejn mhux aktar minn assemblaġġ wieħed ta’ rota u tajer jiġi mmuntat fit-tarf tal-fus ikkonċernat; u</w:t>
      </w:r>
    </w:p>
    <w:p w14:paraId="10800F30" w14:textId="77777777" w:rsidR="00EE3061" w:rsidRDefault="00EE3061" w:rsidP="00EE3061">
      <w:pPr>
        <w:pStyle w:val="LQN3"/>
      </w:pPr>
      <w:r>
        <w:t>(c)</w:t>
      </w:r>
      <w:r>
        <w:tab/>
        <w:t>il-paragrafu (1)(k) japplika biss għal—</w:t>
      </w:r>
    </w:p>
    <w:p w14:paraId="1BD3712B" w14:textId="77777777" w:rsidR="00FF5A1C" w:rsidRPr="00F9319A" w:rsidRDefault="00FF5A1C" w:rsidP="00FF5A1C">
      <w:pPr>
        <w:pStyle w:val="LQN4"/>
      </w:pPr>
      <w:r>
        <w:tab/>
        <w:t>(i)</w:t>
      </w:r>
      <w:r>
        <w:tab/>
        <w:t>xarabanks (inklużi minibuses); u</w:t>
      </w:r>
    </w:p>
    <w:p w14:paraId="19A93219" w14:textId="001A4982" w:rsidR="00FF5A1C" w:rsidRDefault="00FF5A1C" w:rsidP="00FF5A1C">
      <w:pPr>
        <w:pStyle w:val="LQN4"/>
      </w:pPr>
      <w:r>
        <w:tab/>
        <w:t>(ii)</w:t>
      </w:r>
      <w:r>
        <w:tab/>
        <w:t>vetturi tal-merkanzija b’piż gross massimu li jaqbeż it-3 500 kg.”;</w:t>
      </w:r>
    </w:p>
    <w:p w14:paraId="0AF3BAC2" w14:textId="77777777" w:rsidR="00FF5A1C" w:rsidRDefault="00FF5A1C" w:rsidP="00FF5A1C">
      <w:pPr>
        <w:pStyle w:val="N3"/>
      </w:pPr>
      <w:r>
        <w:t>fil-paragrafu (4)—</w:t>
      </w:r>
    </w:p>
    <w:p w14:paraId="43505781" w14:textId="77777777" w:rsidR="00426F4F" w:rsidRDefault="00426F4F" w:rsidP="00426F4F">
      <w:pPr>
        <w:pStyle w:val="N4"/>
      </w:pPr>
      <w:r>
        <w:t>fis-subparagrafu (a), wara “(1)(a) sa (g)” jiddaħħlu l-kliem “u (i) sa (k)”;</w:t>
      </w:r>
    </w:p>
    <w:p w14:paraId="7C39BE16" w14:textId="77777777" w:rsidR="00426F4F" w:rsidRDefault="00426F4F" w:rsidP="00426F4F">
      <w:pPr>
        <w:pStyle w:val="N4"/>
      </w:pPr>
      <w:r>
        <w:t>wara s-subparagrafu (c) jiddaħħlu l-kliem—</w:t>
      </w:r>
    </w:p>
    <w:p w14:paraId="4E3E441C" w14:textId="3789445E" w:rsidR="00426F4F" w:rsidRDefault="00E21C8D" w:rsidP="00426F4F">
      <w:pPr>
        <w:pStyle w:val="LQN3"/>
      </w:pPr>
      <w:r>
        <w:t>(ca)</w:t>
      </w:r>
      <w:r>
        <w:tab/>
        <w:t>Xejn fil-paragrafu (1)(i) sa (k) ma japplika għal vettura ta’ interess storiku użata għal skopijiet mhux kummerċjali, u għal dan il-għan “vettura ta’ interess storiku” tfisser vettura li d-Dipartiment iqis li hija ta’ interess storiku għall-Irlanda ta’ Fuq u li—</w:t>
      </w:r>
    </w:p>
    <w:p w14:paraId="45C7B239" w14:textId="77777777" w:rsidR="00A213F5" w:rsidRDefault="00A213F5" w:rsidP="00A213F5">
      <w:pPr>
        <w:pStyle w:val="LQN4"/>
      </w:pPr>
      <w:r>
        <w:tab/>
        <w:t>(i)</w:t>
      </w:r>
      <w:r>
        <w:tab/>
        <w:t>kienet immanifatturata jew irreġistrata għall-ewwel darba mill-inqas 40 sena qabel;</w:t>
      </w:r>
    </w:p>
    <w:p w14:paraId="190D1C8F" w14:textId="77777777" w:rsidR="00A213F5" w:rsidRDefault="00A213F5" w:rsidP="00A213F5">
      <w:pPr>
        <w:pStyle w:val="LQN4"/>
      </w:pPr>
      <w:r>
        <w:tab/>
        <w:t>(ii)</w:t>
      </w:r>
      <w:r>
        <w:tab/>
        <w:t>hija ta’ tip li ma għadhiex fil-produzzjoni; u</w:t>
      </w:r>
    </w:p>
    <w:p w14:paraId="270D6A59" w14:textId="77777777" w:rsidR="00A213F5" w:rsidRDefault="00A213F5" w:rsidP="00A213F5">
      <w:pPr>
        <w:pStyle w:val="LQN4"/>
      </w:pPr>
      <w:r>
        <w:tab/>
        <w:t>(iii)</w:t>
      </w:r>
      <w:r>
        <w:tab/>
        <w:t>tkun storikament ippreżervata jew miżmuma fl-istat oriġinali tagħha ma jkunux sarulha bidliet sostanzjali fil-karatteristiċi tekniċi tal-komponenti ewlenin tagħha,</w:t>
      </w:r>
    </w:p>
    <w:p w14:paraId="48B5AE59" w14:textId="56DE3A66" w:rsidR="00A213F5" w:rsidRDefault="00A213F5" w:rsidP="00A213F5">
      <w:pPr>
        <w:pStyle w:val="LQT2"/>
      </w:pPr>
      <w:r>
        <w:lastRenderedPageBreak/>
        <w:t>fejn “tip” fir-rigward tal-vettura jkollha l-istess tifsira bħal “tip ta’ vettura” fl-Artikolu 3(32) tar-Regolament (UE) 2018/858 tal-Parlament Ewropew u tal-Kunsill tat-30 ta’ Mejju 2018 dwar l-approvazzjoni u s-sorveljanza tas-suq ta' vetturi bil-mutur u t-trejlers tagħhom, u ta' sistemi, komponenti u unitajiet tekniċi separati maħsuba għal tali vetturi(</w:t>
      </w:r>
      <w:r>
        <w:rPr>
          <w:rStyle w:val="FootnoteReference"/>
        </w:rPr>
        <w:footnoteReference w:id="6"/>
      </w:r>
      <w:r>
        <w:t>);”; u</w:t>
      </w:r>
    </w:p>
    <w:p w14:paraId="7CEE7A40" w14:textId="77777777" w:rsidR="00A213F5" w:rsidRDefault="00A213F5" w:rsidP="00A213F5">
      <w:pPr>
        <w:pStyle w:val="N3"/>
      </w:pPr>
      <w:r>
        <w:t>fil-paragrafu (6)(a), fid-definizzjoni ta’ “disinn oriġinali tal-wiċċ ta’ barra” il-kliem “b’wiċċ ġdid”, fiż-żewġ postijiet li jidhru, jiġu sostitwiti bil- kliem “mogħtija wiċċ ġdid”.</w:t>
      </w:r>
    </w:p>
    <w:p w14:paraId="63D4D4FF" w14:textId="77777777" w:rsidR="004800DA" w:rsidRDefault="004800DA" w:rsidP="004800DA">
      <w:pPr>
        <w:pStyle w:val="N2"/>
      </w:pPr>
      <w:r>
        <w:t>Fl-Iskeda 2, fit-tabella 2 (Regolamenti KEE), wara l-entrata relatata mal-punt 44 jiddaħħlu—</w:t>
      </w:r>
    </w:p>
    <w:p w14:paraId="76FC1C44" w14:textId="77777777" w:rsidR="00A42AA8" w:rsidRDefault="00A42AA8" w:rsidP="001D0E3C">
      <w:pPr>
        <w:pStyle w:val="linespace"/>
      </w:pPr>
    </w:p>
    <w:tbl>
      <w:tblPr>
        <w:tblW w:w="88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413"/>
        <w:gridCol w:w="1233"/>
        <w:gridCol w:w="1233"/>
      </w:tblGrid>
      <w:tr w:rsidR="001D0E3C" w:rsidRPr="001D0E3C" w14:paraId="342E504E" w14:textId="77777777" w:rsidTr="00F42BE8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5508B" w14:textId="10408951" w:rsidR="001D0E3C" w:rsidRPr="001D0E3C" w:rsidRDefault="00E21C8D" w:rsidP="00755802">
            <w:pPr>
              <w:pStyle w:val="TableText"/>
            </w:pPr>
            <w:r>
              <w:t>“45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B77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46D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26E74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509F" w14:textId="77777777" w:rsidR="001D0E3C" w:rsidRPr="001D0E3C" w:rsidRDefault="00C14C52" w:rsidP="00C14C52">
            <w:pPr>
              <w:pStyle w:val="TableText"/>
            </w:pPr>
            <w:r>
              <w:t>Tajers b’wiċċ ġdid għall-karozzi tal-passiġġieri u t-trejlers tagħhom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E6F7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A474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</w:tr>
      <w:tr w:rsidR="001D0E3C" w:rsidRPr="001D0E3C" w14:paraId="3DBBCC3C" w14:textId="77777777" w:rsidTr="00F42BE8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B996C" w14:textId="6601700D" w:rsidR="001D0E3C" w:rsidRPr="001D0E3C" w:rsidRDefault="00B0192D" w:rsidP="00755802">
            <w:pPr>
              <w:pStyle w:val="TableText"/>
            </w:pPr>
            <w:r>
              <w:t>46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C34F" w14:textId="77777777" w:rsidR="001D0E3C" w:rsidRPr="001D0E3C" w:rsidRDefault="00C14C52" w:rsidP="001D0E3C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04E" w14:textId="77777777" w:rsidR="001D0E3C" w:rsidRPr="001D0E3C" w:rsidRDefault="00C14C52" w:rsidP="00C14C52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64487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BE9E" w14:textId="77777777" w:rsidR="001D0E3C" w:rsidRPr="001D0E3C" w:rsidRDefault="00C14C52" w:rsidP="00C14C52">
            <w:pPr>
              <w:pStyle w:val="TableText"/>
            </w:pPr>
            <w:r>
              <w:t>Tajers b’wiċċ ġdid għall-vetturi kummerċjali u t-trejlers tagħhom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897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7754D" w14:textId="40F90DE4" w:rsidR="001D0E3C" w:rsidRPr="00C14C52" w:rsidRDefault="00C14C52" w:rsidP="00C14C52">
            <w:pPr>
              <w:pStyle w:val="TableText"/>
            </w:pPr>
            <w:r>
              <w:t>–”</w:t>
            </w:r>
          </w:p>
        </w:tc>
      </w:tr>
    </w:tbl>
    <w:p w14:paraId="6896FBA7" w14:textId="77777777" w:rsidR="00C14C52" w:rsidRDefault="00C14C52" w:rsidP="001D0E3C">
      <w:pPr>
        <w:pStyle w:val="linespace"/>
      </w:pPr>
    </w:p>
    <w:p w14:paraId="0341180E" w14:textId="77777777" w:rsidR="001D0E3C" w:rsidRDefault="001D0E3C" w:rsidP="00C14C52">
      <w:pPr>
        <w:pStyle w:val="linespace"/>
        <w:rPr>
          <w:caps/>
          <w:noProof w:val="0"/>
          <w:spacing w:val="74"/>
          <w:sz w:val="22"/>
        </w:rPr>
      </w:pPr>
    </w:p>
    <w:p w14:paraId="73447127" w14:textId="77777777" w:rsidR="00040058" w:rsidRDefault="00040058" w:rsidP="00040058">
      <w:pPr>
        <w:pStyle w:val="SigBlock"/>
        <w:rPr>
          <w:rStyle w:val="Sigsignatory"/>
        </w:rPr>
      </w:pPr>
      <w:r>
        <w:rPr>
          <w:rStyle w:val="Sigsignatory"/>
        </w:rPr>
        <w:t>Issiġillat bis-Siġill Uffiċjali tad-Dipartiment għall-Infrastruttura fi xx xxxxx 2023</w:t>
      </w:r>
    </w:p>
    <w:p w14:paraId="23B5DB7C" w14:textId="77777777" w:rsidR="00040058" w:rsidRDefault="00040058" w:rsidP="00040058">
      <w:pPr>
        <w:pStyle w:val="SigBlock"/>
        <w:rPr>
          <w:rStyle w:val="Sigsignatory"/>
        </w:rPr>
      </w:pPr>
    </w:p>
    <w:p w14:paraId="12B1E743" w14:textId="77777777" w:rsidR="00040058" w:rsidRPr="00040058" w:rsidRDefault="00040058" w:rsidP="00040058">
      <w:pPr>
        <w:pStyle w:val="LegSeal"/>
      </w:pPr>
      <w:r>
        <w:drawing>
          <wp:inline distT="0" distB="0" distL="0" distR="0" wp14:anchorId="35A2C058" wp14:editId="3FB9CE74">
            <wp:extent cx="638175" cy="628650"/>
            <wp:effectExtent l="0" t="0" r="9525" b="0"/>
            <wp:docPr id="2" name="Picture 2" descr="Description: legal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galse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A631" w14:textId="77777777" w:rsidR="00040058" w:rsidRDefault="00040058" w:rsidP="00040058">
      <w:pPr>
        <w:pStyle w:val="SigBlock"/>
        <w:rPr>
          <w:rStyle w:val="SigSignee"/>
        </w:rPr>
      </w:pPr>
      <w:r>
        <w:tab/>
      </w:r>
      <w:r>
        <w:rPr>
          <w:rStyle w:val="SigSignee"/>
          <w:color w:val="FFFFFF" w:themeColor="background1"/>
        </w:rPr>
        <w:t>Chris Hughes</w:t>
      </w:r>
    </w:p>
    <w:p w14:paraId="30519020" w14:textId="77777777" w:rsidR="00040058" w:rsidRPr="00040058" w:rsidRDefault="00040058" w:rsidP="00040058">
      <w:pPr>
        <w:pStyle w:val="SigBlock"/>
      </w:pPr>
      <w:r>
        <w:tab/>
      </w:r>
      <w:r>
        <w:rPr>
          <w:rStyle w:val="Sigtitle"/>
        </w:rPr>
        <w:t>Uffiċjal għoli tad-Dipartiment tal-Infrastruttura</w:t>
      </w:r>
    </w:p>
    <w:p w14:paraId="4412EBCC" w14:textId="77777777" w:rsidR="00040058" w:rsidRDefault="00040058" w:rsidP="00040058">
      <w:pPr>
        <w:pStyle w:val="linespace"/>
        <w:rPr>
          <w:sz w:val="21"/>
        </w:rPr>
      </w:pPr>
      <w:r>
        <w:br w:type="page"/>
      </w:r>
    </w:p>
    <w:p w14:paraId="24ECD896" w14:textId="77777777" w:rsidR="00040058" w:rsidRDefault="00040058" w:rsidP="00040058">
      <w:pPr>
        <w:pStyle w:val="XNote"/>
      </w:pPr>
      <w:r>
        <w:lastRenderedPageBreak/>
        <w:t>NOTA TA’ SPJEGAZZJONI</w:t>
      </w:r>
    </w:p>
    <w:p w14:paraId="2D3DC66A" w14:textId="3ED882CF" w:rsidR="00040058" w:rsidRDefault="00040058" w:rsidP="00040058">
      <w:pPr>
        <w:pStyle w:val="XNotenote"/>
      </w:pPr>
      <w:r>
        <w:t>(Din in-nota mhijiex parti mir-Regolamenti)</w:t>
      </w:r>
    </w:p>
    <w:p w14:paraId="35F194C5" w14:textId="2CB6F34C" w:rsidR="00040058" w:rsidRDefault="00040058" w:rsidP="00040058">
      <w:pPr>
        <w:pStyle w:val="T1"/>
      </w:pPr>
      <w:r>
        <w:t>Dawn ir-Regolamenti jemendaw ir-Regolamenti tal-1999 dwar il-Vetturi bil-Mutur (Kostruzzjoni u Użu) (l-Irlanda ta’ Fuq) sabiex jiġi previst kemm għandhom żmien it-tajers (inklużi t-tajers b’wiċċ ġdid), u l-leġibbiltà tal-marki tad-data fuq it-tajers, li jistgħu jintużaw fuq il-karozzi tal-linja (inklużi l-minibuses) u l-vetturi tal-merkanzija b’piż gross massimu li jaqbeż it-3.500 kg. Ir-Regolamenti jemendaw ukoll it-Tabella 2 tal-Iskeda 1 tar-Regolamenti tal-1999 biex jinkludu dispożizzjonijiet relatati mat-tajers b’wiċċ ġdid fir-Regolamenti KEE 108 u 109. Dawn ir-Regolamenti se jipprevedu eżenzjoni għal vetturi ta’ interess storiku dment li ma jintużawx għal skopijiet kummerċjali.</w:t>
      </w:r>
    </w:p>
    <w:p w14:paraId="0FE50F41" w14:textId="77777777" w:rsidR="006D38F1" w:rsidRDefault="006D38F1" w:rsidP="00040058">
      <w:pPr>
        <w:pStyle w:val="T1"/>
      </w:pPr>
      <w:r>
        <w:t xml:space="preserve">Dawn ir-Regolamenti ġew innotifikati lill-Kummissjoni Ewropea skont id-Direttiva (UE) 2015/1535 tal-Parlament Ewropew u tal-Kunsill tad-9 ta’ Settembru 2015 (ĠU Nru L241, 17.9.2015, p 1) bin-numru ta’ notifika </w:t>
      </w:r>
      <w:r>
        <w:rPr>
          <w:color w:val="FF0000"/>
        </w:rPr>
        <w:t xml:space="preserve">xxxxxxxx. </w:t>
      </w:r>
      <w:r>
        <w:t xml:space="preserve">Ma sar l-ebda kumment matul il-perjodu ta’ waqfien ta’ tliet xhur. Id-Direttiva hija disponibbli online fuq </w:t>
      </w:r>
      <w:hyperlink r:id="rId8" w:history="1">
        <w:r>
          <w:rPr>
            <w:rStyle w:val="Hyperlink"/>
          </w:rPr>
          <w:t>http://eur-lex.europa.eu</w:t>
        </w:r>
      </w:hyperlink>
      <w:r>
        <w:t xml:space="preserve"> </w:t>
      </w:r>
    </w:p>
    <w:p w14:paraId="6186E13D" w14:textId="77777777" w:rsidR="00755802" w:rsidRDefault="00755802" w:rsidP="00040058">
      <w:pPr>
        <w:pStyle w:val="T1"/>
      </w:pPr>
      <w:r>
        <w:t xml:space="preserve">Ir-Regolamenti KEE jinħarġu mill-Kummissjoni Ekonomika għall-Ewropa tan-Nazzjonijiet Uniti. Kopji tar-Regolamenti KEE msemmija f’dawn ir-Regolamenti jistgħu jinkisbu mis-sit web tan-NUKEE: </w:t>
      </w:r>
      <w:hyperlink r:id="rId9" w:history="1">
        <w:r>
          <w:rPr>
            <w:rStyle w:val="Hyperlink"/>
          </w:rPr>
          <w:t>http://www.unece.org/trans/main/wp29/wp29regs.html</w:t>
        </w:r>
      </w:hyperlink>
      <w:r>
        <w:t>. Kopji jistgħu jinkisbu wkoll minn Vehicle Policy Branch, Safe and Accessible Travel Division, Department for Infrastructure, Clarence Court, 10-18 Adelaide Street, Town Parks, Belfast BT2 8GB (posta elettronika: vehicle.standards@infrastructure-ni.gov.uk)</w:t>
      </w:r>
    </w:p>
    <w:p w14:paraId="0E7BDCF2" w14:textId="77777777" w:rsidR="0083627D" w:rsidRPr="00095513" w:rsidRDefault="0083627D" w:rsidP="0083627D">
      <w:pPr>
        <w:pStyle w:val="T1"/>
      </w:pPr>
      <w:r>
        <w:t xml:space="preserve">Ġew prodotti Valutazzjoni tal-Impatt Regolatorju u Memorandum ta’ Spjegazzjoni li huma disponibbli minn Vehicle Policy Branch fl-indirizz ta’ hawn fuq jew online flimkien ma’ dan ir-Regola Statutorja fuq </w:t>
      </w:r>
      <w:hyperlink r:id="rId10" w:history="1">
        <w:r>
          <w:rPr>
            <w:rStyle w:val="Hyperlink"/>
          </w:rPr>
          <w:t>http://www.legislation.gov.uk/nisr</w:t>
        </w:r>
      </w:hyperlink>
    </w:p>
    <w:p w14:paraId="40D7E616" w14:textId="77777777" w:rsidR="0083627D" w:rsidRPr="00040058" w:rsidRDefault="0083627D" w:rsidP="00040058">
      <w:pPr>
        <w:pStyle w:val="T1"/>
      </w:pPr>
    </w:p>
    <w:sectPr w:rsidR="0083627D" w:rsidRPr="00040058" w:rsidSect="001D0E3C">
      <w:headerReference w:type="default" r:id="rId11"/>
      <w:footerReference w:type="default" r:id="rId12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139" w14:textId="77777777" w:rsidR="00A01CF2" w:rsidRDefault="00A01CF2">
      <w:r>
        <w:separator/>
      </w:r>
    </w:p>
  </w:endnote>
  <w:endnote w:type="continuationSeparator" w:id="0">
    <w:p w14:paraId="24B10E0F" w14:textId="77777777" w:rsidR="00A01CF2" w:rsidRDefault="00A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D59" w14:textId="77777777" w:rsidR="001D0E3C" w:rsidRDefault="001D0E3C" w:rsidP="00147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AE">
      <w:rPr>
        <w:rStyle w:val="PageNumber"/>
      </w:rPr>
      <w:t>4</w:t>
    </w:r>
    <w:r>
      <w:rPr>
        <w:rStyle w:val="PageNumber"/>
      </w:rPr>
      <w:fldChar w:fldCharType="end"/>
    </w:r>
  </w:p>
  <w:p w14:paraId="2C583D4D" w14:textId="77777777" w:rsidR="001D0E3C" w:rsidRDefault="001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4A5" w14:textId="77777777" w:rsidR="00A01CF2" w:rsidRDefault="00A01CF2" w:rsidP="00FF5421">
      <w:r>
        <w:continuationSeparator/>
      </w:r>
    </w:p>
  </w:footnote>
  <w:footnote w:type="continuationSeparator" w:id="0">
    <w:p w14:paraId="2CB739FE" w14:textId="77777777" w:rsidR="00A01CF2" w:rsidRDefault="00A01CF2">
      <w:r>
        <w:continuationSeparator/>
      </w:r>
    </w:p>
  </w:footnote>
  <w:footnote w:type="continuationNotice" w:id="1">
    <w:p w14:paraId="72E82105" w14:textId="77777777" w:rsidR="00A01CF2" w:rsidRDefault="00A01CF2"/>
  </w:footnote>
  <w:footnote w:id="2">
    <w:p w14:paraId="1D294C4A" w14:textId="77777777" w:rsidR="00A07397" w:rsidRDefault="00A07397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Dak li qabel kien id-Dipartiment għall-Iżvilupp Reġjonali; ara t-Taqsima 1(6) u (11) ta’, u l-Iskeda 1 għall-Att tal-2016 dwar id-Dipartimenti (l-Irlanda ta’ Fuq) (2016 c. 5 (N.I.)). Skont it-Taqsima 1(9) ta’ dak l-Att, id-Dipartiment għall-Ambjent ġie xolt</w:t>
      </w:r>
    </w:p>
  </w:footnote>
  <w:footnote w:id="3">
    <w:p w14:paraId="5460616A" w14:textId="77777777" w:rsidR="00E54DC5" w:rsidRDefault="00E54DC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S.I. 1995/2994 (N.I. 18); L-Artikolu 55 ġie emendat bl-Artikolu 42(1) tal-Ordni tal-2007 dwar it-Traffiku fit-Toroq (l-Irlanda ta’ Fuq) (S.I. 2007/916 (N.I. 10))</w:t>
      </w:r>
    </w:p>
  </w:footnote>
  <w:footnote w:id="4">
    <w:p w14:paraId="1085F1A2" w14:textId="77777777" w:rsidR="00FB6465" w:rsidRP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i/>
        </w:rPr>
        <w:t xml:space="preserve">Ara </w:t>
      </w:r>
      <w:r>
        <w:t>l-Artikolu 8(1)(b) ta’, u l-Parti 2 tal-Iskeda 5 għall-Ordni tal-2016 dwar id-Dipartimenti (Trasferiment tal-Funzjonijiet) (l-Irlanda ta’ Fuq) (S.R. 2016 Nru 76)</w:t>
      </w:r>
    </w:p>
  </w:footnote>
  <w:footnote w:id="5">
    <w:p w14:paraId="7D938A52" w14:textId="77777777" w:rsid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S.R. 1999 Nru 454; ir-Regolamenti emendatorji rilevanti huma S.R. 2011 Nru 20, S.R. 2011 Nru 303 u S.R. 2016 Nru 160</w:t>
      </w:r>
    </w:p>
  </w:footnote>
  <w:footnote w:id="6">
    <w:p w14:paraId="202E6E04" w14:textId="5448A374" w:rsidR="00A213F5" w:rsidRDefault="00A213F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ĠU L 151, 14.6.2018 p,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227" w14:textId="3907EE6D" w:rsidR="00F9319A" w:rsidRPr="00F9319A" w:rsidRDefault="00F9319A" w:rsidP="00F9319A">
    <w:pPr>
      <w:pStyle w:val="Header"/>
      <w:jc w:val="center"/>
      <w:rPr>
        <w:b/>
        <w:bCs/>
      </w:rPr>
    </w:pPr>
    <w:r>
      <w:rPr>
        <w:b/>
      </w:rPr>
      <w:t>It-tieni abbozz ta’ April 2023 – kif approvat mid-DSO 6/4/23</w:t>
    </w:r>
  </w:p>
  <w:p w14:paraId="104CC809" w14:textId="77777777" w:rsidR="00F9319A" w:rsidRDefault="00F9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98368923">
    <w:abstractNumId w:val="0"/>
  </w:num>
  <w:num w:numId="2" w16cid:durableId="1681469010">
    <w:abstractNumId w:val="0"/>
  </w:num>
  <w:num w:numId="3" w16cid:durableId="1416317193">
    <w:abstractNumId w:val="0"/>
  </w:num>
  <w:num w:numId="4" w16cid:durableId="922227864">
    <w:abstractNumId w:val="0"/>
  </w:num>
  <w:num w:numId="5" w16cid:durableId="1604798227">
    <w:abstractNumId w:val="3"/>
  </w:num>
  <w:num w:numId="6" w16cid:durableId="1759716081">
    <w:abstractNumId w:val="3"/>
  </w:num>
  <w:num w:numId="7" w16cid:durableId="619800028">
    <w:abstractNumId w:val="3"/>
  </w:num>
  <w:num w:numId="8" w16cid:durableId="325474096">
    <w:abstractNumId w:val="3"/>
  </w:num>
  <w:num w:numId="9" w16cid:durableId="303657070">
    <w:abstractNumId w:val="3"/>
  </w:num>
  <w:num w:numId="10" w16cid:durableId="2138796238">
    <w:abstractNumId w:val="1"/>
  </w:num>
  <w:num w:numId="11" w16cid:durableId="6638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NIR"/>
    <w:docVar w:name="Lang" w:val="NIR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VerMajor" w:val="9"/>
    <w:docVar w:name="VerMinor" w:val="1"/>
  </w:docVars>
  <w:rsids>
    <w:rsidRoot w:val="00A07397"/>
    <w:rsid w:val="000017D2"/>
    <w:rsid w:val="000053BF"/>
    <w:rsid w:val="00005DCF"/>
    <w:rsid w:val="000079E2"/>
    <w:rsid w:val="0001312F"/>
    <w:rsid w:val="000229B8"/>
    <w:rsid w:val="00022A1B"/>
    <w:rsid w:val="00024417"/>
    <w:rsid w:val="00027110"/>
    <w:rsid w:val="0002747F"/>
    <w:rsid w:val="00030A7A"/>
    <w:rsid w:val="00031649"/>
    <w:rsid w:val="0003170C"/>
    <w:rsid w:val="00033947"/>
    <w:rsid w:val="000344B1"/>
    <w:rsid w:val="00040058"/>
    <w:rsid w:val="00040919"/>
    <w:rsid w:val="00043C12"/>
    <w:rsid w:val="000576EB"/>
    <w:rsid w:val="0006536E"/>
    <w:rsid w:val="00087CDE"/>
    <w:rsid w:val="0009033B"/>
    <w:rsid w:val="000B217F"/>
    <w:rsid w:val="000B4769"/>
    <w:rsid w:val="000B7A59"/>
    <w:rsid w:val="000C2228"/>
    <w:rsid w:val="000D4452"/>
    <w:rsid w:val="000E132F"/>
    <w:rsid w:val="000E4959"/>
    <w:rsid w:val="000E71E2"/>
    <w:rsid w:val="000F290E"/>
    <w:rsid w:val="000F3EE9"/>
    <w:rsid w:val="000F4191"/>
    <w:rsid w:val="000F6AA5"/>
    <w:rsid w:val="001058F7"/>
    <w:rsid w:val="001138FC"/>
    <w:rsid w:val="001149FE"/>
    <w:rsid w:val="00114DA8"/>
    <w:rsid w:val="00116167"/>
    <w:rsid w:val="001162DB"/>
    <w:rsid w:val="00117CF9"/>
    <w:rsid w:val="00132A37"/>
    <w:rsid w:val="00145FD7"/>
    <w:rsid w:val="001542BD"/>
    <w:rsid w:val="001545AD"/>
    <w:rsid w:val="00166EFB"/>
    <w:rsid w:val="0016704D"/>
    <w:rsid w:val="00167904"/>
    <w:rsid w:val="0019250F"/>
    <w:rsid w:val="00194043"/>
    <w:rsid w:val="0019503E"/>
    <w:rsid w:val="001A220A"/>
    <w:rsid w:val="001B0B00"/>
    <w:rsid w:val="001B39DB"/>
    <w:rsid w:val="001B4AAF"/>
    <w:rsid w:val="001C06F9"/>
    <w:rsid w:val="001C1DFD"/>
    <w:rsid w:val="001C4800"/>
    <w:rsid w:val="001D0E3C"/>
    <w:rsid w:val="001E0FF6"/>
    <w:rsid w:val="001E5D59"/>
    <w:rsid w:val="001F0B49"/>
    <w:rsid w:val="00202100"/>
    <w:rsid w:val="00203DBB"/>
    <w:rsid w:val="0020612D"/>
    <w:rsid w:val="00215C2D"/>
    <w:rsid w:val="0021750A"/>
    <w:rsid w:val="002222EA"/>
    <w:rsid w:val="002234DD"/>
    <w:rsid w:val="0023008A"/>
    <w:rsid w:val="00233898"/>
    <w:rsid w:val="00237FEF"/>
    <w:rsid w:val="0024543E"/>
    <w:rsid w:val="00246EBA"/>
    <w:rsid w:val="00252709"/>
    <w:rsid w:val="00263D03"/>
    <w:rsid w:val="00265698"/>
    <w:rsid w:val="002657DD"/>
    <w:rsid w:val="002710CF"/>
    <w:rsid w:val="00281EEB"/>
    <w:rsid w:val="002842A4"/>
    <w:rsid w:val="00290FD6"/>
    <w:rsid w:val="002B09A9"/>
    <w:rsid w:val="002B2AB3"/>
    <w:rsid w:val="002D2359"/>
    <w:rsid w:val="002D64BB"/>
    <w:rsid w:val="002E35DE"/>
    <w:rsid w:val="002F3E74"/>
    <w:rsid w:val="0030031B"/>
    <w:rsid w:val="00324150"/>
    <w:rsid w:val="003243CA"/>
    <w:rsid w:val="003265DE"/>
    <w:rsid w:val="00332EFC"/>
    <w:rsid w:val="0033471C"/>
    <w:rsid w:val="00336808"/>
    <w:rsid w:val="00337C6E"/>
    <w:rsid w:val="0035076C"/>
    <w:rsid w:val="00350812"/>
    <w:rsid w:val="00354E7E"/>
    <w:rsid w:val="00355BF1"/>
    <w:rsid w:val="00364A56"/>
    <w:rsid w:val="00366CFF"/>
    <w:rsid w:val="00370B12"/>
    <w:rsid w:val="00375A1D"/>
    <w:rsid w:val="00377EA3"/>
    <w:rsid w:val="00380763"/>
    <w:rsid w:val="003849A8"/>
    <w:rsid w:val="003856CE"/>
    <w:rsid w:val="00395061"/>
    <w:rsid w:val="003A711F"/>
    <w:rsid w:val="003B5101"/>
    <w:rsid w:val="003B522B"/>
    <w:rsid w:val="003B7CB9"/>
    <w:rsid w:val="003C6DD8"/>
    <w:rsid w:val="003D09D8"/>
    <w:rsid w:val="003E6D63"/>
    <w:rsid w:val="003F2906"/>
    <w:rsid w:val="003F5552"/>
    <w:rsid w:val="003F6B8C"/>
    <w:rsid w:val="003F756B"/>
    <w:rsid w:val="00401FF2"/>
    <w:rsid w:val="00403BDB"/>
    <w:rsid w:val="004128CA"/>
    <w:rsid w:val="004266DE"/>
    <w:rsid w:val="00426F4F"/>
    <w:rsid w:val="00427240"/>
    <w:rsid w:val="004334AB"/>
    <w:rsid w:val="00434316"/>
    <w:rsid w:val="004374BE"/>
    <w:rsid w:val="00444DFD"/>
    <w:rsid w:val="0044665F"/>
    <w:rsid w:val="00450D00"/>
    <w:rsid w:val="00455D7C"/>
    <w:rsid w:val="00456585"/>
    <w:rsid w:val="0046133F"/>
    <w:rsid w:val="00462FB7"/>
    <w:rsid w:val="0047199F"/>
    <w:rsid w:val="004800DA"/>
    <w:rsid w:val="00484A79"/>
    <w:rsid w:val="00496706"/>
    <w:rsid w:val="004A3498"/>
    <w:rsid w:val="004A5981"/>
    <w:rsid w:val="004B27F0"/>
    <w:rsid w:val="004C4102"/>
    <w:rsid w:val="004D3553"/>
    <w:rsid w:val="004D6A75"/>
    <w:rsid w:val="004D6B89"/>
    <w:rsid w:val="004F0B89"/>
    <w:rsid w:val="004F499B"/>
    <w:rsid w:val="004F54E9"/>
    <w:rsid w:val="00512E1E"/>
    <w:rsid w:val="00517305"/>
    <w:rsid w:val="00520F87"/>
    <w:rsid w:val="00527CE3"/>
    <w:rsid w:val="00527F30"/>
    <w:rsid w:val="00542527"/>
    <w:rsid w:val="0054598B"/>
    <w:rsid w:val="00551C1E"/>
    <w:rsid w:val="0055460F"/>
    <w:rsid w:val="00584806"/>
    <w:rsid w:val="00586A38"/>
    <w:rsid w:val="00593489"/>
    <w:rsid w:val="005951C3"/>
    <w:rsid w:val="00595A92"/>
    <w:rsid w:val="005A366C"/>
    <w:rsid w:val="005A4DC3"/>
    <w:rsid w:val="005A5DA5"/>
    <w:rsid w:val="005C13CE"/>
    <w:rsid w:val="005C40A6"/>
    <w:rsid w:val="005D09CA"/>
    <w:rsid w:val="005D41B8"/>
    <w:rsid w:val="005E7BE0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72E0"/>
    <w:rsid w:val="006745CF"/>
    <w:rsid w:val="00683D94"/>
    <w:rsid w:val="00690A3B"/>
    <w:rsid w:val="006918B5"/>
    <w:rsid w:val="006A320F"/>
    <w:rsid w:val="006A595E"/>
    <w:rsid w:val="006A64B8"/>
    <w:rsid w:val="006A7DF8"/>
    <w:rsid w:val="006B185F"/>
    <w:rsid w:val="006B30CD"/>
    <w:rsid w:val="006B3B7C"/>
    <w:rsid w:val="006B4ADB"/>
    <w:rsid w:val="006B79E5"/>
    <w:rsid w:val="006C24BA"/>
    <w:rsid w:val="006C26FF"/>
    <w:rsid w:val="006C3089"/>
    <w:rsid w:val="006C3978"/>
    <w:rsid w:val="006C6643"/>
    <w:rsid w:val="006D0D5B"/>
    <w:rsid w:val="006D38F1"/>
    <w:rsid w:val="006D7810"/>
    <w:rsid w:val="006E65AD"/>
    <w:rsid w:val="006E7772"/>
    <w:rsid w:val="00705886"/>
    <w:rsid w:val="007079BB"/>
    <w:rsid w:val="00711BE8"/>
    <w:rsid w:val="00716ED4"/>
    <w:rsid w:val="00725F1D"/>
    <w:rsid w:val="00731C8C"/>
    <w:rsid w:val="007442AA"/>
    <w:rsid w:val="0074593A"/>
    <w:rsid w:val="0074692C"/>
    <w:rsid w:val="00753861"/>
    <w:rsid w:val="00755802"/>
    <w:rsid w:val="00763228"/>
    <w:rsid w:val="00773CD6"/>
    <w:rsid w:val="007A4CC8"/>
    <w:rsid w:val="007A5DAA"/>
    <w:rsid w:val="007B03C1"/>
    <w:rsid w:val="007B062C"/>
    <w:rsid w:val="007B22FE"/>
    <w:rsid w:val="007B254C"/>
    <w:rsid w:val="007B75E9"/>
    <w:rsid w:val="007C22A3"/>
    <w:rsid w:val="007C264A"/>
    <w:rsid w:val="007D3A1E"/>
    <w:rsid w:val="007F089E"/>
    <w:rsid w:val="007F69B9"/>
    <w:rsid w:val="00803635"/>
    <w:rsid w:val="00803AFD"/>
    <w:rsid w:val="0081761D"/>
    <w:rsid w:val="0083118A"/>
    <w:rsid w:val="0083130D"/>
    <w:rsid w:val="00831EA1"/>
    <w:rsid w:val="00832653"/>
    <w:rsid w:val="008346F2"/>
    <w:rsid w:val="00834955"/>
    <w:rsid w:val="0083627D"/>
    <w:rsid w:val="0085377A"/>
    <w:rsid w:val="0088528F"/>
    <w:rsid w:val="00891686"/>
    <w:rsid w:val="00892A7D"/>
    <w:rsid w:val="008936D6"/>
    <w:rsid w:val="00897333"/>
    <w:rsid w:val="008A2652"/>
    <w:rsid w:val="008B1F2E"/>
    <w:rsid w:val="008C0575"/>
    <w:rsid w:val="008C1C07"/>
    <w:rsid w:val="008C3AB5"/>
    <w:rsid w:val="008C451D"/>
    <w:rsid w:val="008C76CA"/>
    <w:rsid w:val="008D1F15"/>
    <w:rsid w:val="008E407D"/>
    <w:rsid w:val="008E68A5"/>
    <w:rsid w:val="008E7581"/>
    <w:rsid w:val="008F2059"/>
    <w:rsid w:val="008F26D4"/>
    <w:rsid w:val="008F2F05"/>
    <w:rsid w:val="008F7D32"/>
    <w:rsid w:val="00916C5D"/>
    <w:rsid w:val="00917799"/>
    <w:rsid w:val="00920C52"/>
    <w:rsid w:val="00921C0A"/>
    <w:rsid w:val="00934923"/>
    <w:rsid w:val="00937BB0"/>
    <w:rsid w:val="00940392"/>
    <w:rsid w:val="00945377"/>
    <w:rsid w:val="00955042"/>
    <w:rsid w:val="0096610D"/>
    <w:rsid w:val="00985908"/>
    <w:rsid w:val="00986ED9"/>
    <w:rsid w:val="00991335"/>
    <w:rsid w:val="009947C0"/>
    <w:rsid w:val="00996A8E"/>
    <w:rsid w:val="009A3A7E"/>
    <w:rsid w:val="009A7C67"/>
    <w:rsid w:val="009B5DDB"/>
    <w:rsid w:val="009C2BBD"/>
    <w:rsid w:val="009C3952"/>
    <w:rsid w:val="009E24C2"/>
    <w:rsid w:val="00A01907"/>
    <w:rsid w:val="00A01CF2"/>
    <w:rsid w:val="00A04F80"/>
    <w:rsid w:val="00A07397"/>
    <w:rsid w:val="00A127A4"/>
    <w:rsid w:val="00A156DC"/>
    <w:rsid w:val="00A213F5"/>
    <w:rsid w:val="00A26481"/>
    <w:rsid w:val="00A33157"/>
    <w:rsid w:val="00A35443"/>
    <w:rsid w:val="00A42AA8"/>
    <w:rsid w:val="00A42F2E"/>
    <w:rsid w:val="00A616A2"/>
    <w:rsid w:val="00A904C5"/>
    <w:rsid w:val="00A94825"/>
    <w:rsid w:val="00A968F9"/>
    <w:rsid w:val="00A9755E"/>
    <w:rsid w:val="00AA2213"/>
    <w:rsid w:val="00AA3D6E"/>
    <w:rsid w:val="00AA448A"/>
    <w:rsid w:val="00AA4F50"/>
    <w:rsid w:val="00AA66BB"/>
    <w:rsid w:val="00AB5644"/>
    <w:rsid w:val="00AC1157"/>
    <w:rsid w:val="00AC6E69"/>
    <w:rsid w:val="00AC7805"/>
    <w:rsid w:val="00AD5DF4"/>
    <w:rsid w:val="00AE38E7"/>
    <w:rsid w:val="00AE3D58"/>
    <w:rsid w:val="00AE4B31"/>
    <w:rsid w:val="00AF0E95"/>
    <w:rsid w:val="00AF4E21"/>
    <w:rsid w:val="00AF5B69"/>
    <w:rsid w:val="00AF5ECC"/>
    <w:rsid w:val="00B0192D"/>
    <w:rsid w:val="00B02D3D"/>
    <w:rsid w:val="00B04F73"/>
    <w:rsid w:val="00B11873"/>
    <w:rsid w:val="00B141E4"/>
    <w:rsid w:val="00B14268"/>
    <w:rsid w:val="00B23333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83D23"/>
    <w:rsid w:val="00B86533"/>
    <w:rsid w:val="00B86B1C"/>
    <w:rsid w:val="00B913A5"/>
    <w:rsid w:val="00B93009"/>
    <w:rsid w:val="00BA287D"/>
    <w:rsid w:val="00BA47C6"/>
    <w:rsid w:val="00BB1BD2"/>
    <w:rsid w:val="00BB635D"/>
    <w:rsid w:val="00BB7CAD"/>
    <w:rsid w:val="00BC218F"/>
    <w:rsid w:val="00BC2D7F"/>
    <w:rsid w:val="00BC378E"/>
    <w:rsid w:val="00BC3A4C"/>
    <w:rsid w:val="00BD5A83"/>
    <w:rsid w:val="00BE3434"/>
    <w:rsid w:val="00BF1A5B"/>
    <w:rsid w:val="00BF23E5"/>
    <w:rsid w:val="00C03ABD"/>
    <w:rsid w:val="00C04D0F"/>
    <w:rsid w:val="00C065ED"/>
    <w:rsid w:val="00C07DFB"/>
    <w:rsid w:val="00C128C4"/>
    <w:rsid w:val="00C13624"/>
    <w:rsid w:val="00C13726"/>
    <w:rsid w:val="00C14123"/>
    <w:rsid w:val="00C14C52"/>
    <w:rsid w:val="00C37204"/>
    <w:rsid w:val="00C45A86"/>
    <w:rsid w:val="00C46554"/>
    <w:rsid w:val="00C50962"/>
    <w:rsid w:val="00C50ADC"/>
    <w:rsid w:val="00C675C1"/>
    <w:rsid w:val="00C779D4"/>
    <w:rsid w:val="00C832E5"/>
    <w:rsid w:val="00C868DF"/>
    <w:rsid w:val="00C87ACD"/>
    <w:rsid w:val="00C9028B"/>
    <w:rsid w:val="00C95799"/>
    <w:rsid w:val="00CA5736"/>
    <w:rsid w:val="00CA74D3"/>
    <w:rsid w:val="00CA767A"/>
    <w:rsid w:val="00CB13DE"/>
    <w:rsid w:val="00CB6441"/>
    <w:rsid w:val="00CD2CBA"/>
    <w:rsid w:val="00CD5175"/>
    <w:rsid w:val="00CE4E7D"/>
    <w:rsid w:val="00CE760E"/>
    <w:rsid w:val="00CF72AE"/>
    <w:rsid w:val="00CF7585"/>
    <w:rsid w:val="00D0274C"/>
    <w:rsid w:val="00D05D1F"/>
    <w:rsid w:val="00D12505"/>
    <w:rsid w:val="00D163D9"/>
    <w:rsid w:val="00D20C09"/>
    <w:rsid w:val="00D232EA"/>
    <w:rsid w:val="00D246C4"/>
    <w:rsid w:val="00D31480"/>
    <w:rsid w:val="00D43B26"/>
    <w:rsid w:val="00D455F0"/>
    <w:rsid w:val="00D51A74"/>
    <w:rsid w:val="00D559FA"/>
    <w:rsid w:val="00D60EE1"/>
    <w:rsid w:val="00D63769"/>
    <w:rsid w:val="00D6477E"/>
    <w:rsid w:val="00D71ACB"/>
    <w:rsid w:val="00D76454"/>
    <w:rsid w:val="00D77019"/>
    <w:rsid w:val="00D84B83"/>
    <w:rsid w:val="00D87569"/>
    <w:rsid w:val="00DA0356"/>
    <w:rsid w:val="00DA22E2"/>
    <w:rsid w:val="00DA3369"/>
    <w:rsid w:val="00DC29A1"/>
    <w:rsid w:val="00DC427E"/>
    <w:rsid w:val="00DD69B1"/>
    <w:rsid w:val="00DD7349"/>
    <w:rsid w:val="00DE4921"/>
    <w:rsid w:val="00DE5B3E"/>
    <w:rsid w:val="00DE674E"/>
    <w:rsid w:val="00E068E4"/>
    <w:rsid w:val="00E12824"/>
    <w:rsid w:val="00E1318E"/>
    <w:rsid w:val="00E21C8D"/>
    <w:rsid w:val="00E25D01"/>
    <w:rsid w:val="00E26A7C"/>
    <w:rsid w:val="00E327AE"/>
    <w:rsid w:val="00E408A2"/>
    <w:rsid w:val="00E41EA0"/>
    <w:rsid w:val="00E52999"/>
    <w:rsid w:val="00E54DC5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C196A"/>
    <w:rsid w:val="00EC296E"/>
    <w:rsid w:val="00EC6837"/>
    <w:rsid w:val="00EC7BBE"/>
    <w:rsid w:val="00ED0A2E"/>
    <w:rsid w:val="00ED292B"/>
    <w:rsid w:val="00ED3871"/>
    <w:rsid w:val="00ED6564"/>
    <w:rsid w:val="00ED72A2"/>
    <w:rsid w:val="00EE2C5D"/>
    <w:rsid w:val="00EE3061"/>
    <w:rsid w:val="00EE7147"/>
    <w:rsid w:val="00EF08C9"/>
    <w:rsid w:val="00F23681"/>
    <w:rsid w:val="00F27C1C"/>
    <w:rsid w:val="00F27E20"/>
    <w:rsid w:val="00F363EA"/>
    <w:rsid w:val="00F42BE8"/>
    <w:rsid w:val="00F42CD0"/>
    <w:rsid w:val="00F45D1C"/>
    <w:rsid w:val="00F47030"/>
    <w:rsid w:val="00F50553"/>
    <w:rsid w:val="00F52907"/>
    <w:rsid w:val="00F533BB"/>
    <w:rsid w:val="00F61A8A"/>
    <w:rsid w:val="00F70AC7"/>
    <w:rsid w:val="00F72321"/>
    <w:rsid w:val="00F761C4"/>
    <w:rsid w:val="00F82829"/>
    <w:rsid w:val="00F85303"/>
    <w:rsid w:val="00F9319A"/>
    <w:rsid w:val="00F972DE"/>
    <w:rsid w:val="00FA3EFD"/>
    <w:rsid w:val="00FA518D"/>
    <w:rsid w:val="00FA7226"/>
    <w:rsid w:val="00FB1FA3"/>
    <w:rsid w:val="00FB563A"/>
    <w:rsid w:val="00FB5EDA"/>
    <w:rsid w:val="00FB6465"/>
    <w:rsid w:val="00FE2FE4"/>
    <w:rsid w:val="00FE46C6"/>
    <w:rsid w:val="00FF32AE"/>
    <w:rsid w:val="00FF5421"/>
    <w:rsid w:val="00FF5A1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0D1"/>
  <w15:docId w15:val="{EEF95A3C-1899-46D9-8671-4FC0E0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EC683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C6837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link w:val="T1Char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mt-MT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mt-MT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3"/>
    <w:qFormat/>
    <w:rsid w:val="00E52999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1Char">
    <w:name w:val="T1 Char"/>
    <w:link w:val="T1"/>
    <w:locked/>
    <w:rsid w:val="0083627D"/>
    <w:rPr>
      <w:sz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755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A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319A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/ni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ce.org/trans/main/wp29/wp29reg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V9.dotx</Template>
  <TotalTime>276</TotalTime>
  <Pages>4</Pages>
  <Words>981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creator>Caroline Graham</dc:creator>
  <dc:description>Version 9.1</dc:description>
  <cp:lastModifiedBy>Liana Brili</cp:lastModifiedBy>
  <cp:revision>21</cp:revision>
  <cp:lastPrinted>2022-11-25T16:19:00Z</cp:lastPrinted>
  <dcterms:created xsi:type="dcterms:W3CDTF">2022-01-26T15:09:00Z</dcterms:created>
  <dcterms:modified xsi:type="dcterms:W3CDTF">2023-05-02T09:09:00Z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15.0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9.2</vt:lpwstr>
  </property>
  <property fmtid="{D5CDD505-2E9C-101B-9397-08002B2CF9AE}" pid="5" name="InitialWordVersion">
    <vt:lpwstr>15.0</vt:lpwstr>
  </property>
  <property fmtid="{D5CDD505-2E9C-101B-9397-08002B2CF9AE}" pid="6" name="InitialOSversion">
    <vt:lpwstr>Windows NT 10.0</vt:lpwstr>
  </property>
</Properties>
</file>