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82CD" w14:textId="77777777" w:rsidR="00762A03" w:rsidRDefault="00762A03" w:rsidP="00DD3A2B">
      <w:pPr>
        <w:spacing w:line="240" w:lineRule="auto"/>
        <w:ind w:left="-1414"/>
        <w:contextualSpacing/>
        <w:rPr>
          <w:rFonts w:ascii="Arial" w:hAnsi="Arial" w:cs="Arial"/>
          <w:sz w:val="16"/>
          <w:szCs w:val="16"/>
        </w:rPr>
      </w:pPr>
    </w:p>
    <w:p w14:paraId="48B6D90D" w14:textId="77777777" w:rsidR="005E7F4B" w:rsidRDefault="005E7F4B" w:rsidP="00DD3A2B">
      <w:pPr>
        <w:spacing w:line="240" w:lineRule="auto"/>
        <w:ind w:left="-1414"/>
        <w:contextualSpacing/>
        <w:rPr>
          <w:rFonts w:ascii="Arial" w:hAnsi="Arial" w:cs="Arial"/>
          <w:sz w:val="16"/>
          <w:szCs w:val="16"/>
        </w:rPr>
      </w:pPr>
    </w:p>
    <w:p w14:paraId="29B194C0" w14:textId="77777777" w:rsidR="005E7F4B" w:rsidRDefault="005E7F4B" w:rsidP="00DD3A2B">
      <w:pPr>
        <w:spacing w:line="240" w:lineRule="auto"/>
        <w:ind w:left="-1414"/>
        <w:contextualSpacing/>
        <w:rPr>
          <w:rFonts w:ascii="Arial" w:hAnsi="Arial" w:cs="Arial"/>
          <w:sz w:val="16"/>
          <w:szCs w:val="16"/>
        </w:rPr>
      </w:pPr>
    </w:p>
    <w:p w14:paraId="1CA4591A" w14:textId="77777777" w:rsidR="005E7F4B" w:rsidRDefault="005E7F4B" w:rsidP="00DD3A2B">
      <w:pPr>
        <w:spacing w:line="240" w:lineRule="auto"/>
        <w:ind w:left="-1414"/>
        <w:contextualSpacing/>
        <w:rPr>
          <w:rFonts w:ascii="Arial" w:hAnsi="Arial" w:cs="Arial"/>
          <w:sz w:val="16"/>
          <w:szCs w:val="16"/>
        </w:rPr>
      </w:pPr>
    </w:p>
    <w:p w14:paraId="67FAFBA1" w14:textId="77777777" w:rsidR="005E7F4B" w:rsidRDefault="005E7F4B" w:rsidP="00DD3A2B">
      <w:pPr>
        <w:spacing w:line="240" w:lineRule="auto"/>
        <w:ind w:left="-1414"/>
        <w:contextualSpacing/>
        <w:rPr>
          <w:rFonts w:ascii="Arial" w:hAnsi="Arial" w:cs="Arial"/>
          <w:sz w:val="16"/>
          <w:szCs w:val="16"/>
        </w:rPr>
      </w:pPr>
    </w:p>
    <w:p w14:paraId="229450BE" w14:textId="77777777" w:rsidR="005E7F4B" w:rsidRDefault="005E7F4B" w:rsidP="00DD3A2B">
      <w:pPr>
        <w:spacing w:line="240" w:lineRule="auto"/>
        <w:ind w:left="-1414"/>
        <w:contextualSpacing/>
        <w:rPr>
          <w:rFonts w:ascii="Arial" w:hAnsi="Arial" w:cs="Arial"/>
          <w:sz w:val="16"/>
          <w:szCs w:val="16"/>
        </w:rPr>
      </w:pPr>
    </w:p>
    <w:p w14:paraId="2EEA492A" w14:textId="77777777" w:rsidR="005E7F4B" w:rsidRDefault="005E7F4B" w:rsidP="00DD3A2B">
      <w:pPr>
        <w:spacing w:line="240" w:lineRule="auto"/>
        <w:ind w:left="-1414"/>
        <w:contextualSpacing/>
        <w:rPr>
          <w:rFonts w:ascii="Arial" w:hAnsi="Arial" w:cs="Arial"/>
          <w:sz w:val="16"/>
          <w:szCs w:val="16"/>
        </w:rPr>
      </w:pPr>
    </w:p>
    <w:p w14:paraId="6D059650" w14:textId="77777777" w:rsidR="005E7F4B" w:rsidRDefault="005E7F4B" w:rsidP="005E7F4B">
      <w:pPr>
        <w:pStyle w:val="Default"/>
        <w:rPr>
          <w:b/>
          <w:bCs/>
          <w:sz w:val="32"/>
          <w:szCs w:val="32"/>
        </w:rPr>
      </w:pPr>
    </w:p>
    <w:p w14:paraId="0A6474E6" w14:textId="77777777" w:rsidR="005E7F4B" w:rsidRDefault="005E7F4B" w:rsidP="005E7F4B">
      <w:pPr>
        <w:pStyle w:val="Default"/>
        <w:rPr>
          <w:b/>
          <w:bCs/>
          <w:sz w:val="32"/>
          <w:szCs w:val="32"/>
        </w:rPr>
      </w:pPr>
    </w:p>
    <w:p w14:paraId="4AE55C84" w14:textId="77777777" w:rsidR="005E7F4B" w:rsidRDefault="005E7F4B" w:rsidP="005E7F4B">
      <w:pPr>
        <w:pStyle w:val="Default"/>
        <w:rPr>
          <w:b/>
          <w:bCs/>
          <w:sz w:val="32"/>
          <w:szCs w:val="32"/>
        </w:rPr>
      </w:pPr>
    </w:p>
    <w:p w14:paraId="5C1B204C" w14:textId="77777777" w:rsidR="005E7F4B" w:rsidRDefault="005E7F4B" w:rsidP="005E7F4B">
      <w:pPr>
        <w:pStyle w:val="Default"/>
        <w:rPr>
          <w:b/>
          <w:bCs/>
          <w:sz w:val="32"/>
          <w:szCs w:val="32"/>
        </w:rPr>
      </w:pPr>
    </w:p>
    <w:p w14:paraId="17B2F67A" w14:textId="77777777" w:rsidR="005E7F4B" w:rsidRDefault="005E7F4B" w:rsidP="005E7F4B">
      <w:pPr>
        <w:pStyle w:val="Default"/>
        <w:rPr>
          <w:sz w:val="32"/>
          <w:szCs w:val="32"/>
        </w:rPr>
      </w:pPr>
      <w:r>
        <w:rPr>
          <w:b/>
          <w:bCs/>
          <w:sz w:val="32"/>
          <w:szCs w:val="32"/>
        </w:rPr>
        <w:t xml:space="preserve">Konsekvensutredning </w:t>
      </w:r>
    </w:p>
    <w:p w14:paraId="47A66B41" w14:textId="77777777" w:rsidR="005E7F4B" w:rsidRDefault="005E7F4B" w:rsidP="005E7F4B">
      <w:pPr>
        <w:pStyle w:val="Default"/>
        <w:rPr>
          <w:rFonts w:ascii="Georgia" w:hAnsi="Georgia" w:cs="Georgia"/>
          <w:i/>
          <w:iCs/>
          <w:sz w:val="21"/>
          <w:szCs w:val="21"/>
        </w:rPr>
      </w:pPr>
    </w:p>
    <w:p w14:paraId="566D7AA6" w14:textId="0AEA2F1B" w:rsidR="005E7F4B" w:rsidRPr="005E7F4B" w:rsidRDefault="005E7F4B" w:rsidP="005E7F4B">
      <w:pPr>
        <w:pStyle w:val="Default"/>
        <w:rPr>
          <w:rFonts w:ascii="Georgia" w:hAnsi="Georgia" w:cs="Georgia"/>
          <w:sz w:val="21"/>
          <w:szCs w:val="21"/>
        </w:rPr>
      </w:pPr>
      <w:r w:rsidRPr="005E7F4B">
        <w:rPr>
          <w:rFonts w:ascii="Georgia" w:hAnsi="Georgia" w:cs="Georgia"/>
          <w:sz w:val="21"/>
          <w:szCs w:val="21"/>
        </w:rPr>
        <w:t xml:space="preserve">Revidering av allmänna råd för marknadsföring av alkoholdryck till konsumenter </w:t>
      </w:r>
    </w:p>
    <w:p w14:paraId="41070A92" w14:textId="77777777" w:rsidR="005E7F4B" w:rsidRDefault="005E7F4B" w:rsidP="005E7F4B">
      <w:pPr>
        <w:pStyle w:val="Default"/>
        <w:rPr>
          <w:b/>
          <w:bCs/>
          <w:sz w:val="22"/>
          <w:szCs w:val="22"/>
        </w:rPr>
      </w:pPr>
    </w:p>
    <w:p w14:paraId="462D5BD4" w14:textId="77777777" w:rsidR="005E7F4B" w:rsidRPr="0006634F" w:rsidRDefault="005E7F4B" w:rsidP="005E7F4B">
      <w:pPr>
        <w:pStyle w:val="Rubrik4"/>
        <w:rPr>
          <w:b/>
          <w:bCs w:val="0"/>
          <w:i w:val="0"/>
          <w:iCs w:val="0"/>
        </w:rPr>
      </w:pPr>
      <w:r w:rsidRPr="0006634F">
        <w:rPr>
          <w:b/>
          <w:bCs w:val="0"/>
          <w:i w:val="0"/>
          <w:iCs w:val="0"/>
        </w:rPr>
        <w:t xml:space="preserve">1. Beskrivning av problemet och vad som vill uppnås </w:t>
      </w:r>
    </w:p>
    <w:p w14:paraId="5528B738" w14:textId="77777777" w:rsidR="005E7F4B" w:rsidRDefault="005E7F4B" w:rsidP="005E7F4B">
      <w:pPr>
        <w:pStyle w:val="Default"/>
        <w:rPr>
          <w:b/>
          <w:bCs/>
          <w:sz w:val="22"/>
          <w:szCs w:val="22"/>
        </w:rPr>
      </w:pPr>
    </w:p>
    <w:p w14:paraId="1609CC11" w14:textId="4D138062" w:rsidR="005E7F4B" w:rsidRDefault="005E7F4B" w:rsidP="005E7F4B">
      <w:pPr>
        <w:rPr>
          <w:rFonts w:ascii="Georgia" w:hAnsi="Georgia" w:cs="Georgia"/>
          <w:szCs w:val="21"/>
        </w:rPr>
      </w:pPr>
      <w:r>
        <w:rPr>
          <w:rFonts w:ascii="Georgia" w:hAnsi="Georgia" w:cs="Georgia"/>
          <w:szCs w:val="21"/>
        </w:rPr>
        <w:t xml:space="preserve">Syftet med Konsumentverkets </w:t>
      </w:r>
      <w:r w:rsidR="00225F03">
        <w:rPr>
          <w:rFonts w:ascii="Georgia" w:hAnsi="Georgia" w:cs="Georgia"/>
          <w:szCs w:val="21"/>
        </w:rPr>
        <w:t xml:space="preserve">nu gällande </w:t>
      </w:r>
      <w:r>
        <w:rPr>
          <w:rFonts w:ascii="Georgia" w:hAnsi="Georgia" w:cs="Georgia"/>
          <w:szCs w:val="21"/>
        </w:rPr>
        <w:t>allmänna råd för marknadsföring av alkoholdryck till konsumenter (KOVFS 2016:1) är att</w:t>
      </w:r>
      <w:r w:rsidRPr="001823CD">
        <w:t xml:space="preserve"> </w:t>
      </w:r>
      <w:r>
        <w:t xml:space="preserve">precisera hur marknadsföring av alkoholdryck får ske samt att </w:t>
      </w:r>
      <w:r w:rsidRPr="006458EB">
        <w:t>främja en enhetlig tillämpning av reglerna f</w:t>
      </w:r>
      <w:r>
        <w:t>ör marknadsföring av alkoholdryck</w:t>
      </w:r>
      <w:r w:rsidRPr="006458EB">
        <w:t>.</w:t>
      </w:r>
      <w:r>
        <w:rPr>
          <w:rFonts w:ascii="Georgia" w:hAnsi="Georgia" w:cs="Georgia"/>
          <w:szCs w:val="21"/>
        </w:rPr>
        <w:t xml:space="preserve"> Att samla rättskällor som lagtext, domstolspraxis, förarbetsuttalanden och i viss mån ge uttryck för Konsumentverket/K</w:t>
      </w:r>
      <w:r w:rsidR="007E7E1D">
        <w:rPr>
          <w:rFonts w:ascii="Georgia" w:hAnsi="Georgia" w:cs="Georgia"/>
          <w:szCs w:val="21"/>
        </w:rPr>
        <w:t>onsumentombudsmannen</w:t>
      </w:r>
      <w:r>
        <w:rPr>
          <w:rFonts w:ascii="Georgia" w:hAnsi="Georgia" w:cs="Georgia"/>
          <w:szCs w:val="21"/>
        </w:rPr>
        <w:t xml:space="preserve">s egen tolkning av lagstiftningen i ett dokument bör förenkla för aktörerna att få tillgång till och förstå reglerna. </w:t>
      </w:r>
    </w:p>
    <w:p w14:paraId="10E67129" w14:textId="77777777" w:rsidR="005E7F4B" w:rsidRDefault="005E7F4B" w:rsidP="005E7F4B">
      <w:pPr>
        <w:rPr>
          <w:rFonts w:ascii="Georgia" w:hAnsi="Georgia" w:cs="Georgia"/>
          <w:szCs w:val="21"/>
        </w:rPr>
      </w:pPr>
    </w:p>
    <w:p w14:paraId="738FE238" w14:textId="63CE8476" w:rsidR="005E7F4B" w:rsidRDefault="005E7F4B" w:rsidP="005E7F4B">
      <w:r>
        <w:t xml:space="preserve">Sedan den senaste revideringen har ny </w:t>
      </w:r>
      <w:r w:rsidR="00EC7039">
        <w:t xml:space="preserve">prejudicerande </w:t>
      </w:r>
      <w:r>
        <w:t xml:space="preserve">domstolspraxis tillkommit på området. Marknadsföringsbestämmelserna i alkohollagen har utvidgats till att omfatta alkoholdrycksliknande preparat. </w:t>
      </w:r>
      <w:r w:rsidR="00135FE1">
        <w:t xml:space="preserve">Därutöver är det Konsumentverkets bedömning att vissa textavsnitt behöver omformuleras och flyttas, primärt i syfte att tydliggöra dem och öka tillgängligheten för läsaren. </w:t>
      </w:r>
      <w:r>
        <w:t>Vidare</w:t>
      </w:r>
      <w:r w:rsidR="00A043F0">
        <w:t xml:space="preserve"> </w:t>
      </w:r>
      <w:r w:rsidR="00BA55D4">
        <w:t xml:space="preserve">behöver </w:t>
      </w:r>
      <w:r>
        <w:t xml:space="preserve">strukturen för de allmänna råden </w:t>
      </w:r>
      <w:r w:rsidR="009744C6">
        <w:t>omarbetas</w:t>
      </w:r>
      <w:r w:rsidR="00BA55D4" w:rsidRPr="00BA55D4">
        <w:t xml:space="preserve"> </w:t>
      </w:r>
      <w:r w:rsidR="00BA55D4">
        <w:t xml:space="preserve">i syfte att följa den struktur som </w:t>
      </w:r>
      <w:r w:rsidR="007612D5">
        <w:t xml:space="preserve">framöver </w:t>
      </w:r>
      <w:r w:rsidR="00145239">
        <w:t xml:space="preserve">kommer att vara </w:t>
      </w:r>
      <w:r w:rsidR="00BA55D4">
        <w:t xml:space="preserve">gemensam för samtliga </w:t>
      </w:r>
      <w:r w:rsidR="00F4570A">
        <w:t xml:space="preserve">av myndighetens </w:t>
      </w:r>
      <w:r w:rsidR="00BA55D4">
        <w:t>allmänna råd</w:t>
      </w:r>
      <w:r>
        <w:t xml:space="preserve">. </w:t>
      </w:r>
      <w:r w:rsidR="00BA55D4">
        <w:t>Den nya strukturen</w:t>
      </w:r>
      <w:r>
        <w:t xml:space="preserve"> </w:t>
      </w:r>
      <w:r w:rsidR="00DF22A7">
        <w:t xml:space="preserve">innebär att </w:t>
      </w:r>
      <w:r w:rsidR="004076F8">
        <w:t xml:space="preserve">en så kallad </w:t>
      </w:r>
      <w:r w:rsidR="00A95AF6">
        <w:t>beslutspromemoria</w:t>
      </w:r>
      <w:r w:rsidR="001F3EF5">
        <w:t xml:space="preserve"> innehållande bland annat </w:t>
      </w:r>
      <w:r w:rsidR="00D40A2E">
        <w:t>kommentarer till de allmänna råden</w:t>
      </w:r>
      <w:r w:rsidR="001F3EF5">
        <w:t xml:space="preserve"> skapas</w:t>
      </w:r>
      <w:r>
        <w:t xml:space="preserve">. </w:t>
      </w:r>
      <w:r w:rsidR="007612D5">
        <w:t>Beslutspromemorian publiceras inte i författningssamlingen</w:t>
      </w:r>
      <w:r w:rsidR="00135FE1">
        <w:t xml:space="preserve">. </w:t>
      </w:r>
      <w:r>
        <w:t xml:space="preserve">Syftet med </w:t>
      </w:r>
      <w:r w:rsidR="00BA55D4">
        <w:t xml:space="preserve">införandet av </w:t>
      </w:r>
      <w:r w:rsidR="00D40A2E">
        <w:t xml:space="preserve">en beslutspromemoria </w:t>
      </w:r>
      <w:r>
        <w:t>är att</w:t>
      </w:r>
      <w:r w:rsidR="00BA55D4">
        <w:t xml:space="preserve"> kunna</w:t>
      </w:r>
      <w:r>
        <w:t xml:space="preserve"> lämna ytterligare vägledning och öka förståelsen för de allmänna råden</w:t>
      </w:r>
      <w:r w:rsidR="00D40B06">
        <w:t xml:space="preserve"> samtidigt som innehållet i de allmänna råden renodlas</w:t>
      </w:r>
      <w:r w:rsidR="00903FC3">
        <w:t>.</w:t>
      </w:r>
    </w:p>
    <w:p w14:paraId="71E6849D" w14:textId="77777777" w:rsidR="00BA55D4" w:rsidRDefault="00BA55D4" w:rsidP="005E7F4B">
      <w:pPr>
        <w:rPr>
          <w:rFonts w:ascii="Georgia" w:hAnsi="Georgia" w:cs="Georgia"/>
          <w:szCs w:val="21"/>
        </w:rPr>
      </w:pPr>
    </w:p>
    <w:p w14:paraId="79F6C603" w14:textId="504319B5" w:rsidR="005E7F4B" w:rsidRDefault="00E17331" w:rsidP="00D40B06">
      <w:r>
        <w:t>M</w:t>
      </w:r>
      <w:r w:rsidR="005E7F4B">
        <w:t>ot den bakgrunden är det Konsumentverkets bedömning att KOVFS 201</w:t>
      </w:r>
      <w:r w:rsidR="00BA55D4">
        <w:t>6</w:t>
      </w:r>
      <w:r w:rsidR="005E7F4B">
        <w:t>:1 behöver revideras.</w:t>
      </w:r>
    </w:p>
    <w:p w14:paraId="393E0321" w14:textId="4DF4B4EB" w:rsidR="00D40B06" w:rsidRDefault="00D40B06" w:rsidP="00D40B06"/>
    <w:p w14:paraId="3FCD8339" w14:textId="77777777" w:rsidR="00D40B06" w:rsidRPr="00D40B06" w:rsidRDefault="00D40B06" w:rsidP="00D40B06"/>
    <w:p w14:paraId="191681ED" w14:textId="2417010E" w:rsidR="005E7F4B" w:rsidRPr="0006634F" w:rsidRDefault="005E7F4B" w:rsidP="00756CB6">
      <w:pPr>
        <w:pStyle w:val="Rubrik4"/>
        <w:rPr>
          <w:b/>
          <w:bCs w:val="0"/>
          <w:i w:val="0"/>
          <w:iCs w:val="0"/>
        </w:rPr>
      </w:pPr>
      <w:r w:rsidRPr="0006634F">
        <w:rPr>
          <w:b/>
          <w:bCs w:val="0"/>
          <w:i w:val="0"/>
          <w:iCs w:val="0"/>
        </w:rPr>
        <w:lastRenderedPageBreak/>
        <w:t xml:space="preserve">2. Beskrivning av alternativa lösningar för det man vill uppnå och vilka effekterna blir om någon reglering inte kommer till stånd </w:t>
      </w:r>
    </w:p>
    <w:p w14:paraId="0F8327FC" w14:textId="77777777" w:rsidR="005E7F4B" w:rsidRDefault="005E7F4B" w:rsidP="005E7F4B">
      <w:pPr>
        <w:pStyle w:val="Default"/>
        <w:rPr>
          <w:sz w:val="22"/>
          <w:szCs w:val="22"/>
        </w:rPr>
      </w:pPr>
    </w:p>
    <w:p w14:paraId="262D99B3" w14:textId="05AD01A9" w:rsidR="006803EE" w:rsidRDefault="005E7F4B" w:rsidP="005E7F4B">
      <w:pPr>
        <w:spacing w:line="276" w:lineRule="auto"/>
      </w:pPr>
      <w:r>
        <w:t>En alternativ lösning till</w:t>
      </w:r>
      <w:r w:rsidRPr="00C22B5C">
        <w:t xml:space="preserve"> allmän</w:t>
      </w:r>
      <w:r>
        <w:t>na</w:t>
      </w:r>
      <w:r w:rsidRPr="00C22B5C">
        <w:t xml:space="preserve"> råd kan vara att ha sammanfattande information på Konsumentverkets webbplats. Konsumentverket bedömer dock att </w:t>
      </w:r>
      <w:r w:rsidR="008930C4">
        <w:t xml:space="preserve">enbart </w:t>
      </w:r>
      <w:r w:rsidRPr="00C22B5C">
        <w:t xml:space="preserve">information på en webbplats </w:t>
      </w:r>
      <w:r w:rsidR="00922A38">
        <w:t xml:space="preserve">eller </w:t>
      </w:r>
      <w:r w:rsidR="00221E47">
        <w:t xml:space="preserve">i </w:t>
      </w:r>
      <w:r w:rsidR="008C597C">
        <w:t xml:space="preserve">form av </w:t>
      </w:r>
      <w:r w:rsidR="00922A38">
        <w:t xml:space="preserve">en vägledning </w:t>
      </w:r>
      <w:r w:rsidR="005767AB">
        <w:t xml:space="preserve">inte </w:t>
      </w:r>
      <w:r w:rsidRPr="00C22B5C">
        <w:t xml:space="preserve">får samma genomslagskraft som </w:t>
      </w:r>
      <w:r w:rsidR="00876A47" w:rsidRPr="00C22B5C">
        <w:t xml:space="preserve">samlade </w:t>
      </w:r>
      <w:r w:rsidRPr="00C22B5C">
        <w:t xml:space="preserve">allmänna råd </w:t>
      </w:r>
      <w:r w:rsidR="00876A47">
        <w:t>publicera</w:t>
      </w:r>
      <w:r w:rsidR="00475853">
        <w:t xml:space="preserve">de </w:t>
      </w:r>
      <w:r w:rsidR="00876A47">
        <w:t>i Konsumentverkets författningssamling</w:t>
      </w:r>
      <w:r w:rsidRPr="00C22B5C">
        <w:t xml:space="preserve">. </w:t>
      </w:r>
      <w:r w:rsidR="000D47CB">
        <w:t xml:space="preserve">En sådan lösning </w:t>
      </w:r>
      <w:r w:rsidRPr="00C22B5C">
        <w:t xml:space="preserve">riskerar </w:t>
      </w:r>
      <w:r>
        <w:t xml:space="preserve">även </w:t>
      </w:r>
      <w:r w:rsidRPr="00C22B5C">
        <w:t xml:space="preserve">att skapa osäkerhet om innehållets ställning och betydelse. </w:t>
      </w:r>
    </w:p>
    <w:p w14:paraId="13DA5CFA" w14:textId="77777777" w:rsidR="005E7F4B" w:rsidRDefault="005E7F4B" w:rsidP="005E7F4B">
      <w:pPr>
        <w:pStyle w:val="Default"/>
        <w:rPr>
          <w:rFonts w:ascii="Georgia" w:hAnsi="Georgia" w:cs="Georgia"/>
          <w:color w:val="auto"/>
          <w:sz w:val="21"/>
          <w:szCs w:val="21"/>
        </w:rPr>
      </w:pPr>
    </w:p>
    <w:p w14:paraId="3B2D9EFD" w14:textId="77777777" w:rsidR="005E7F4B" w:rsidRPr="0006634F" w:rsidRDefault="005E7F4B" w:rsidP="00D26E0C">
      <w:pPr>
        <w:pStyle w:val="Rubrik4"/>
        <w:rPr>
          <w:b/>
          <w:bCs w:val="0"/>
          <w:i w:val="0"/>
          <w:iCs w:val="0"/>
        </w:rPr>
      </w:pPr>
      <w:r w:rsidRPr="0006634F">
        <w:rPr>
          <w:b/>
          <w:bCs w:val="0"/>
          <w:i w:val="0"/>
          <w:iCs w:val="0"/>
        </w:rPr>
        <w:t xml:space="preserve">3. Uppgifter om vilka som berörs av regleringen </w:t>
      </w:r>
    </w:p>
    <w:p w14:paraId="60392447" w14:textId="77777777" w:rsidR="005E7F4B" w:rsidRDefault="005E7F4B" w:rsidP="005E7F4B">
      <w:pPr>
        <w:pStyle w:val="Default"/>
        <w:rPr>
          <w:color w:val="auto"/>
          <w:sz w:val="22"/>
          <w:szCs w:val="22"/>
        </w:rPr>
      </w:pPr>
    </w:p>
    <w:p w14:paraId="0B31A5DE" w14:textId="0C63B612" w:rsidR="005E7F4B" w:rsidRDefault="007E18B8" w:rsidP="005E7F4B">
      <w:pPr>
        <w:pStyle w:val="Default"/>
        <w:spacing w:line="276" w:lineRule="auto"/>
        <w:rPr>
          <w:rFonts w:asciiTheme="minorHAnsi" w:hAnsiTheme="minorHAnsi" w:cstheme="minorBidi"/>
          <w:color w:val="auto"/>
          <w:sz w:val="21"/>
          <w:szCs w:val="22"/>
        </w:rPr>
      </w:pPr>
      <w:r>
        <w:rPr>
          <w:rFonts w:asciiTheme="minorHAnsi" w:hAnsiTheme="minorHAnsi" w:cstheme="minorBidi"/>
          <w:color w:val="auto"/>
          <w:sz w:val="21"/>
          <w:szCs w:val="22"/>
        </w:rPr>
        <w:t>Näringsliv</w:t>
      </w:r>
      <w:r w:rsidR="00751504">
        <w:rPr>
          <w:rFonts w:asciiTheme="minorHAnsi" w:hAnsiTheme="minorHAnsi" w:cstheme="minorBidi"/>
          <w:color w:val="auto"/>
          <w:sz w:val="21"/>
          <w:szCs w:val="22"/>
        </w:rPr>
        <w:t xml:space="preserve"> och </w:t>
      </w:r>
      <w:r>
        <w:rPr>
          <w:rFonts w:asciiTheme="minorHAnsi" w:hAnsiTheme="minorHAnsi" w:cstheme="minorBidi"/>
          <w:color w:val="auto"/>
          <w:sz w:val="21"/>
          <w:szCs w:val="22"/>
        </w:rPr>
        <w:t>a</w:t>
      </w:r>
      <w:r w:rsidR="00A3395B">
        <w:rPr>
          <w:rFonts w:asciiTheme="minorHAnsi" w:hAnsiTheme="minorHAnsi" w:cstheme="minorBidi"/>
          <w:color w:val="auto"/>
          <w:sz w:val="21"/>
          <w:szCs w:val="22"/>
        </w:rPr>
        <w:t xml:space="preserve">ktörer som </w:t>
      </w:r>
      <w:r w:rsidR="0009706D">
        <w:rPr>
          <w:rFonts w:asciiTheme="minorHAnsi" w:hAnsiTheme="minorHAnsi" w:cstheme="minorBidi"/>
          <w:color w:val="auto"/>
          <w:sz w:val="21"/>
          <w:szCs w:val="22"/>
        </w:rPr>
        <w:t xml:space="preserve">marknadsför eller </w:t>
      </w:r>
      <w:r w:rsidR="00A3395B">
        <w:rPr>
          <w:rFonts w:asciiTheme="minorHAnsi" w:hAnsiTheme="minorHAnsi" w:cstheme="minorBidi"/>
          <w:color w:val="auto"/>
          <w:sz w:val="21"/>
          <w:szCs w:val="22"/>
        </w:rPr>
        <w:t>m</w:t>
      </w:r>
      <w:r w:rsidR="000765CA">
        <w:rPr>
          <w:rFonts w:asciiTheme="minorHAnsi" w:hAnsiTheme="minorHAnsi" w:cstheme="minorBidi"/>
          <w:color w:val="auto"/>
          <w:sz w:val="21"/>
          <w:szCs w:val="22"/>
        </w:rPr>
        <w:t>edverkar till m</w:t>
      </w:r>
      <w:r w:rsidR="00A3395B">
        <w:rPr>
          <w:rFonts w:asciiTheme="minorHAnsi" w:hAnsiTheme="minorHAnsi" w:cstheme="minorBidi"/>
          <w:color w:val="auto"/>
          <w:sz w:val="21"/>
          <w:szCs w:val="22"/>
        </w:rPr>
        <w:t>arknadsför</w:t>
      </w:r>
      <w:r w:rsidR="000765CA">
        <w:rPr>
          <w:rFonts w:asciiTheme="minorHAnsi" w:hAnsiTheme="minorHAnsi" w:cstheme="minorBidi"/>
          <w:color w:val="auto"/>
          <w:sz w:val="21"/>
          <w:szCs w:val="22"/>
        </w:rPr>
        <w:t>ing av</w:t>
      </w:r>
      <w:r w:rsidR="00A3395B">
        <w:rPr>
          <w:rFonts w:asciiTheme="minorHAnsi" w:hAnsiTheme="minorHAnsi" w:cstheme="minorBidi"/>
          <w:color w:val="auto"/>
          <w:sz w:val="21"/>
          <w:szCs w:val="22"/>
        </w:rPr>
        <w:t xml:space="preserve"> alkoholdrycker och alko</w:t>
      </w:r>
      <w:r w:rsidR="00771005">
        <w:rPr>
          <w:rFonts w:asciiTheme="minorHAnsi" w:hAnsiTheme="minorHAnsi" w:cstheme="minorBidi"/>
          <w:color w:val="auto"/>
          <w:sz w:val="21"/>
          <w:szCs w:val="22"/>
        </w:rPr>
        <w:t>hol</w:t>
      </w:r>
      <w:r w:rsidR="00A3395B">
        <w:rPr>
          <w:rFonts w:asciiTheme="minorHAnsi" w:hAnsiTheme="minorHAnsi" w:cstheme="minorBidi"/>
          <w:color w:val="auto"/>
          <w:sz w:val="21"/>
          <w:szCs w:val="22"/>
        </w:rPr>
        <w:t>drycksliknande preparat till konsumenter</w:t>
      </w:r>
      <w:r w:rsidR="005E7F4B" w:rsidRPr="00C22B5C">
        <w:rPr>
          <w:rFonts w:asciiTheme="minorHAnsi" w:hAnsiTheme="minorHAnsi" w:cstheme="minorBidi"/>
          <w:color w:val="auto"/>
          <w:sz w:val="21"/>
          <w:szCs w:val="22"/>
        </w:rPr>
        <w:t xml:space="preserve"> </w:t>
      </w:r>
      <w:r w:rsidR="007C0A08" w:rsidRPr="00C22B5C">
        <w:rPr>
          <w:rFonts w:asciiTheme="minorHAnsi" w:hAnsiTheme="minorHAnsi" w:cstheme="minorBidi"/>
          <w:color w:val="auto"/>
          <w:sz w:val="21"/>
          <w:szCs w:val="22"/>
        </w:rPr>
        <w:t>(</w:t>
      </w:r>
      <w:r w:rsidR="007C0A08">
        <w:rPr>
          <w:rFonts w:asciiTheme="minorHAnsi" w:hAnsiTheme="minorHAnsi" w:cstheme="minorBidi"/>
          <w:color w:val="auto"/>
          <w:sz w:val="21"/>
          <w:szCs w:val="22"/>
        </w:rPr>
        <w:t xml:space="preserve">bland annat </w:t>
      </w:r>
      <w:r w:rsidR="007C0A08" w:rsidRPr="00C22B5C">
        <w:rPr>
          <w:rFonts w:asciiTheme="minorHAnsi" w:hAnsiTheme="minorHAnsi" w:cstheme="minorBidi"/>
          <w:color w:val="auto"/>
          <w:sz w:val="21"/>
          <w:szCs w:val="22"/>
        </w:rPr>
        <w:t xml:space="preserve">tillverkare, grossister och detaljister) </w:t>
      </w:r>
      <w:r w:rsidR="005E7F4B" w:rsidRPr="00C22B5C">
        <w:rPr>
          <w:rFonts w:asciiTheme="minorHAnsi" w:hAnsiTheme="minorHAnsi" w:cstheme="minorBidi"/>
          <w:color w:val="auto"/>
          <w:sz w:val="21"/>
          <w:szCs w:val="22"/>
        </w:rPr>
        <w:t xml:space="preserve">samt lokala tillsynsmyndigheter (kommuner). </w:t>
      </w:r>
    </w:p>
    <w:p w14:paraId="0AB4E29C" w14:textId="77777777" w:rsidR="005E7F4B" w:rsidRDefault="005E7F4B" w:rsidP="005E7F4B">
      <w:pPr>
        <w:pStyle w:val="Default"/>
        <w:rPr>
          <w:rFonts w:ascii="Georgia" w:hAnsi="Georgia" w:cs="Georgia"/>
          <w:color w:val="auto"/>
          <w:sz w:val="21"/>
          <w:szCs w:val="21"/>
        </w:rPr>
      </w:pPr>
    </w:p>
    <w:p w14:paraId="58662D8C" w14:textId="19F98EFA" w:rsidR="005E7F4B" w:rsidRPr="0006634F" w:rsidRDefault="005E7F4B" w:rsidP="00720644">
      <w:pPr>
        <w:pStyle w:val="Rubrik4"/>
        <w:rPr>
          <w:b/>
          <w:bCs w:val="0"/>
          <w:i w:val="0"/>
          <w:iCs w:val="0"/>
        </w:rPr>
      </w:pPr>
      <w:r w:rsidRPr="0006634F">
        <w:rPr>
          <w:b/>
          <w:bCs w:val="0"/>
          <w:i w:val="0"/>
          <w:iCs w:val="0"/>
        </w:rPr>
        <w:t xml:space="preserve">4. Uppgifter om kostnadsmässiga och andra konsekvenser regleringen medför och en jämförelse av konsekvenserna för de övervägda </w:t>
      </w:r>
      <w:proofErr w:type="spellStart"/>
      <w:r w:rsidRPr="0006634F">
        <w:rPr>
          <w:b/>
          <w:bCs w:val="0"/>
          <w:i w:val="0"/>
          <w:iCs w:val="0"/>
        </w:rPr>
        <w:t>regleringsalternativen</w:t>
      </w:r>
      <w:proofErr w:type="spellEnd"/>
      <w:r w:rsidRPr="0006634F">
        <w:rPr>
          <w:b/>
          <w:bCs w:val="0"/>
          <w:i w:val="0"/>
          <w:iCs w:val="0"/>
        </w:rPr>
        <w:t xml:space="preserve"> </w:t>
      </w:r>
    </w:p>
    <w:p w14:paraId="62EE3A82" w14:textId="77777777" w:rsidR="005E7F4B" w:rsidRPr="00C22B5C" w:rsidRDefault="005E7F4B" w:rsidP="005E7F4B">
      <w:pPr>
        <w:pStyle w:val="Default"/>
        <w:rPr>
          <w:rFonts w:asciiTheme="minorHAnsi" w:hAnsiTheme="minorHAnsi" w:cstheme="minorBidi"/>
          <w:color w:val="auto"/>
          <w:sz w:val="21"/>
          <w:szCs w:val="22"/>
        </w:rPr>
      </w:pPr>
    </w:p>
    <w:p w14:paraId="68478795" w14:textId="47DF8DB1" w:rsidR="005E7F4B" w:rsidRPr="00C22B5C" w:rsidRDefault="005E7F4B" w:rsidP="005E7F4B">
      <w:pPr>
        <w:pStyle w:val="Default"/>
        <w:spacing w:line="276" w:lineRule="auto"/>
        <w:rPr>
          <w:rFonts w:asciiTheme="minorHAnsi" w:hAnsiTheme="minorHAnsi" w:cstheme="minorBidi"/>
          <w:color w:val="auto"/>
          <w:sz w:val="21"/>
          <w:szCs w:val="22"/>
        </w:rPr>
      </w:pPr>
      <w:r w:rsidRPr="00C22B5C">
        <w:rPr>
          <w:rFonts w:asciiTheme="minorHAnsi" w:hAnsiTheme="minorHAnsi" w:cstheme="minorBidi"/>
          <w:color w:val="auto"/>
          <w:sz w:val="21"/>
          <w:szCs w:val="22"/>
        </w:rPr>
        <w:t>Precis som nu gällande allmänna råd bör de reviderade allmänna råden</w:t>
      </w:r>
      <w:r>
        <w:rPr>
          <w:rFonts w:asciiTheme="minorHAnsi" w:hAnsiTheme="minorHAnsi" w:cstheme="minorBidi"/>
          <w:color w:val="auto"/>
          <w:sz w:val="21"/>
          <w:szCs w:val="22"/>
        </w:rPr>
        <w:t xml:space="preserve"> innebära besparingar eftersom</w:t>
      </w:r>
      <w:r w:rsidRPr="00C22B5C">
        <w:rPr>
          <w:rFonts w:asciiTheme="minorHAnsi" w:hAnsiTheme="minorHAnsi" w:cstheme="minorBidi"/>
          <w:color w:val="auto"/>
          <w:sz w:val="21"/>
          <w:szCs w:val="22"/>
        </w:rPr>
        <w:t xml:space="preserve"> </w:t>
      </w:r>
      <w:r w:rsidR="00464155">
        <w:rPr>
          <w:rFonts w:asciiTheme="minorHAnsi" w:hAnsiTheme="minorHAnsi" w:cstheme="minorBidi"/>
          <w:color w:val="auto"/>
          <w:sz w:val="21"/>
          <w:szCs w:val="22"/>
        </w:rPr>
        <w:t xml:space="preserve">en </w:t>
      </w:r>
      <w:r w:rsidRPr="00C22B5C">
        <w:rPr>
          <w:rFonts w:asciiTheme="minorHAnsi" w:hAnsiTheme="minorHAnsi" w:cstheme="minorBidi"/>
          <w:color w:val="auto"/>
          <w:sz w:val="21"/>
          <w:szCs w:val="22"/>
        </w:rPr>
        <w:t xml:space="preserve">förenklad tillgänglighet till regler och information om gällande rättsläge </w:t>
      </w:r>
      <w:r w:rsidR="00464155">
        <w:rPr>
          <w:rFonts w:asciiTheme="minorHAnsi" w:hAnsiTheme="minorHAnsi" w:cstheme="minorBidi"/>
          <w:color w:val="auto"/>
          <w:sz w:val="21"/>
          <w:szCs w:val="22"/>
        </w:rPr>
        <w:t>bör</w:t>
      </w:r>
      <w:r w:rsidRPr="00C22B5C">
        <w:rPr>
          <w:rFonts w:asciiTheme="minorHAnsi" w:hAnsiTheme="minorHAnsi" w:cstheme="minorBidi"/>
          <w:color w:val="auto"/>
          <w:sz w:val="21"/>
          <w:szCs w:val="22"/>
        </w:rPr>
        <w:t xml:space="preserve"> innebära att näringsliv och tillsynsmyndighet</w:t>
      </w:r>
      <w:r w:rsidR="00DC19D6">
        <w:rPr>
          <w:rFonts w:asciiTheme="minorHAnsi" w:hAnsiTheme="minorHAnsi" w:cstheme="minorBidi"/>
          <w:color w:val="auto"/>
          <w:sz w:val="21"/>
          <w:szCs w:val="22"/>
        </w:rPr>
        <w:t>er</w:t>
      </w:r>
      <w:r w:rsidRPr="00C22B5C">
        <w:rPr>
          <w:rFonts w:asciiTheme="minorHAnsi" w:hAnsiTheme="minorHAnsi" w:cstheme="minorBidi"/>
          <w:color w:val="auto"/>
          <w:sz w:val="21"/>
          <w:szCs w:val="22"/>
        </w:rPr>
        <w:t xml:space="preserve"> behöver lägga ned mindre tid på att själva utreda rättsläget och tolka lagstiftningen. </w:t>
      </w:r>
    </w:p>
    <w:p w14:paraId="1B2950B9" w14:textId="77777777" w:rsidR="005E7F4B" w:rsidRDefault="005E7F4B" w:rsidP="005E7F4B">
      <w:pPr>
        <w:pStyle w:val="Default"/>
        <w:rPr>
          <w:rFonts w:ascii="Georgia" w:hAnsi="Georgia" w:cs="Georgia"/>
          <w:color w:val="auto"/>
          <w:sz w:val="21"/>
          <w:szCs w:val="21"/>
        </w:rPr>
      </w:pPr>
    </w:p>
    <w:p w14:paraId="1B0A8AC6" w14:textId="77777777" w:rsidR="005E7F4B" w:rsidRPr="0006634F" w:rsidRDefault="005E7F4B" w:rsidP="00720644">
      <w:pPr>
        <w:pStyle w:val="Rubrik4"/>
        <w:rPr>
          <w:b/>
          <w:bCs w:val="0"/>
          <w:i w:val="0"/>
          <w:iCs w:val="0"/>
        </w:rPr>
      </w:pPr>
      <w:r w:rsidRPr="0006634F">
        <w:rPr>
          <w:b/>
          <w:bCs w:val="0"/>
          <w:i w:val="0"/>
          <w:iCs w:val="0"/>
        </w:rPr>
        <w:t xml:space="preserve">5. Bedömning av om regleringen överensstämmer med eller går utöver de skyldigheter som följer av Sveriges anslutning till Europeiska unionen </w:t>
      </w:r>
    </w:p>
    <w:p w14:paraId="7E7A7EEE" w14:textId="77777777" w:rsidR="005E7F4B" w:rsidRDefault="005E7F4B" w:rsidP="005E7F4B">
      <w:pPr>
        <w:pStyle w:val="Default"/>
        <w:rPr>
          <w:color w:val="auto"/>
          <w:sz w:val="22"/>
          <w:szCs w:val="22"/>
        </w:rPr>
      </w:pPr>
    </w:p>
    <w:p w14:paraId="116489F1" w14:textId="099227E2" w:rsidR="00A04E95" w:rsidRDefault="005E7F4B" w:rsidP="00BB64B0">
      <w:pPr>
        <w:pStyle w:val="Default"/>
        <w:spacing w:line="276" w:lineRule="auto"/>
        <w:rPr>
          <w:rFonts w:ascii="Georgia" w:hAnsi="Georgia" w:cs="Georgia"/>
          <w:color w:val="auto"/>
          <w:sz w:val="21"/>
          <w:szCs w:val="21"/>
        </w:rPr>
      </w:pPr>
      <w:r w:rsidRPr="0087403E">
        <w:rPr>
          <w:rFonts w:ascii="Georgia" w:hAnsi="Georgia" w:cs="Georgia"/>
          <w:color w:val="auto"/>
          <w:sz w:val="21"/>
          <w:szCs w:val="21"/>
        </w:rPr>
        <w:t xml:space="preserve">Regleringen går </w:t>
      </w:r>
      <w:r>
        <w:rPr>
          <w:rFonts w:ascii="Georgia" w:hAnsi="Georgia" w:cs="Georgia"/>
          <w:color w:val="auto"/>
          <w:sz w:val="21"/>
          <w:szCs w:val="21"/>
        </w:rPr>
        <w:t xml:space="preserve">utöver de skyldigheter som följer av Sveriges anslutning till Europeiska unionen. Konsumentverkets allmänna råd knyter an till </w:t>
      </w:r>
      <w:r w:rsidR="005D0C90">
        <w:rPr>
          <w:rFonts w:ascii="Georgia" w:hAnsi="Georgia" w:cs="Georgia"/>
          <w:color w:val="auto"/>
          <w:sz w:val="21"/>
          <w:szCs w:val="21"/>
        </w:rPr>
        <w:t xml:space="preserve">den svenska </w:t>
      </w:r>
      <w:r>
        <w:rPr>
          <w:rFonts w:ascii="Georgia" w:hAnsi="Georgia" w:cs="Georgia"/>
          <w:color w:val="auto"/>
          <w:sz w:val="21"/>
          <w:szCs w:val="21"/>
        </w:rPr>
        <w:t xml:space="preserve">alkohollagstiftningen. De allmänna råden syftar </w:t>
      </w:r>
      <w:r w:rsidR="00754E9C">
        <w:rPr>
          <w:rFonts w:ascii="Georgia" w:hAnsi="Georgia" w:cs="Georgia"/>
          <w:color w:val="auto"/>
          <w:sz w:val="21"/>
          <w:szCs w:val="21"/>
        </w:rPr>
        <w:t xml:space="preserve">primärt </w:t>
      </w:r>
      <w:r>
        <w:rPr>
          <w:rFonts w:ascii="Georgia" w:hAnsi="Georgia" w:cs="Georgia"/>
          <w:color w:val="auto"/>
          <w:sz w:val="21"/>
          <w:szCs w:val="21"/>
        </w:rPr>
        <w:t>till att precisera innebörden av särskild måttfullhet i alkohollagen och att främja en enhetlig tillämpning av reglerna för marknadsföring av alkoholdryck</w:t>
      </w:r>
      <w:r w:rsidR="007166CF">
        <w:rPr>
          <w:rFonts w:ascii="Georgia" w:hAnsi="Georgia" w:cs="Georgia"/>
          <w:color w:val="auto"/>
          <w:sz w:val="21"/>
          <w:szCs w:val="21"/>
        </w:rPr>
        <w:t>er och alkoholdryckliknande preparat</w:t>
      </w:r>
      <w:r>
        <w:rPr>
          <w:rFonts w:ascii="Georgia" w:hAnsi="Georgia" w:cs="Georgia"/>
          <w:color w:val="auto"/>
          <w:sz w:val="21"/>
          <w:szCs w:val="21"/>
        </w:rPr>
        <w:t>.</w:t>
      </w:r>
      <w:r w:rsidRPr="009E1097">
        <w:rPr>
          <w:rFonts w:ascii="Georgia" w:hAnsi="Georgia" w:cs="Georgia"/>
          <w:color w:val="auto"/>
          <w:sz w:val="21"/>
          <w:szCs w:val="21"/>
        </w:rPr>
        <w:t xml:space="preserve"> </w:t>
      </w:r>
      <w:r>
        <w:rPr>
          <w:rFonts w:ascii="Georgia" w:hAnsi="Georgia" w:cs="Georgia"/>
          <w:color w:val="auto"/>
          <w:sz w:val="21"/>
          <w:szCs w:val="21"/>
        </w:rPr>
        <w:t>Alkohollagstiftningen är inte harmoniserad inom EU</w:t>
      </w:r>
      <w:r w:rsidR="00FE1727">
        <w:rPr>
          <w:rFonts w:ascii="Georgia" w:hAnsi="Georgia" w:cs="Georgia"/>
          <w:color w:val="auto"/>
          <w:sz w:val="21"/>
          <w:szCs w:val="21"/>
        </w:rPr>
        <w:t xml:space="preserve"> och</w:t>
      </w:r>
      <w:r>
        <w:rPr>
          <w:rFonts w:ascii="Georgia" w:hAnsi="Georgia" w:cs="Georgia"/>
          <w:color w:val="auto"/>
          <w:sz w:val="21"/>
          <w:szCs w:val="21"/>
        </w:rPr>
        <w:t xml:space="preserve"> Sverige har restriktivare regler än många andra medlemsstater. Den restriktiva alkohollagstiftningen är dock motiverad med hänsyn till skydd för människors hälsa</w:t>
      </w:r>
      <w:r w:rsidR="00FE1727">
        <w:rPr>
          <w:rFonts w:ascii="Georgia" w:hAnsi="Georgia" w:cs="Georgia"/>
          <w:color w:val="auto"/>
          <w:sz w:val="21"/>
          <w:szCs w:val="21"/>
        </w:rPr>
        <w:t>.</w:t>
      </w:r>
    </w:p>
    <w:p w14:paraId="7EB2A9BC" w14:textId="77777777" w:rsidR="00A04E95" w:rsidRDefault="00A04E95" w:rsidP="00BB64B0">
      <w:pPr>
        <w:pStyle w:val="Default"/>
        <w:spacing w:line="276" w:lineRule="auto"/>
        <w:rPr>
          <w:rFonts w:ascii="Georgia" w:hAnsi="Georgia" w:cs="Georgia"/>
          <w:color w:val="auto"/>
          <w:sz w:val="21"/>
          <w:szCs w:val="21"/>
        </w:rPr>
      </w:pPr>
    </w:p>
    <w:p w14:paraId="3C6468B9" w14:textId="5CFDB2C5" w:rsidR="005E7F4B" w:rsidRDefault="00A04E95" w:rsidP="00DC273A">
      <w:pPr>
        <w:pStyle w:val="Default"/>
        <w:spacing w:line="276" w:lineRule="auto"/>
        <w:rPr>
          <w:rFonts w:ascii="Georgia" w:hAnsi="Georgia" w:cs="Georgia"/>
          <w:color w:val="auto"/>
          <w:sz w:val="21"/>
          <w:szCs w:val="21"/>
        </w:rPr>
      </w:pPr>
      <w:r>
        <w:rPr>
          <w:rFonts w:ascii="Georgia" w:hAnsi="Georgia" w:cs="Georgia"/>
          <w:color w:val="auto"/>
          <w:sz w:val="21"/>
          <w:szCs w:val="21"/>
        </w:rPr>
        <w:t xml:space="preserve">De allmänna råden </w:t>
      </w:r>
      <w:r w:rsidR="00307FFD">
        <w:rPr>
          <w:rFonts w:ascii="Georgia" w:hAnsi="Georgia" w:cs="Georgia"/>
          <w:color w:val="auto"/>
          <w:sz w:val="21"/>
          <w:szCs w:val="21"/>
        </w:rPr>
        <w:t>kommer</w:t>
      </w:r>
      <w:r>
        <w:rPr>
          <w:rFonts w:ascii="Georgia" w:hAnsi="Georgia" w:cs="Georgia"/>
          <w:color w:val="auto"/>
          <w:sz w:val="21"/>
          <w:szCs w:val="21"/>
        </w:rPr>
        <w:t xml:space="preserve"> </w:t>
      </w:r>
      <w:r w:rsidR="00FD0C94">
        <w:rPr>
          <w:rFonts w:ascii="Georgia" w:hAnsi="Georgia" w:cs="Georgia"/>
          <w:color w:val="auto"/>
          <w:sz w:val="21"/>
          <w:szCs w:val="21"/>
        </w:rPr>
        <w:t xml:space="preserve">som utgångspunkt </w:t>
      </w:r>
      <w:r>
        <w:rPr>
          <w:rFonts w:ascii="Georgia" w:hAnsi="Georgia" w:cs="Georgia"/>
          <w:color w:val="auto"/>
          <w:sz w:val="21"/>
          <w:szCs w:val="21"/>
        </w:rPr>
        <w:t>genomgå</w:t>
      </w:r>
      <w:r w:rsidR="00307FFD">
        <w:rPr>
          <w:rFonts w:ascii="Georgia" w:hAnsi="Georgia" w:cs="Georgia"/>
          <w:color w:val="auto"/>
          <w:sz w:val="21"/>
          <w:szCs w:val="21"/>
        </w:rPr>
        <w:t xml:space="preserve"> </w:t>
      </w:r>
      <w:r>
        <w:rPr>
          <w:rFonts w:ascii="Georgia" w:hAnsi="Georgia" w:cs="Georgia"/>
          <w:color w:val="auto"/>
          <w:sz w:val="21"/>
          <w:szCs w:val="21"/>
        </w:rPr>
        <w:t>i</w:t>
      </w:r>
      <w:r w:rsidR="00BB64B0" w:rsidRPr="00BB64B0">
        <w:rPr>
          <w:rFonts w:ascii="Georgia" w:hAnsi="Georgia" w:cs="Georgia"/>
          <w:color w:val="auto"/>
          <w:sz w:val="21"/>
          <w:szCs w:val="21"/>
        </w:rPr>
        <w:t>nformationsförfarande</w:t>
      </w:r>
      <w:r w:rsidR="00307FFD">
        <w:rPr>
          <w:rFonts w:ascii="Georgia" w:hAnsi="Georgia" w:cs="Georgia"/>
          <w:color w:val="auto"/>
          <w:sz w:val="21"/>
          <w:szCs w:val="21"/>
        </w:rPr>
        <w:t>n</w:t>
      </w:r>
      <w:r w:rsidR="00BB64B0" w:rsidRPr="00BB64B0">
        <w:rPr>
          <w:rFonts w:ascii="Georgia" w:hAnsi="Georgia" w:cs="Georgia"/>
          <w:color w:val="auto"/>
          <w:sz w:val="21"/>
          <w:szCs w:val="21"/>
        </w:rPr>
        <w:t xml:space="preserve"> </w:t>
      </w:r>
      <w:r w:rsidR="00BB64B0">
        <w:rPr>
          <w:rFonts w:ascii="Georgia" w:hAnsi="Georgia" w:cs="Georgia"/>
          <w:color w:val="auto"/>
          <w:sz w:val="21"/>
          <w:szCs w:val="21"/>
        </w:rPr>
        <w:t xml:space="preserve">enligt </w:t>
      </w:r>
      <w:r w:rsidR="00BB64B0" w:rsidRPr="00BB64B0">
        <w:rPr>
          <w:rFonts w:ascii="Georgia" w:hAnsi="Georgia" w:cs="Georgia"/>
          <w:color w:val="auto"/>
          <w:sz w:val="21"/>
          <w:szCs w:val="21"/>
        </w:rPr>
        <w:t>Europaparlamentets och rådets direktiv (EU) 2015/1535</w:t>
      </w:r>
      <w:r w:rsidR="00C30C15">
        <w:rPr>
          <w:rFonts w:ascii="Georgia" w:hAnsi="Georgia" w:cs="Georgia"/>
          <w:color w:val="auto"/>
          <w:sz w:val="21"/>
          <w:szCs w:val="21"/>
        </w:rPr>
        <w:t xml:space="preserve"> </w:t>
      </w:r>
      <w:r w:rsidR="00BB64B0" w:rsidRPr="00BB64B0">
        <w:rPr>
          <w:rFonts w:ascii="Georgia" w:hAnsi="Georgia" w:cs="Georgia"/>
          <w:color w:val="auto"/>
          <w:sz w:val="21"/>
          <w:szCs w:val="21"/>
        </w:rPr>
        <w:t>beträffande tekniska föreskrifter och beträffande föreskrifter för informationssamhällets tjänster</w:t>
      </w:r>
      <w:r w:rsidR="00DC273A">
        <w:rPr>
          <w:rFonts w:ascii="Georgia" w:hAnsi="Georgia" w:cs="Georgia"/>
          <w:color w:val="auto"/>
          <w:sz w:val="21"/>
          <w:szCs w:val="21"/>
        </w:rPr>
        <w:t xml:space="preserve"> </w:t>
      </w:r>
      <w:r w:rsidR="00807271">
        <w:rPr>
          <w:rFonts w:ascii="Georgia" w:hAnsi="Georgia" w:cs="Georgia"/>
          <w:color w:val="auto"/>
          <w:sz w:val="21"/>
          <w:szCs w:val="21"/>
        </w:rPr>
        <w:t>samt</w:t>
      </w:r>
      <w:r w:rsidR="00DC273A" w:rsidRPr="00DC273A">
        <w:rPr>
          <w:rFonts w:ascii="Georgia" w:hAnsi="Georgia" w:cs="Georgia"/>
          <w:color w:val="auto"/>
          <w:sz w:val="21"/>
          <w:szCs w:val="21"/>
        </w:rPr>
        <w:t xml:space="preserve"> </w:t>
      </w:r>
      <w:r w:rsidR="00FD0C94">
        <w:rPr>
          <w:rFonts w:ascii="Georgia" w:hAnsi="Georgia" w:cs="Georgia"/>
          <w:color w:val="auto"/>
          <w:sz w:val="21"/>
          <w:szCs w:val="21"/>
        </w:rPr>
        <w:t xml:space="preserve">enligt </w:t>
      </w:r>
      <w:r w:rsidR="00DC273A" w:rsidRPr="00DC273A">
        <w:rPr>
          <w:rFonts w:ascii="Georgia" w:hAnsi="Georgia" w:cs="Georgia"/>
          <w:color w:val="auto"/>
          <w:sz w:val="21"/>
          <w:szCs w:val="21"/>
        </w:rPr>
        <w:t>Europaparlamentets och rådets direktiv 2006/123/EG om tjänster på den inre marknaden</w:t>
      </w:r>
      <w:r>
        <w:rPr>
          <w:rFonts w:ascii="Georgia" w:hAnsi="Georgia" w:cs="Georgia"/>
          <w:color w:val="auto"/>
          <w:sz w:val="21"/>
          <w:szCs w:val="21"/>
        </w:rPr>
        <w:t>.</w:t>
      </w:r>
    </w:p>
    <w:p w14:paraId="716C871F" w14:textId="77777777" w:rsidR="00BF273B" w:rsidRDefault="00BF273B" w:rsidP="005E7F4B">
      <w:pPr>
        <w:pStyle w:val="Default"/>
        <w:spacing w:line="276" w:lineRule="auto"/>
        <w:rPr>
          <w:rFonts w:ascii="Georgia" w:hAnsi="Georgia" w:cs="Georgia"/>
          <w:color w:val="auto"/>
          <w:sz w:val="21"/>
          <w:szCs w:val="21"/>
        </w:rPr>
      </w:pPr>
    </w:p>
    <w:p w14:paraId="73124936" w14:textId="77777777" w:rsidR="005E7F4B" w:rsidRPr="0006634F" w:rsidRDefault="005E7F4B" w:rsidP="005E7F4B">
      <w:pPr>
        <w:pStyle w:val="Default"/>
        <w:rPr>
          <w:rFonts w:ascii="Georgia" w:hAnsi="Georgia" w:cs="Georgia"/>
          <w:b/>
          <w:bCs/>
          <w:color w:val="auto"/>
          <w:sz w:val="21"/>
          <w:szCs w:val="21"/>
        </w:rPr>
      </w:pPr>
    </w:p>
    <w:p w14:paraId="1F8F8BD0" w14:textId="77777777" w:rsidR="005E7F4B" w:rsidRPr="0006634F" w:rsidRDefault="005E7F4B" w:rsidP="005E7F4B">
      <w:pPr>
        <w:pStyle w:val="Default"/>
        <w:rPr>
          <w:b/>
          <w:bCs/>
          <w:color w:val="auto"/>
          <w:sz w:val="22"/>
          <w:szCs w:val="22"/>
        </w:rPr>
      </w:pPr>
      <w:r w:rsidRPr="0006634F">
        <w:rPr>
          <w:b/>
          <w:bCs/>
          <w:color w:val="auto"/>
          <w:sz w:val="22"/>
          <w:szCs w:val="22"/>
        </w:rPr>
        <w:t xml:space="preserve">6. Bedömning av om särskilda hänsyn behöver tas när det gäller tidpunkten för ikraftträdande och om det finns behov av speciella informationsinsatser </w:t>
      </w:r>
    </w:p>
    <w:p w14:paraId="60F37351" w14:textId="77777777" w:rsidR="005E7F4B" w:rsidRDefault="005E7F4B" w:rsidP="005E7F4B">
      <w:pPr>
        <w:pStyle w:val="Default"/>
        <w:rPr>
          <w:color w:val="auto"/>
          <w:sz w:val="22"/>
          <w:szCs w:val="22"/>
        </w:rPr>
      </w:pPr>
    </w:p>
    <w:p w14:paraId="769BD293" w14:textId="0ABB6F61" w:rsidR="005E7F4B" w:rsidRDefault="004B5DF5" w:rsidP="005E7F4B">
      <w:pPr>
        <w:pStyle w:val="Default"/>
        <w:spacing w:line="276" w:lineRule="auto"/>
        <w:rPr>
          <w:rFonts w:ascii="Georgia" w:hAnsi="Georgia" w:cs="Georgia"/>
          <w:color w:val="auto"/>
          <w:sz w:val="21"/>
          <w:szCs w:val="21"/>
        </w:rPr>
      </w:pPr>
      <w:r>
        <w:rPr>
          <w:rFonts w:ascii="Georgia" w:hAnsi="Georgia" w:cs="Georgia"/>
          <w:color w:val="auto"/>
          <w:sz w:val="21"/>
          <w:szCs w:val="21"/>
        </w:rPr>
        <w:t xml:space="preserve">Tidpunkten för ikraftträdande är avhängigt </w:t>
      </w:r>
      <w:r w:rsidR="00685466">
        <w:rPr>
          <w:rFonts w:ascii="Georgia" w:hAnsi="Georgia" w:cs="Georgia"/>
          <w:color w:val="auto"/>
          <w:sz w:val="21"/>
          <w:szCs w:val="21"/>
        </w:rPr>
        <w:t xml:space="preserve">det </w:t>
      </w:r>
      <w:r>
        <w:rPr>
          <w:rFonts w:ascii="Georgia" w:hAnsi="Georgia" w:cs="Georgia"/>
          <w:color w:val="auto"/>
          <w:sz w:val="21"/>
          <w:szCs w:val="21"/>
        </w:rPr>
        <w:t>anmäl</w:t>
      </w:r>
      <w:r w:rsidR="00526D74">
        <w:rPr>
          <w:rFonts w:ascii="Georgia" w:hAnsi="Georgia" w:cs="Georgia"/>
          <w:color w:val="auto"/>
          <w:sz w:val="21"/>
          <w:szCs w:val="21"/>
        </w:rPr>
        <w:t>ningsförfarande</w:t>
      </w:r>
      <w:r w:rsidR="00C73F92">
        <w:rPr>
          <w:rFonts w:ascii="Georgia" w:hAnsi="Georgia" w:cs="Georgia"/>
          <w:color w:val="auto"/>
          <w:sz w:val="21"/>
          <w:szCs w:val="21"/>
        </w:rPr>
        <w:t xml:space="preserve"> </w:t>
      </w:r>
      <w:r w:rsidR="00E82203">
        <w:rPr>
          <w:rFonts w:ascii="Georgia" w:hAnsi="Georgia" w:cs="Georgia"/>
          <w:color w:val="auto"/>
          <w:sz w:val="21"/>
          <w:szCs w:val="21"/>
        </w:rPr>
        <w:t xml:space="preserve">för </w:t>
      </w:r>
      <w:r w:rsidR="00430016">
        <w:rPr>
          <w:rFonts w:ascii="Georgia" w:hAnsi="Georgia" w:cs="Georgia"/>
          <w:color w:val="auto"/>
          <w:sz w:val="21"/>
          <w:szCs w:val="21"/>
        </w:rPr>
        <w:t>tekniska föreskrifter och föreskrifter för informationssamhällets t</w:t>
      </w:r>
      <w:r w:rsidR="00E82203">
        <w:rPr>
          <w:rFonts w:ascii="Georgia" w:hAnsi="Georgia" w:cs="Georgia"/>
          <w:color w:val="auto"/>
          <w:sz w:val="21"/>
          <w:szCs w:val="21"/>
        </w:rPr>
        <w:t>jänster</w:t>
      </w:r>
      <w:r w:rsidR="00C73F92">
        <w:rPr>
          <w:rFonts w:ascii="Georgia" w:hAnsi="Georgia" w:cs="Georgia"/>
          <w:color w:val="auto"/>
          <w:sz w:val="21"/>
          <w:szCs w:val="21"/>
        </w:rPr>
        <w:t xml:space="preserve"> i enlighet med vad som anges i </w:t>
      </w:r>
      <w:r w:rsidR="00E82203">
        <w:rPr>
          <w:rFonts w:ascii="Georgia" w:hAnsi="Georgia" w:cs="Georgia"/>
          <w:color w:val="auto"/>
          <w:sz w:val="21"/>
          <w:szCs w:val="21"/>
        </w:rPr>
        <w:t>föregående punkt</w:t>
      </w:r>
      <w:r>
        <w:rPr>
          <w:rFonts w:ascii="Georgia" w:hAnsi="Georgia" w:cs="Georgia"/>
          <w:color w:val="auto"/>
          <w:sz w:val="21"/>
          <w:szCs w:val="21"/>
        </w:rPr>
        <w:t xml:space="preserve">.  </w:t>
      </w:r>
      <w:r w:rsidR="00526D74">
        <w:rPr>
          <w:rFonts w:ascii="Georgia" w:hAnsi="Georgia" w:cs="Georgia"/>
          <w:color w:val="auto"/>
          <w:sz w:val="21"/>
          <w:szCs w:val="21"/>
        </w:rPr>
        <w:t xml:space="preserve">I övrigt </w:t>
      </w:r>
      <w:r w:rsidR="005E7F4B">
        <w:rPr>
          <w:rFonts w:ascii="Georgia" w:hAnsi="Georgia" w:cs="Georgia"/>
          <w:color w:val="auto"/>
          <w:sz w:val="21"/>
          <w:szCs w:val="21"/>
        </w:rPr>
        <w:t xml:space="preserve">bedöms </w:t>
      </w:r>
      <w:r w:rsidR="00526D74">
        <w:rPr>
          <w:rFonts w:ascii="Georgia" w:hAnsi="Georgia" w:cs="Georgia"/>
          <w:color w:val="auto"/>
          <w:sz w:val="21"/>
          <w:szCs w:val="21"/>
        </w:rPr>
        <w:t xml:space="preserve">det </w:t>
      </w:r>
      <w:r w:rsidR="005E7F4B">
        <w:rPr>
          <w:rFonts w:ascii="Georgia" w:hAnsi="Georgia" w:cs="Georgia"/>
          <w:color w:val="auto"/>
          <w:sz w:val="21"/>
          <w:szCs w:val="21"/>
        </w:rPr>
        <w:t xml:space="preserve">inte vara nödvändigt att ta någon särskild hänsyn till tidpunkten för ikraftträdande.  </w:t>
      </w:r>
    </w:p>
    <w:p w14:paraId="52EA3DAC" w14:textId="77777777" w:rsidR="005E7F4B" w:rsidRDefault="005E7F4B" w:rsidP="005E7F4B">
      <w:pPr>
        <w:pStyle w:val="Default"/>
        <w:spacing w:line="276" w:lineRule="auto"/>
        <w:rPr>
          <w:rFonts w:ascii="Georgia" w:hAnsi="Georgia" w:cs="Georgia"/>
          <w:color w:val="auto"/>
          <w:sz w:val="21"/>
          <w:szCs w:val="21"/>
        </w:rPr>
      </w:pPr>
    </w:p>
    <w:p w14:paraId="428BE787" w14:textId="1D32C453" w:rsidR="005E7F4B" w:rsidRDefault="005E7F4B" w:rsidP="0012737E">
      <w:pPr>
        <w:pStyle w:val="Default"/>
        <w:spacing w:line="276" w:lineRule="auto"/>
        <w:rPr>
          <w:rFonts w:ascii="Georgia" w:hAnsi="Georgia" w:cs="Georgia"/>
          <w:color w:val="auto"/>
          <w:sz w:val="21"/>
          <w:szCs w:val="21"/>
        </w:rPr>
      </w:pPr>
      <w:r>
        <w:rPr>
          <w:rFonts w:ascii="Georgia" w:hAnsi="Georgia" w:cs="Georgia"/>
          <w:color w:val="auto"/>
          <w:sz w:val="21"/>
          <w:szCs w:val="21"/>
        </w:rPr>
        <w:t xml:space="preserve">Konsumentverket avser att efter färdigställande informera om och publicera de reviderade råden på myndighetens webbplats samt skicka ut information till branschorganisationer och andra berörda parter. </w:t>
      </w:r>
    </w:p>
    <w:p w14:paraId="3FA2766B" w14:textId="77777777" w:rsidR="0012737E" w:rsidRPr="0012737E" w:rsidRDefault="0012737E" w:rsidP="0012737E">
      <w:pPr>
        <w:pStyle w:val="Default"/>
        <w:spacing w:line="276" w:lineRule="auto"/>
        <w:rPr>
          <w:rFonts w:ascii="Georgia" w:hAnsi="Georgia" w:cs="Georgia"/>
          <w:color w:val="auto"/>
          <w:sz w:val="21"/>
          <w:szCs w:val="21"/>
        </w:rPr>
      </w:pPr>
    </w:p>
    <w:p w14:paraId="0C3DFF96" w14:textId="77777777" w:rsidR="005E7F4B" w:rsidRPr="00011900" w:rsidRDefault="005E7F4B" w:rsidP="0012737E">
      <w:pPr>
        <w:pStyle w:val="Rubrik4"/>
        <w:rPr>
          <w:b/>
          <w:bCs w:val="0"/>
          <w:i w:val="0"/>
          <w:iCs w:val="0"/>
        </w:rPr>
      </w:pPr>
      <w:r w:rsidRPr="00011900">
        <w:rPr>
          <w:b/>
          <w:bCs w:val="0"/>
          <w:i w:val="0"/>
          <w:iCs w:val="0"/>
        </w:rPr>
        <w:t xml:space="preserve">7. Beskrivning av antalet företag som berörs, vilka branscher företagen är verksamma i samt storleken på företagen </w:t>
      </w:r>
    </w:p>
    <w:p w14:paraId="4182D34A" w14:textId="77777777" w:rsidR="005E7F4B" w:rsidRDefault="005E7F4B" w:rsidP="005E7F4B">
      <w:pPr>
        <w:pStyle w:val="Default"/>
        <w:rPr>
          <w:color w:val="auto"/>
          <w:sz w:val="22"/>
          <w:szCs w:val="22"/>
        </w:rPr>
      </w:pPr>
    </w:p>
    <w:p w14:paraId="52F0A7C1" w14:textId="1AD30F2E" w:rsidR="005E7F4B" w:rsidRDefault="008F7F1B" w:rsidP="005E7F4B">
      <w:pPr>
        <w:pStyle w:val="Default"/>
        <w:spacing w:line="276" w:lineRule="auto"/>
        <w:rPr>
          <w:rFonts w:ascii="Georgia" w:hAnsi="Georgia" w:cs="Georgia"/>
          <w:color w:val="auto"/>
          <w:sz w:val="21"/>
          <w:szCs w:val="21"/>
        </w:rPr>
      </w:pPr>
      <w:r>
        <w:rPr>
          <w:rFonts w:ascii="Georgia" w:hAnsi="Georgia" w:cs="Georgia"/>
          <w:color w:val="auto"/>
          <w:sz w:val="21"/>
          <w:szCs w:val="21"/>
        </w:rPr>
        <w:t>Konsumentverket saknar uppgift om exakt antal företag men bedömer att s</w:t>
      </w:r>
      <w:r w:rsidR="0086522C">
        <w:rPr>
          <w:rFonts w:ascii="Georgia" w:hAnsi="Georgia" w:cs="Georgia"/>
          <w:color w:val="auto"/>
          <w:sz w:val="21"/>
          <w:szCs w:val="21"/>
        </w:rPr>
        <w:t>a</w:t>
      </w:r>
      <w:r w:rsidR="005E7F4B">
        <w:rPr>
          <w:rFonts w:ascii="Georgia" w:hAnsi="Georgia" w:cs="Georgia"/>
          <w:color w:val="auto"/>
          <w:sz w:val="21"/>
          <w:szCs w:val="21"/>
        </w:rPr>
        <w:t>mtliga tillverkare av alkoholdryck</w:t>
      </w:r>
      <w:r w:rsidR="00CC25EE">
        <w:rPr>
          <w:rFonts w:ascii="Georgia" w:hAnsi="Georgia" w:cs="Georgia"/>
          <w:color w:val="auto"/>
          <w:sz w:val="21"/>
          <w:szCs w:val="21"/>
        </w:rPr>
        <w:t xml:space="preserve"> och alkoholdrycksliknande preparat</w:t>
      </w:r>
      <w:r w:rsidR="00182672">
        <w:rPr>
          <w:rFonts w:ascii="Georgia" w:hAnsi="Georgia" w:cs="Georgia"/>
          <w:color w:val="auto"/>
          <w:sz w:val="21"/>
          <w:szCs w:val="21"/>
        </w:rPr>
        <w:t xml:space="preserve"> samt </w:t>
      </w:r>
      <w:r w:rsidR="005E7F4B">
        <w:rPr>
          <w:rFonts w:ascii="Georgia" w:hAnsi="Georgia" w:cs="Georgia"/>
          <w:color w:val="auto"/>
          <w:sz w:val="21"/>
          <w:szCs w:val="21"/>
        </w:rPr>
        <w:t>grossister, detaljister och andra tillståndshavare enligt alkohollagen</w:t>
      </w:r>
      <w:r w:rsidR="00CC7B5A">
        <w:rPr>
          <w:rFonts w:ascii="Georgia" w:hAnsi="Georgia" w:cs="Georgia"/>
          <w:color w:val="auto"/>
          <w:sz w:val="21"/>
          <w:szCs w:val="21"/>
        </w:rPr>
        <w:t xml:space="preserve"> berörs. </w:t>
      </w:r>
      <w:r w:rsidR="003D38FA">
        <w:rPr>
          <w:rFonts w:ascii="Georgia" w:hAnsi="Georgia" w:cs="Georgia"/>
          <w:color w:val="auto"/>
          <w:sz w:val="21"/>
          <w:szCs w:val="21"/>
        </w:rPr>
        <w:t>Tillämpning och s</w:t>
      </w:r>
      <w:r w:rsidR="00CC7B5A">
        <w:rPr>
          <w:rFonts w:ascii="Georgia" w:hAnsi="Georgia" w:cs="Georgia"/>
          <w:color w:val="auto"/>
          <w:sz w:val="21"/>
          <w:szCs w:val="21"/>
        </w:rPr>
        <w:t>vensk jurisdiktion fr</w:t>
      </w:r>
      <w:r>
        <w:rPr>
          <w:rFonts w:ascii="Georgia" w:hAnsi="Georgia" w:cs="Georgia"/>
          <w:color w:val="auto"/>
          <w:sz w:val="21"/>
          <w:szCs w:val="21"/>
        </w:rPr>
        <w:t>a</w:t>
      </w:r>
      <w:r w:rsidR="00CC7B5A">
        <w:rPr>
          <w:rFonts w:ascii="Georgia" w:hAnsi="Georgia" w:cs="Georgia"/>
          <w:color w:val="auto"/>
          <w:sz w:val="21"/>
          <w:szCs w:val="21"/>
        </w:rPr>
        <w:t xml:space="preserve">mgår av </w:t>
      </w:r>
      <w:r w:rsidR="00CB47DD">
        <w:rPr>
          <w:rFonts w:ascii="Georgia" w:hAnsi="Georgia" w:cs="Georgia"/>
          <w:color w:val="auto"/>
          <w:sz w:val="21"/>
          <w:szCs w:val="21"/>
        </w:rPr>
        <w:t xml:space="preserve">de allmänna </w:t>
      </w:r>
      <w:r w:rsidR="00CC7B5A">
        <w:rPr>
          <w:rFonts w:ascii="Georgia" w:hAnsi="Georgia" w:cs="Georgia"/>
          <w:color w:val="auto"/>
          <w:sz w:val="21"/>
          <w:szCs w:val="21"/>
        </w:rPr>
        <w:t xml:space="preserve">råden punkt </w:t>
      </w:r>
      <w:r>
        <w:rPr>
          <w:rFonts w:ascii="Georgia" w:hAnsi="Georgia" w:cs="Georgia"/>
          <w:color w:val="auto"/>
          <w:sz w:val="21"/>
          <w:szCs w:val="21"/>
        </w:rPr>
        <w:t xml:space="preserve">1.2. </w:t>
      </w:r>
    </w:p>
    <w:p w14:paraId="7518DD7D" w14:textId="77777777" w:rsidR="00011900" w:rsidRDefault="00011900" w:rsidP="005E7F4B">
      <w:pPr>
        <w:pStyle w:val="Default"/>
        <w:spacing w:line="276" w:lineRule="auto"/>
        <w:rPr>
          <w:rFonts w:ascii="Georgia" w:hAnsi="Georgia" w:cs="Georgia"/>
          <w:color w:val="auto"/>
          <w:sz w:val="21"/>
          <w:szCs w:val="21"/>
        </w:rPr>
      </w:pPr>
    </w:p>
    <w:p w14:paraId="75608A33" w14:textId="77777777" w:rsidR="005E7F4B" w:rsidRDefault="005E7F4B" w:rsidP="005E7F4B">
      <w:pPr>
        <w:pStyle w:val="Default"/>
        <w:rPr>
          <w:rFonts w:ascii="Georgia" w:hAnsi="Georgia" w:cs="Georgia"/>
          <w:color w:val="auto"/>
          <w:sz w:val="21"/>
          <w:szCs w:val="21"/>
        </w:rPr>
      </w:pPr>
    </w:p>
    <w:p w14:paraId="13A2C6BC" w14:textId="77777777" w:rsidR="005E7F4B" w:rsidRPr="00011900" w:rsidRDefault="005E7F4B" w:rsidP="005E7F4B">
      <w:pPr>
        <w:pStyle w:val="Default"/>
        <w:rPr>
          <w:b/>
          <w:bCs/>
          <w:color w:val="auto"/>
          <w:sz w:val="22"/>
          <w:szCs w:val="22"/>
        </w:rPr>
      </w:pPr>
      <w:r w:rsidRPr="00011900">
        <w:rPr>
          <w:b/>
          <w:bCs/>
          <w:color w:val="auto"/>
          <w:sz w:val="22"/>
          <w:szCs w:val="22"/>
        </w:rPr>
        <w:t xml:space="preserve">8. Beskrivning av vilken tidsåtgång regleringen kan föra med sig för företagen och vad regleringen innebär för företagens administrativa kostnader </w:t>
      </w:r>
    </w:p>
    <w:p w14:paraId="66AEC5AE" w14:textId="77777777" w:rsidR="005E7F4B" w:rsidRDefault="005E7F4B" w:rsidP="005E7F4B">
      <w:pPr>
        <w:pStyle w:val="Default"/>
        <w:rPr>
          <w:b/>
          <w:bCs/>
          <w:color w:val="auto"/>
          <w:sz w:val="22"/>
          <w:szCs w:val="22"/>
        </w:rPr>
      </w:pPr>
    </w:p>
    <w:p w14:paraId="59E28491" w14:textId="77777777" w:rsidR="005E7F4B" w:rsidRDefault="005E7F4B" w:rsidP="005E7F4B">
      <w:pPr>
        <w:pStyle w:val="Default"/>
        <w:spacing w:line="276" w:lineRule="auto"/>
        <w:rPr>
          <w:rFonts w:ascii="Georgia" w:hAnsi="Georgia" w:cs="Georgia"/>
          <w:color w:val="auto"/>
          <w:sz w:val="21"/>
          <w:szCs w:val="21"/>
        </w:rPr>
      </w:pPr>
      <w:r>
        <w:rPr>
          <w:rFonts w:ascii="Georgia" w:hAnsi="Georgia" w:cs="Georgia"/>
          <w:color w:val="auto"/>
          <w:sz w:val="21"/>
          <w:szCs w:val="21"/>
        </w:rPr>
        <w:t xml:space="preserve">Precis som nu gällande allmänna råd bör de reviderade råden innebära tidsbesparingar då förenklad tillgänglighet till regler och information om gällande rättsläge bör innebära att näringsliv och tillsynsmyndigheter behöver lägga ned mindre tid på att själva utreda rättsläget och tolka lagstiftningen. </w:t>
      </w:r>
    </w:p>
    <w:p w14:paraId="62049F24" w14:textId="77777777" w:rsidR="005E7F4B" w:rsidRDefault="005E7F4B" w:rsidP="005E7F4B">
      <w:pPr>
        <w:pStyle w:val="Default"/>
        <w:rPr>
          <w:rFonts w:ascii="Georgia" w:hAnsi="Georgia" w:cs="Georgia"/>
          <w:color w:val="auto"/>
          <w:sz w:val="21"/>
          <w:szCs w:val="21"/>
        </w:rPr>
      </w:pPr>
    </w:p>
    <w:p w14:paraId="665A1A91" w14:textId="77777777" w:rsidR="005E7F4B" w:rsidRPr="00150538" w:rsidRDefault="005E7F4B" w:rsidP="009372C7">
      <w:pPr>
        <w:pStyle w:val="Rubrik4"/>
        <w:rPr>
          <w:b/>
          <w:bCs w:val="0"/>
          <w:i w:val="0"/>
          <w:iCs w:val="0"/>
        </w:rPr>
      </w:pPr>
      <w:r w:rsidRPr="00150538">
        <w:rPr>
          <w:b/>
          <w:bCs w:val="0"/>
          <w:i w:val="0"/>
          <w:iCs w:val="0"/>
        </w:rPr>
        <w:t xml:space="preserve">9. Beskrivning av vilka andra kostnader den föreslagna regleringen medför för företagen och vilka ändringar i verksamheten företagen kan behöva vidta till följd av den föreslagna regleringen </w:t>
      </w:r>
    </w:p>
    <w:p w14:paraId="29BA1B7F" w14:textId="77777777" w:rsidR="005E7F4B" w:rsidRDefault="005E7F4B" w:rsidP="005E7F4B">
      <w:pPr>
        <w:pStyle w:val="Default"/>
        <w:rPr>
          <w:color w:val="auto"/>
          <w:sz w:val="22"/>
          <w:szCs w:val="22"/>
        </w:rPr>
      </w:pPr>
    </w:p>
    <w:p w14:paraId="63BDA369" w14:textId="5B57C557" w:rsidR="005E7F4B" w:rsidRDefault="005E7F4B" w:rsidP="005E7F4B">
      <w:pPr>
        <w:pStyle w:val="Default"/>
        <w:spacing w:line="276" w:lineRule="auto"/>
        <w:rPr>
          <w:rFonts w:ascii="Georgia" w:hAnsi="Georgia" w:cs="Georgia"/>
          <w:color w:val="auto"/>
          <w:sz w:val="21"/>
          <w:szCs w:val="21"/>
        </w:rPr>
      </w:pPr>
      <w:r>
        <w:rPr>
          <w:rFonts w:ascii="Georgia" w:hAnsi="Georgia" w:cs="Georgia"/>
          <w:color w:val="auto"/>
          <w:sz w:val="21"/>
          <w:szCs w:val="21"/>
        </w:rPr>
        <w:t>Revideringen bedöms inte medföra några extra kostnader eller kräva ändringar i företagens verksamhet</w:t>
      </w:r>
      <w:r w:rsidR="0064176E">
        <w:rPr>
          <w:rFonts w:ascii="Georgia" w:hAnsi="Georgia" w:cs="Georgia"/>
          <w:color w:val="auto"/>
          <w:sz w:val="21"/>
          <w:szCs w:val="21"/>
        </w:rPr>
        <w:t xml:space="preserve"> jämfört med tidigare</w:t>
      </w:r>
      <w:r>
        <w:rPr>
          <w:rFonts w:ascii="Georgia" w:hAnsi="Georgia" w:cs="Georgia"/>
          <w:color w:val="auto"/>
          <w:sz w:val="21"/>
          <w:szCs w:val="21"/>
        </w:rPr>
        <w:t xml:space="preserve">. </w:t>
      </w:r>
    </w:p>
    <w:p w14:paraId="7D32EFE6" w14:textId="50B6C7A7" w:rsidR="005E7F4B" w:rsidRDefault="005E7F4B" w:rsidP="005E7F4B">
      <w:pPr>
        <w:pStyle w:val="Default"/>
        <w:rPr>
          <w:rFonts w:ascii="Georgia" w:hAnsi="Georgia" w:cs="Georgia"/>
          <w:color w:val="auto"/>
          <w:sz w:val="21"/>
          <w:szCs w:val="21"/>
        </w:rPr>
      </w:pPr>
    </w:p>
    <w:p w14:paraId="0F162EE2" w14:textId="77777777" w:rsidR="00934982" w:rsidRDefault="00934982" w:rsidP="005E7F4B">
      <w:pPr>
        <w:pStyle w:val="Default"/>
        <w:rPr>
          <w:rFonts w:ascii="Georgia" w:hAnsi="Georgia" w:cs="Georgia"/>
          <w:color w:val="auto"/>
          <w:sz w:val="21"/>
          <w:szCs w:val="21"/>
        </w:rPr>
      </w:pPr>
    </w:p>
    <w:p w14:paraId="262A34F4" w14:textId="77777777" w:rsidR="005E7F4B" w:rsidRDefault="005E7F4B" w:rsidP="005E7F4B">
      <w:pPr>
        <w:pStyle w:val="Default"/>
        <w:rPr>
          <w:b/>
          <w:bCs/>
          <w:color w:val="auto"/>
          <w:sz w:val="22"/>
          <w:szCs w:val="22"/>
        </w:rPr>
      </w:pPr>
      <w:r>
        <w:rPr>
          <w:b/>
          <w:bCs/>
          <w:color w:val="auto"/>
          <w:sz w:val="22"/>
          <w:szCs w:val="22"/>
        </w:rPr>
        <w:t xml:space="preserve">10. Beskrivning av i vilken utsträckning regleringen kan komma att påverka konkurrensförhållandena för företagen </w:t>
      </w:r>
    </w:p>
    <w:p w14:paraId="3C3E4BC8" w14:textId="77777777" w:rsidR="005E7F4B" w:rsidRDefault="005E7F4B" w:rsidP="005E7F4B">
      <w:pPr>
        <w:pStyle w:val="Default"/>
        <w:rPr>
          <w:color w:val="auto"/>
          <w:sz w:val="22"/>
          <w:szCs w:val="22"/>
        </w:rPr>
      </w:pPr>
    </w:p>
    <w:p w14:paraId="3CEE1B03" w14:textId="64FD21BE" w:rsidR="005E7F4B" w:rsidRDefault="005E7F4B" w:rsidP="005E7F4B">
      <w:pPr>
        <w:pStyle w:val="Default"/>
        <w:spacing w:line="276" w:lineRule="auto"/>
        <w:rPr>
          <w:rFonts w:ascii="Georgia" w:hAnsi="Georgia" w:cs="Georgia"/>
          <w:color w:val="auto"/>
          <w:sz w:val="21"/>
          <w:szCs w:val="21"/>
        </w:rPr>
      </w:pPr>
      <w:r>
        <w:rPr>
          <w:rFonts w:ascii="Georgia" w:hAnsi="Georgia" w:cs="Georgia"/>
          <w:color w:val="auto"/>
          <w:sz w:val="21"/>
          <w:szCs w:val="21"/>
        </w:rPr>
        <w:t xml:space="preserve">Ökad tillgänglighet till regler torde medföra att färre företag på grund av okunskap eller liknande inte följer regleringen vilket i sin tur bör leda till konkurrens på lika villkor. </w:t>
      </w:r>
    </w:p>
    <w:p w14:paraId="5E046344" w14:textId="77777777" w:rsidR="00CA2DAF" w:rsidRDefault="00CA2DAF" w:rsidP="005E7F4B">
      <w:pPr>
        <w:pStyle w:val="Default"/>
        <w:spacing w:line="276" w:lineRule="auto"/>
        <w:rPr>
          <w:rFonts w:ascii="Georgia" w:hAnsi="Georgia" w:cs="Georgia"/>
          <w:color w:val="auto"/>
          <w:sz w:val="21"/>
          <w:szCs w:val="21"/>
        </w:rPr>
      </w:pPr>
    </w:p>
    <w:p w14:paraId="158F1663" w14:textId="77777777" w:rsidR="005E7F4B" w:rsidRDefault="005E7F4B" w:rsidP="005E7F4B">
      <w:pPr>
        <w:pStyle w:val="Default"/>
        <w:rPr>
          <w:b/>
          <w:bCs/>
          <w:color w:val="auto"/>
          <w:sz w:val="22"/>
          <w:szCs w:val="22"/>
        </w:rPr>
      </w:pPr>
    </w:p>
    <w:p w14:paraId="2D5A94B4" w14:textId="77777777" w:rsidR="005E7F4B" w:rsidRDefault="005E7F4B" w:rsidP="005E7F4B">
      <w:pPr>
        <w:pStyle w:val="Default"/>
        <w:rPr>
          <w:b/>
          <w:bCs/>
          <w:color w:val="auto"/>
          <w:sz w:val="22"/>
          <w:szCs w:val="22"/>
        </w:rPr>
      </w:pPr>
      <w:r>
        <w:rPr>
          <w:b/>
          <w:bCs/>
          <w:color w:val="auto"/>
          <w:sz w:val="22"/>
          <w:szCs w:val="22"/>
        </w:rPr>
        <w:lastRenderedPageBreak/>
        <w:t xml:space="preserve">11. Beskrivning av hur regleringen i andra avseenden kan komma att påverka företagen </w:t>
      </w:r>
    </w:p>
    <w:p w14:paraId="070794D6" w14:textId="77777777" w:rsidR="005E7F4B" w:rsidRDefault="005E7F4B" w:rsidP="005E7F4B">
      <w:pPr>
        <w:pStyle w:val="Default"/>
        <w:rPr>
          <w:color w:val="auto"/>
          <w:sz w:val="22"/>
          <w:szCs w:val="22"/>
        </w:rPr>
      </w:pPr>
    </w:p>
    <w:p w14:paraId="48E5883E" w14:textId="77777777" w:rsidR="005E7F4B" w:rsidRDefault="005E7F4B" w:rsidP="005E7F4B">
      <w:pPr>
        <w:pStyle w:val="Default"/>
        <w:spacing w:line="276" w:lineRule="auto"/>
        <w:rPr>
          <w:rFonts w:ascii="Georgia" w:hAnsi="Georgia" w:cs="Georgia"/>
          <w:color w:val="auto"/>
          <w:sz w:val="21"/>
          <w:szCs w:val="21"/>
        </w:rPr>
      </w:pPr>
      <w:r>
        <w:rPr>
          <w:rFonts w:ascii="Georgia" w:hAnsi="Georgia" w:cs="Georgia"/>
          <w:color w:val="auto"/>
          <w:sz w:val="21"/>
          <w:szCs w:val="21"/>
        </w:rPr>
        <w:t>Konsumentverket bedömer inte att regleringen kommer att påverka företagen i andra avseenden.</w:t>
      </w:r>
    </w:p>
    <w:p w14:paraId="28A89CB3" w14:textId="77777777" w:rsidR="005E7F4B" w:rsidRDefault="005E7F4B" w:rsidP="005E7F4B">
      <w:pPr>
        <w:pStyle w:val="Default"/>
        <w:rPr>
          <w:rFonts w:ascii="Georgia" w:hAnsi="Georgia" w:cs="Georgia"/>
          <w:color w:val="auto"/>
          <w:sz w:val="21"/>
          <w:szCs w:val="21"/>
        </w:rPr>
      </w:pPr>
    </w:p>
    <w:p w14:paraId="66D08706" w14:textId="77777777" w:rsidR="00484BA5" w:rsidRDefault="00484BA5" w:rsidP="005E7F4B">
      <w:pPr>
        <w:pStyle w:val="Default"/>
        <w:rPr>
          <w:b/>
          <w:bCs/>
          <w:color w:val="auto"/>
          <w:sz w:val="22"/>
          <w:szCs w:val="22"/>
        </w:rPr>
      </w:pPr>
    </w:p>
    <w:p w14:paraId="67904143" w14:textId="53E3D789" w:rsidR="005E7F4B" w:rsidRDefault="005E7F4B" w:rsidP="005E7F4B">
      <w:pPr>
        <w:pStyle w:val="Default"/>
        <w:rPr>
          <w:b/>
          <w:bCs/>
          <w:color w:val="auto"/>
          <w:sz w:val="22"/>
          <w:szCs w:val="22"/>
        </w:rPr>
      </w:pPr>
      <w:r>
        <w:rPr>
          <w:b/>
          <w:bCs/>
          <w:color w:val="auto"/>
          <w:sz w:val="22"/>
          <w:szCs w:val="22"/>
        </w:rPr>
        <w:t xml:space="preserve">12. Beskrivning av om särskilda hänsyn behöver tas till små företag vid reglernas utformning </w:t>
      </w:r>
    </w:p>
    <w:p w14:paraId="2424970F" w14:textId="77777777" w:rsidR="005E7F4B" w:rsidRDefault="005E7F4B" w:rsidP="005E7F4B">
      <w:pPr>
        <w:pStyle w:val="Default"/>
        <w:rPr>
          <w:color w:val="auto"/>
          <w:sz w:val="22"/>
          <w:szCs w:val="22"/>
        </w:rPr>
      </w:pPr>
    </w:p>
    <w:p w14:paraId="2AC3ED9F" w14:textId="77777777" w:rsidR="005E7F4B" w:rsidRDefault="005E7F4B" w:rsidP="005E7F4B">
      <w:pPr>
        <w:pStyle w:val="Default"/>
        <w:spacing w:line="276" w:lineRule="auto"/>
        <w:rPr>
          <w:rFonts w:ascii="Georgia" w:hAnsi="Georgia" w:cs="Georgia"/>
          <w:color w:val="auto"/>
          <w:sz w:val="21"/>
          <w:szCs w:val="21"/>
        </w:rPr>
      </w:pPr>
      <w:r>
        <w:rPr>
          <w:rFonts w:ascii="Georgia" w:hAnsi="Georgia" w:cs="Georgia"/>
          <w:color w:val="auto"/>
          <w:sz w:val="21"/>
          <w:szCs w:val="21"/>
        </w:rPr>
        <w:t xml:space="preserve">Konsumentverket bedömer att det inte är nödvändigt att ta särskild hänsyn till små företag. </w:t>
      </w:r>
    </w:p>
    <w:p w14:paraId="397FB811" w14:textId="77777777" w:rsidR="005E7F4B" w:rsidRDefault="005E7F4B" w:rsidP="005E7F4B">
      <w:pPr>
        <w:pStyle w:val="Default"/>
        <w:rPr>
          <w:rFonts w:ascii="Georgia" w:hAnsi="Georgia" w:cs="Georgia"/>
          <w:color w:val="auto"/>
          <w:sz w:val="21"/>
          <w:szCs w:val="21"/>
        </w:rPr>
      </w:pPr>
    </w:p>
    <w:p w14:paraId="7CB87E9D" w14:textId="77777777" w:rsidR="00484BA5" w:rsidRDefault="00484BA5" w:rsidP="005E7F4B">
      <w:pPr>
        <w:pStyle w:val="Default"/>
        <w:rPr>
          <w:b/>
          <w:bCs/>
          <w:color w:val="auto"/>
          <w:sz w:val="22"/>
          <w:szCs w:val="22"/>
        </w:rPr>
      </w:pPr>
    </w:p>
    <w:p w14:paraId="73C52CB4" w14:textId="3532E644" w:rsidR="005E7F4B" w:rsidRDefault="005E7F4B" w:rsidP="005E7F4B">
      <w:pPr>
        <w:pStyle w:val="Default"/>
        <w:rPr>
          <w:b/>
          <w:bCs/>
          <w:color w:val="auto"/>
          <w:sz w:val="22"/>
          <w:szCs w:val="22"/>
        </w:rPr>
      </w:pPr>
      <w:r>
        <w:rPr>
          <w:b/>
          <w:bCs/>
          <w:color w:val="auto"/>
          <w:sz w:val="22"/>
          <w:szCs w:val="22"/>
        </w:rPr>
        <w:t xml:space="preserve">13. Kontaktpersoner </w:t>
      </w:r>
    </w:p>
    <w:p w14:paraId="6E50EEFF" w14:textId="77777777" w:rsidR="005E7F4B" w:rsidRDefault="005E7F4B" w:rsidP="005E7F4B">
      <w:pPr>
        <w:pStyle w:val="Default"/>
        <w:rPr>
          <w:color w:val="auto"/>
          <w:sz w:val="22"/>
          <w:szCs w:val="22"/>
        </w:rPr>
      </w:pPr>
    </w:p>
    <w:p w14:paraId="31EDA559" w14:textId="0031CC6A" w:rsidR="005E7F4B" w:rsidRPr="00FC2178" w:rsidRDefault="00484BA5" w:rsidP="005E7F4B">
      <w:pPr>
        <w:pStyle w:val="Default"/>
        <w:spacing w:line="276" w:lineRule="auto"/>
        <w:rPr>
          <w:rFonts w:ascii="Georgia" w:hAnsi="Georgia" w:cs="Georgia"/>
          <w:color w:val="auto"/>
          <w:sz w:val="21"/>
          <w:szCs w:val="21"/>
          <w:lang w:val="fi-FI"/>
        </w:rPr>
      </w:pPr>
      <w:r w:rsidRPr="00FC2178">
        <w:rPr>
          <w:rFonts w:ascii="Georgia" w:hAnsi="Georgia" w:cs="Georgia"/>
          <w:color w:val="auto"/>
          <w:sz w:val="21"/>
          <w:szCs w:val="21"/>
          <w:lang w:val="fi-FI"/>
        </w:rPr>
        <w:t>Emma Hedge</w:t>
      </w:r>
      <w:r w:rsidR="005E7F4B" w:rsidRPr="00FC2178">
        <w:rPr>
          <w:rFonts w:ascii="Georgia" w:hAnsi="Georgia" w:cs="Georgia"/>
          <w:color w:val="auto"/>
          <w:sz w:val="21"/>
          <w:szCs w:val="21"/>
          <w:lang w:val="fi-FI"/>
        </w:rPr>
        <w:t xml:space="preserve">: </w:t>
      </w:r>
      <w:hyperlink r:id="rId10" w:history="1">
        <w:r w:rsidRPr="00FC2178">
          <w:rPr>
            <w:rStyle w:val="Hyperlnk"/>
            <w:rFonts w:ascii="Georgia" w:hAnsi="Georgia" w:cs="Georgia"/>
            <w:sz w:val="21"/>
            <w:szCs w:val="21"/>
            <w:lang w:val="fi-FI"/>
          </w:rPr>
          <w:t>emma.hedge@konsumentverket.se</w:t>
        </w:r>
      </w:hyperlink>
      <w:r w:rsidR="00FC2178" w:rsidRPr="00FC2178">
        <w:rPr>
          <w:rFonts w:ascii="Georgia" w:hAnsi="Georgia" w:cs="Georgia"/>
          <w:color w:val="auto"/>
          <w:sz w:val="21"/>
          <w:szCs w:val="21"/>
          <w:lang w:val="fi-FI"/>
        </w:rPr>
        <w:t>,</w:t>
      </w:r>
      <w:r w:rsidR="00FC2178">
        <w:rPr>
          <w:rFonts w:ascii="Georgia" w:hAnsi="Georgia" w:cs="Georgia"/>
          <w:color w:val="auto"/>
          <w:sz w:val="21"/>
          <w:szCs w:val="21"/>
          <w:lang w:val="fi-FI"/>
        </w:rPr>
        <w:t xml:space="preserve"> </w:t>
      </w:r>
      <w:proofErr w:type="gramStart"/>
      <w:r w:rsidR="005E7F4B" w:rsidRPr="00FC2178">
        <w:rPr>
          <w:rFonts w:ascii="Georgia" w:hAnsi="Georgia" w:cs="Georgia"/>
          <w:color w:val="auto"/>
          <w:sz w:val="21"/>
          <w:szCs w:val="21"/>
          <w:lang w:val="fi-FI"/>
        </w:rPr>
        <w:t>054-19</w:t>
      </w:r>
      <w:proofErr w:type="gramEnd"/>
      <w:r w:rsidR="005E7F4B" w:rsidRPr="00FC2178">
        <w:rPr>
          <w:rFonts w:ascii="Georgia" w:hAnsi="Georgia" w:cs="Georgia"/>
          <w:color w:val="auto"/>
          <w:sz w:val="21"/>
          <w:szCs w:val="21"/>
          <w:lang w:val="fi-FI"/>
        </w:rPr>
        <w:t xml:space="preserve"> 40 </w:t>
      </w:r>
      <w:r w:rsidRPr="00FC2178">
        <w:rPr>
          <w:rFonts w:ascii="Georgia" w:hAnsi="Georgia" w:cs="Georgia"/>
          <w:color w:val="auto"/>
          <w:sz w:val="21"/>
          <w:szCs w:val="21"/>
          <w:lang w:val="fi-FI"/>
        </w:rPr>
        <w:t>53</w:t>
      </w:r>
    </w:p>
    <w:p w14:paraId="04ED12CA" w14:textId="5F7C83C9" w:rsidR="005E7F4B" w:rsidRPr="00D30633" w:rsidRDefault="00D30633" w:rsidP="005E7F4B">
      <w:pPr>
        <w:spacing w:line="276" w:lineRule="auto"/>
      </w:pPr>
      <w:r w:rsidRPr="00D30633">
        <w:rPr>
          <w:rFonts w:ascii="Georgia" w:hAnsi="Georgia" w:cs="Georgia"/>
          <w:szCs w:val="21"/>
        </w:rPr>
        <w:t xml:space="preserve">Linda </w:t>
      </w:r>
      <w:r>
        <w:rPr>
          <w:rFonts w:ascii="Georgia" w:hAnsi="Georgia" w:cs="Georgia"/>
          <w:szCs w:val="21"/>
        </w:rPr>
        <w:t>Halvarsson</w:t>
      </w:r>
      <w:r w:rsidR="005E7F4B" w:rsidRPr="00D30633">
        <w:rPr>
          <w:rFonts w:ascii="Georgia" w:hAnsi="Georgia" w:cs="Georgia"/>
          <w:szCs w:val="21"/>
        </w:rPr>
        <w:t xml:space="preserve">: </w:t>
      </w:r>
      <w:hyperlink r:id="rId11" w:history="1">
        <w:r w:rsidR="00FC2178" w:rsidRPr="00C1232F">
          <w:rPr>
            <w:rStyle w:val="Hyperlnk"/>
            <w:rFonts w:ascii="Georgia" w:hAnsi="Georgia" w:cs="Georgia"/>
            <w:szCs w:val="21"/>
          </w:rPr>
          <w:t>linda.halvarsson@konsumentverket.se</w:t>
        </w:r>
      </w:hyperlink>
      <w:r w:rsidR="00FC2178">
        <w:rPr>
          <w:rFonts w:ascii="Georgia" w:hAnsi="Georgia" w:cs="Georgia"/>
          <w:szCs w:val="21"/>
        </w:rPr>
        <w:t xml:space="preserve">, </w:t>
      </w:r>
      <w:r w:rsidR="005E7F4B" w:rsidRPr="00D30633">
        <w:rPr>
          <w:rFonts w:ascii="Georgia" w:hAnsi="Georgia" w:cs="Georgia"/>
          <w:szCs w:val="21"/>
        </w:rPr>
        <w:t>054-19 4</w:t>
      </w:r>
      <w:r w:rsidR="003164B8">
        <w:rPr>
          <w:rFonts w:ascii="Georgia" w:hAnsi="Georgia" w:cs="Georgia"/>
          <w:szCs w:val="21"/>
        </w:rPr>
        <w:t>1</w:t>
      </w:r>
      <w:r w:rsidR="005E7F4B" w:rsidRPr="00D30633">
        <w:rPr>
          <w:rFonts w:ascii="Georgia" w:hAnsi="Georgia" w:cs="Georgia"/>
          <w:szCs w:val="21"/>
        </w:rPr>
        <w:t xml:space="preserve"> </w:t>
      </w:r>
      <w:r w:rsidR="003164B8">
        <w:rPr>
          <w:rFonts w:ascii="Georgia" w:hAnsi="Georgia" w:cs="Georgia"/>
          <w:szCs w:val="21"/>
        </w:rPr>
        <w:t>96</w:t>
      </w:r>
    </w:p>
    <w:p w14:paraId="15F67F7D" w14:textId="77777777" w:rsidR="005E7F4B" w:rsidRPr="00D30633" w:rsidRDefault="005E7F4B" w:rsidP="00FC2178">
      <w:pPr>
        <w:spacing w:line="240" w:lineRule="auto"/>
        <w:contextualSpacing/>
        <w:rPr>
          <w:rFonts w:ascii="Arial" w:hAnsi="Arial" w:cs="Arial"/>
          <w:sz w:val="16"/>
          <w:szCs w:val="16"/>
        </w:rPr>
      </w:pPr>
    </w:p>
    <w:sectPr w:rsidR="005E7F4B" w:rsidRPr="00D30633" w:rsidSect="00DC6B0C">
      <w:headerReference w:type="even" r:id="rId12"/>
      <w:headerReference w:type="default" r:id="rId13"/>
      <w:footerReference w:type="even" r:id="rId14"/>
      <w:footerReference w:type="default" r:id="rId15"/>
      <w:headerReference w:type="first" r:id="rId16"/>
      <w:footerReference w:type="first" r:id="rId17"/>
      <w:pgSz w:w="11906" w:h="16838" w:code="9"/>
      <w:pgMar w:top="1395" w:right="1701" w:bottom="1418" w:left="283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D8D7" w14:textId="77777777" w:rsidR="00BC71FE" w:rsidRDefault="00BC71FE" w:rsidP="009E0C09">
      <w:pPr>
        <w:spacing w:line="240" w:lineRule="auto"/>
      </w:pPr>
      <w:r>
        <w:separator/>
      </w:r>
    </w:p>
  </w:endnote>
  <w:endnote w:type="continuationSeparator" w:id="0">
    <w:p w14:paraId="3745D33B" w14:textId="77777777" w:rsidR="00BC71FE" w:rsidRDefault="00BC71FE" w:rsidP="009E0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A3F" w14:textId="77777777" w:rsidR="00714956" w:rsidRDefault="007149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DCE0" w14:textId="77777777" w:rsidR="00714956" w:rsidRDefault="007149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54"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tblCellMar>
      <w:tblLook w:val="04A0" w:firstRow="1" w:lastRow="0" w:firstColumn="1" w:lastColumn="0" w:noHBand="0" w:noVBand="1"/>
    </w:tblPr>
    <w:tblGrid>
      <w:gridCol w:w="1171"/>
      <w:gridCol w:w="1344"/>
      <w:gridCol w:w="1477"/>
      <w:gridCol w:w="1220"/>
      <w:gridCol w:w="2435"/>
      <w:gridCol w:w="1023"/>
      <w:gridCol w:w="984"/>
    </w:tblGrid>
    <w:tr w:rsidR="00046E53" w:rsidRPr="000A3D2B" w14:paraId="44F20877" w14:textId="77777777" w:rsidTr="00DC6B0C">
      <w:tc>
        <w:tcPr>
          <w:tcW w:w="1171" w:type="dxa"/>
          <w:tcBorders>
            <w:bottom w:val="single" w:sz="2" w:space="0" w:color="auto"/>
          </w:tcBorders>
        </w:tcPr>
        <w:p w14:paraId="4F602569" w14:textId="77777777" w:rsidR="00046E53" w:rsidRPr="000A3D2B" w:rsidRDefault="00046E53" w:rsidP="002A64AE">
          <w:pPr>
            <w:pStyle w:val="Adressupg"/>
            <w:spacing w:after="20"/>
            <w:ind w:right="-567"/>
            <w:rPr>
              <w:b/>
              <w:szCs w:val="12"/>
            </w:rPr>
          </w:pPr>
          <w:r w:rsidRPr="000A3D2B">
            <w:rPr>
              <w:b/>
              <w:szCs w:val="12"/>
            </w:rPr>
            <w:t>Postadress</w:t>
          </w:r>
        </w:p>
      </w:tc>
      <w:tc>
        <w:tcPr>
          <w:tcW w:w="1344" w:type="dxa"/>
          <w:tcBorders>
            <w:bottom w:val="single" w:sz="2" w:space="0" w:color="auto"/>
          </w:tcBorders>
        </w:tcPr>
        <w:p w14:paraId="36880F87" w14:textId="77777777" w:rsidR="00046E53" w:rsidRPr="000A3D2B" w:rsidRDefault="00046E53" w:rsidP="002A64AE">
          <w:pPr>
            <w:pStyle w:val="Adressupg"/>
            <w:spacing w:after="20"/>
            <w:ind w:right="-567"/>
            <w:rPr>
              <w:b/>
              <w:szCs w:val="12"/>
            </w:rPr>
          </w:pPr>
          <w:r w:rsidRPr="000A3D2B">
            <w:rPr>
              <w:b/>
              <w:szCs w:val="12"/>
            </w:rPr>
            <w:t>Fakturaadress</w:t>
          </w:r>
        </w:p>
      </w:tc>
      <w:tc>
        <w:tcPr>
          <w:tcW w:w="1477" w:type="dxa"/>
          <w:tcBorders>
            <w:bottom w:val="single" w:sz="2" w:space="0" w:color="auto"/>
          </w:tcBorders>
        </w:tcPr>
        <w:p w14:paraId="1CC8747A" w14:textId="77777777" w:rsidR="00046E53" w:rsidRPr="000A3D2B" w:rsidRDefault="00046E53" w:rsidP="002A64AE">
          <w:pPr>
            <w:pStyle w:val="Adressupg"/>
            <w:spacing w:after="20"/>
            <w:ind w:right="-567"/>
            <w:rPr>
              <w:b/>
              <w:szCs w:val="12"/>
            </w:rPr>
          </w:pPr>
          <w:r w:rsidRPr="000A3D2B">
            <w:rPr>
              <w:b/>
              <w:szCs w:val="12"/>
            </w:rPr>
            <w:t>Besöksadress</w:t>
          </w:r>
        </w:p>
      </w:tc>
      <w:tc>
        <w:tcPr>
          <w:tcW w:w="1220" w:type="dxa"/>
          <w:tcBorders>
            <w:bottom w:val="single" w:sz="2" w:space="0" w:color="auto"/>
          </w:tcBorders>
        </w:tcPr>
        <w:p w14:paraId="51293C45" w14:textId="77777777" w:rsidR="00046E53" w:rsidRPr="000A3D2B" w:rsidRDefault="00CA113D" w:rsidP="002A64AE">
          <w:pPr>
            <w:pStyle w:val="Adressupg"/>
            <w:spacing w:after="20"/>
            <w:ind w:right="-567"/>
            <w:rPr>
              <w:b/>
              <w:szCs w:val="12"/>
            </w:rPr>
          </w:pPr>
          <w:r>
            <w:rPr>
              <w:b/>
              <w:szCs w:val="12"/>
            </w:rPr>
            <w:t>Telefon</w:t>
          </w:r>
          <w:r w:rsidR="00046E53" w:rsidRPr="000A3D2B">
            <w:rPr>
              <w:b/>
              <w:szCs w:val="12"/>
            </w:rPr>
            <w:t xml:space="preserve"> </w:t>
          </w:r>
        </w:p>
      </w:tc>
      <w:tc>
        <w:tcPr>
          <w:tcW w:w="2435" w:type="dxa"/>
          <w:tcBorders>
            <w:bottom w:val="single" w:sz="2" w:space="0" w:color="auto"/>
          </w:tcBorders>
        </w:tcPr>
        <w:p w14:paraId="35F9F5A3" w14:textId="77777777" w:rsidR="00046E53" w:rsidRPr="000A3D2B" w:rsidRDefault="00046E53" w:rsidP="002A64AE">
          <w:pPr>
            <w:pStyle w:val="Adressupg"/>
            <w:spacing w:after="20"/>
            <w:ind w:right="-567"/>
            <w:rPr>
              <w:b/>
              <w:szCs w:val="12"/>
            </w:rPr>
          </w:pPr>
          <w:r w:rsidRPr="000A3D2B">
            <w:rPr>
              <w:b/>
              <w:szCs w:val="12"/>
            </w:rPr>
            <w:t xml:space="preserve">E-post/webbadress </w:t>
          </w:r>
        </w:p>
      </w:tc>
      <w:tc>
        <w:tcPr>
          <w:tcW w:w="1023" w:type="dxa"/>
          <w:tcBorders>
            <w:bottom w:val="single" w:sz="2" w:space="0" w:color="auto"/>
          </w:tcBorders>
        </w:tcPr>
        <w:p w14:paraId="51514E7F" w14:textId="77777777" w:rsidR="00046E53" w:rsidRPr="000A3D2B" w:rsidRDefault="00046E53" w:rsidP="002A64AE">
          <w:pPr>
            <w:pStyle w:val="Adressupg"/>
            <w:spacing w:after="20"/>
            <w:ind w:right="-567"/>
            <w:rPr>
              <w:b/>
              <w:szCs w:val="12"/>
            </w:rPr>
          </w:pPr>
          <w:r w:rsidRPr="000A3D2B">
            <w:rPr>
              <w:b/>
              <w:szCs w:val="12"/>
            </w:rPr>
            <w:t>Bankgiro</w:t>
          </w:r>
        </w:p>
      </w:tc>
      <w:tc>
        <w:tcPr>
          <w:tcW w:w="984" w:type="dxa"/>
          <w:tcBorders>
            <w:bottom w:val="single" w:sz="2" w:space="0" w:color="auto"/>
          </w:tcBorders>
        </w:tcPr>
        <w:p w14:paraId="373D47A3" w14:textId="77777777" w:rsidR="00046E53" w:rsidRPr="000A3D2B" w:rsidRDefault="00046E53" w:rsidP="002A64AE">
          <w:pPr>
            <w:pStyle w:val="Adressupg"/>
            <w:spacing w:after="20"/>
            <w:ind w:right="-567"/>
            <w:jc w:val="both"/>
            <w:rPr>
              <w:b/>
              <w:szCs w:val="12"/>
            </w:rPr>
          </w:pPr>
          <w:r w:rsidRPr="000A3D2B">
            <w:rPr>
              <w:b/>
              <w:szCs w:val="12"/>
            </w:rPr>
            <w:t>Org.nr</w:t>
          </w:r>
        </w:p>
      </w:tc>
    </w:tr>
    <w:tr w:rsidR="00046E53" w:rsidRPr="000A3D2B" w14:paraId="53EF091B" w14:textId="77777777" w:rsidTr="00DC6B0C">
      <w:tc>
        <w:tcPr>
          <w:tcW w:w="1171" w:type="dxa"/>
          <w:tcBorders>
            <w:top w:val="single" w:sz="2" w:space="0" w:color="auto"/>
          </w:tcBorders>
        </w:tcPr>
        <w:p w14:paraId="143B8551" w14:textId="77777777" w:rsidR="00046E53" w:rsidRPr="000A3D2B" w:rsidRDefault="00046E53" w:rsidP="002A64AE">
          <w:pPr>
            <w:pStyle w:val="Adressupg"/>
            <w:spacing w:before="40"/>
            <w:ind w:right="-567"/>
            <w:rPr>
              <w:rFonts w:cs="Arial"/>
              <w:szCs w:val="12"/>
            </w:rPr>
          </w:pPr>
          <w:r w:rsidRPr="000A3D2B">
            <w:rPr>
              <w:rFonts w:cs="Arial"/>
              <w:szCs w:val="12"/>
            </w:rPr>
            <w:t xml:space="preserve">Box 48 </w:t>
          </w:r>
        </w:p>
      </w:tc>
      <w:tc>
        <w:tcPr>
          <w:tcW w:w="1344" w:type="dxa"/>
          <w:tcBorders>
            <w:top w:val="single" w:sz="2" w:space="0" w:color="auto"/>
          </w:tcBorders>
        </w:tcPr>
        <w:p w14:paraId="4A761DDC" w14:textId="77777777" w:rsidR="00046E53" w:rsidRPr="000A3D2B" w:rsidRDefault="00046E53" w:rsidP="002A64AE">
          <w:pPr>
            <w:pStyle w:val="Adressupg"/>
            <w:spacing w:before="40"/>
            <w:ind w:right="-567"/>
            <w:rPr>
              <w:rFonts w:cs="Arial"/>
              <w:szCs w:val="12"/>
            </w:rPr>
          </w:pPr>
          <w:r w:rsidRPr="000A3D2B">
            <w:rPr>
              <w:rFonts w:cs="Arial"/>
              <w:szCs w:val="12"/>
            </w:rPr>
            <w:t>FE 64</w:t>
          </w:r>
        </w:p>
      </w:tc>
      <w:tc>
        <w:tcPr>
          <w:tcW w:w="1477" w:type="dxa"/>
          <w:tcBorders>
            <w:top w:val="single" w:sz="2" w:space="0" w:color="auto"/>
          </w:tcBorders>
        </w:tcPr>
        <w:p w14:paraId="30646BEC" w14:textId="77777777" w:rsidR="00046E53" w:rsidRPr="000A3D2B" w:rsidRDefault="00046E53" w:rsidP="002A64AE">
          <w:pPr>
            <w:pStyle w:val="Adressupg"/>
            <w:spacing w:before="40"/>
            <w:ind w:right="-567"/>
            <w:rPr>
              <w:rFonts w:cs="Arial"/>
              <w:szCs w:val="12"/>
            </w:rPr>
          </w:pPr>
          <w:r w:rsidRPr="000A3D2B">
            <w:rPr>
              <w:rFonts w:cs="Arial"/>
              <w:szCs w:val="12"/>
            </w:rPr>
            <w:t>Tage Erlandergatan 8</w:t>
          </w:r>
          <w:r>
            <w:rPr>
              <w:rFonts w:cs="Arial"/>
              <w:szCs w:val="12"/>
            </w:rPr>
            <w:t>A</w:t>
          </w:r>
        </w:p>
      </w:tc>
      <w:tc>
        <w:tcPr>
          <w:tcW w:w="1220" w:type="dxa"/>
          <w:tcBorders>
            <w:top w:val="single" w:sz="2" w:space="0" w:color="auto"/>
          </w:tcBorders>
        </w:tcPr>
        <w:p w14:paraId="178CFEE6" w14:textId="77777777" w:rsidR="00046E53" w:rsidRPr="000A3D2B" w:rsidRDefault="00046E53" w:rsidP="002A64AE">
          <w:pPr>
            <w:pStyle w:val="Adressupg"/>
            <w:spacing w:before="40"/>
            <w:ind w:right="-567"/>
            <w:rPr>
              <w:rFonts w:cs="Arial"/>
              <w:szCs w:val="12"/>
            </w:rPr>
          </w:pPr>
          <w:r w:rsidRPr="000A3D2B">
            <w:rPr>
              <w:rFonts w:cs="Arial"/>
              <w:szCs w:val="12"/>
            </w:rPr>
            <w:t>0771-42 33 00</w:t>
          </w:r>
        </w:p>
      </w:tc>
      <w:tc>
        <w:tcPr>
          <w:tcW w:w="2435" w:type="dxa"/>
          <w:tcBorders>
            <w:top w:val="single" w:sz="2" w:space="0" w:color="auto"/>
          </w:tcBorders>
        </w:tcPr>
        <w:p w14:paraId="171B7FF2" w14:textId="77777777" w:rsidR="00046E53" w:rsidRPr="000A3D2B" w:rsidRDefault="00046E53" w:rsidP="002A64AE">
          <w:pPr>
            <w:pStyle w:val="Adressupg"/>
            <w:spacing w:before="40"/>
            <w:ind w:right="-567"/>
            <w:rPr>
              <w:rFonts w:cs="Arial"/>
              <w:szCs w:val="12"/>
            </w:rPr>
          </w:pPr>
          <w:r w:rsidRPr="000A3D2B">
            <w:rPr>
              <w:rFonts w:cs="Arial"/>
              <w:szCs w:val="12"/>
            </w:rPr>
            <w:t>konsumentverket@konsumentverket.se</w:t>
          </w:r>
        </w:p>
      </w:tc>
      <w:tc>
        <w:tcPr>
          <w:tcW w:w="1023" w:type="dxa"/>
          <w:tcBorders>
            <w:top w:val="single" w:sz="2" w:space="0" w:color="auto"/>
          </w:tcBorders>
        </w:tcPr>
        <w:p w14:paraId="150817D8" w14:textId="77777777" w:rsidR="00046E53" w:rsidRPr="000A3D2B" w:rsidRDefault="00046E53" w:rsidP="002A64AE">
          <w:pPr>
            <w:pStyle w:val="Adressupg"/>
            <w:spacing w:before="40"/>
            <w:ind w:right="-567"/>
            <w:rPr>
              <w:rFonts w:cs="Arial"/>
              <w:szCs w:val="12"/>
            </w:rPr>
          </w:pPr>
          <w:proofErr w:type="gramStart"/>
          <w:r w:rsidRPr="000A3D2B">
            <w:rPr>
              <w:rFonts w:cs="Arial"/>
              <w:szCs w:val="12"/>
            </w:rPr>
            <w:t>5050-2806</w:t>
          </w:r>
          <w:proofErr w:type="gramEnd"/>
        </w:p>
      </w:tc>
      <w:tc>
        <w:tcPr>
          <w:tcW w:w="984" w:type="dxa"/>
          <w:tcBorders>
            <w:top w:val="single" w:sz="2" w:space="0" w:color="auto"/>
          </w:tcBorders>
        </w:tcPr>
        <w:p w14:paraId="72878465" w14:textId="77777777" w:rsidR="00046E53" w:rsidRPr="000A3D2B" w:rsidRDefault="00046E53" w:rsidP="002A64AE">
          <w:pPr>
            <w:pStyle w:val="Adressupg"/>
            <w:spacing w:before="40"/>
            <w:ind w:right="-567"/>
            <w:jc w:val="both"/>
            <w:rPr>
              <w:rFonts w:cs="Arial"/>
              <w:szCs w:val="12"/>
            </w:rPr>
          </w:pPr>
          <w:proofErr w:type="gramStart"/>
          <w:r w:rsidRPr="000A3D2B">
            <w:rPr>
              <w:rFonts w:cs="Arial"/>
              <w:szCs w:val="12"/>
            </w:rPr>
            <w:t>202100-2064</w:t>
          </w:r>
          <w:proofErr w:type="gramEnd"/>
        </w:p>
      </w:tc>
    </w:tr>
    <w:tr w:rsidR="00046E53" w:rsidRPr="000A3D2B" w14:paraId="6BA0E490" w14:textId="77777777" w:rsidTr="00DC6B0C">
      <w:tc>
        <w:tcPr>
          <w:tcW w:w="1171" w:type="dxa"/>
        </w:tcPr>
        <w:p w14:paraId="143D38BD" w14:textId="77777777" w:rsidR="00046E53" w:rsidRPr="000A3D2B" w:rsidRDefault="00046E53" w:rsidP="002A64AE">
          <w:pPr>
            <w:pStyle w:val="Adressupg"/>
            <w:spacing w:before="20"/>
            <w:ind w:right="-567"/>
            <w:rPr>
              <w:rFonts w:cs="Arial"/>
              <w:szCs w:val="12"/>
            </w:rPr>
          </w:pPr>
          <w:r w:rsidRPr="000A3D2B">
            <w:rPr>
              <w:rFonts w:cs="Arial"/>
              <w:szCs w:val="12"/>
            </w:rPr>
            <w:t>651 02 Karlstad</w:t>
          </w:r>
        </w:p>
      </w:tc>
      <w:tc>
        <w:tcPr>
          <w:tcW w:w="1344" w:type="dxa"/>
        </w:tcPr>
        <w:p w14:paraId="0BB65BAB" w14:textId="77777777" w:rsidR="00046E53" w:rsidRPr="000A3D2B" w:rsidRDefault="007B7C8D" w:rsidP="00997394">
          <w:pPr>
            <w:pStyle w:val="Adressupg"/>
            <w:spacing w:before="20"/>
            <w:ind w:right="-567"/>
            <w:rPr>
              <w:rFonts w:cs="Arial"/>
              <w:szCs w:val="12"/>
            </w:rPr>
          </w:pPr>
          <w:r>
            <w:rPr>
              <w:rFonts w:cs="Arial"/>
              <w:szCs w:val="12"/>
            </w:rPr>
            <w:t>838 73 F</w:t>
          </w:r>
          <w:r w:rsidR="00997394">
            <w:rPr>
              <w:rFonts w:cs="Arial"/>
              <w:szCs w:val="12"/>
            </w:rPr>
            <w:t>rösön</w:t>
          </w:r>
        </w:p>
      </w:tc>
      <w:tc>
        <w:tcPr>
          <w:tcW w:w="1477" w:type="dxa"/>
        </w:tcPr>
        <w:p w14:paraId="6DE75AA7" w14:textId="77777777" w:rsidR="00046E53" w:rsidRPr="000A3D2B" w:rsidRDefault="00046E53" w:rsidP="002A64AE">
          <w:pPr>
            <w:pStyle w:val="Adressupg"/>
            <w:spacing w:before="20"/>
            <w:ind w:right="-567"/>
            <w:rPr>
              <w:rFonts w:cs="Arial"/>
              <w:szCs w:val="12"/>
            </w:rPr>
          </w:pPr>
        </w:p>
      </w:tc>
      <w:tc>
        <w:tcPr>
          <w:tcW w:w="1220" w:type="dxa"/>
        </w:tcPr>
        <w:p w14:paraId="5F8DA6F6" w14:textId="77777777" w:rsidR="00046E53" w:rsidRPr="000A3D2B" w:rsidRDefault="00046E53" w:rsidP="002A64AE">
          <w:pPr>
            <w:pStyle w:val="Adressupg"/>
            <w:spacing w:before="20"/>
            <w:ind w:right="-567"/>
            <w:rPr>
              <w:rFonts w:cs="Arial"/>
              <w:szCs w:val="12"/>
            </w:rPr>
          </w:pPr>
        </w:p>
      </w:tc>
      <w:tc>
        <w:tcPr>
          <w:tcW w:w="2435" w:type="dxa"/>
        </w:tcPr>
        <w:p w14:paraId="584B1397" w14:textId="77777777" w:rsidR="00046E53" w:rsidRPr="000A3D2B" w:rsidRDefault="00046E53" w:rsidP="002A64AE">
          <w:pPr>
            <w:pStyle w:val="Adressupg"/>
            <w:spacing w:before="20"/>
            <w:ind w:right="-567"/>
            <w:rPr>
              <w:rFonts w:cs="Arial"/>
              <w:szCs w:val="12"/>
            </w:rPr>
          </w:pPr>
          <w:r w:rsidRPr="000A3D2B">
            <w:rPr>
              <w:rFonts w:cs="Arial"/>
              <w:szCs w:val="12"/>
            </w:rPr>
            <w:t>www.konsumentverket.se</w:t>
          </w:r>
        </w:p>
      </w:tc>
      <w:tc>
        <w:tcPr>
          <w:tcW w:w="1023" w:type="dxa"/>
        </w:tcPr>
        <w:p w14:paraId="533B7B18" w14:textId="77777777" w:rsidR="00046E53" w:rsidRPr="000A3D2B" w:rsidRDefault="00046E53" w:rsidP="002A64AE">
          <w:pPr>
            <w:pStyle w:val="Adressupg"/>
            <w:spacing w:before="20"/>
            <w:ind w:right="-567"/>
            <w:rPr>
              <w:rFonts w:cs="Arial"/>
              <w:szCs w:val="12"/>
            </w:rPr>
          </w:pPr>
        </w:p>
      </w:tc>
      <w:tc>
        <w:tcPr>
          <w:tcW w:w="984" w:type="dxa"/>
        </w:tcPr>
        <w:p w14:paraId="2BEE2F7F" w14:textId="77777777" w:rsidR="00046E53" w:rsidRPr="000A3D2B" w:rsidRDefault="00046E53" w:rsidP="002A64AE">
          <w:pPr>
            <w:pStyle w:val="Adressupg"/>
            <w:spacing w:before="20"/>
            <w:ind w:right="-567"/>
            <w:jc w:val="both"/>
            <w:rPr>
              <w:rFonts w:cs="Arial"/>
              <w:szCs w:val="12"/>
            </w:rPr>
          </w:pPr>
        </w:p>
      </w:tc>
    </w:tr>
  </w:tbl>
  <w:p w14:paraId="166D68D1" w14:textId="77777777" w:rsidR="001B5D39" w:rsidRPr="00710179" w:rsidRDefault="001B5D39" w:rsidP="00E6286D">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9899" w14:textId="77777777" w:rsidR="00BC71FE" w:rsidRDefault="00BC71FE" w:rsidP="009E0C09">
      <w:pPr>
        <w:spacing w:line="240" w:lineRule="auto"/>
      </w:pPr>
      <w:r>
        <w:separator/>
      </w:r>
    </w:p>
  </w:footnote>
  <w:footnote w:type="continuationSeparator" w:id="0">
    <w:p w14:paraId="47A93A0A" w14:textId="77777777" w:rsidR="00BC71FE" w:rsidRDefault="00BC71FE" w:rsidP="009E0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4D42" w14:textId="77777777" w:rsidR="00714956" w:rsidRDefault="007149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92"/>
      <w:gridCol w:w="1610"/>
      <w:gridCol w:w="992"/>
    </w:tblGrid>
    <w:tr w:rsidR="0036387D" w14:paraId="31CA14A7" w14:textId="77777777" w:rsidTr="0036387D">
      <w:tc>
        <w:tcPr>
          <w:tcW w:w="3369" w:type="dxa"/>
        </w:tcPr>
        <w:p w14:paraId="6E1FFBD4" w14:textId="77777777" w:rsidR="0036387D" w:rsidRDefault="0036387D" w:rsidP="0036387D">
          <w:pPr>
            <w:pStyle w:val="Sidhuvud"/>
            <w:tabs>
              <w:tab w:val="clear" w:pos="4536"/>
              <w:tab w:val="right" w:pos="7371"/>
            </w:tabs>
          </w:pPr>
        </w:p>
      </w:tc>
      <w:tc>
        <w:tcPr>
          <w:tcW w:w="1792" w:type="dxa"/>
        </w:tcPr>
        <w:p w14:paraId="5C0CF3B1" w14:textId="77777777" w:rsidR="0036387D" w:rsidRDefault="0036387D" w:rsidP="0036387D">
          <w:pPr>
            <w:pStyle w:val="Sidhuvud"/>
            <w:tabs>
              <w:tab w:val="clear" w:pos="4536"/>
              <w:tab w:val="right" w:pos="7371"/>
            </w:tabs>
            <w:rPr>
              <w:sz w:val="22"/>
            </w:rPr>
          </w:pPr>
        </w:p>
      </w:tc>
      <w:tc>
        <w:tcPr>
          <w:tcW w:w="1610" w:type="dxa"/>
          <w:hideMark/>
        </w:tcPr>
        <w:p w14:paraId="77EDBAEB" w14:textId="77777777" w:rsidR="0036387D" w:rsidRDefault="0036387D" w:rsidP="0036387D">
          <w:pPr>
            <w:rPr>
              <w:sz w:val="16"/>
              <w:szCs w:val="16"/>
            </w:rPr>
          </w:pPr>
          <w:r>
            <w:rPr>
              <w:rFonts w:ascii="Arial" w:hAnsi="Arial" w:cs="Arial"/>
              <w:sz w:val="16"/>
              <w:szCs w:val="16"/>
            </w:rPr>
            <w:t>Dnr</w:t>
          </w:r>
        </w:p>
        <w:p w14:paraId="7628BF9B" w14:textId="7E2201C0" w:rsidR="0036387D" w:rsidRDefault="00000000" w:rsidP="00DD3A2B">
          <w:pPr>
            <w:pStyle w:val="Sidhuvud"/>
            <w:tabs>
              <w:tab w:val="clear" w:pos="4536"/>
              <w:tab w:val="right" w:pos="7371"/>
            </w:tabs>
            <w:rPr>
              <w:szCs w:val="21"/>
            </w:rPr>
          </w:pPr>
          <w:sdt>
            <w:sdtPr>
              <w:rPr>
                <w:szCs w:val="21"/>
              </w:rPr>
              <w:id w:val="-2047126652"/>
              <w:placeholder>
                <w:docPart w:val="850E98CAD9694A2DAD0353DEA347FEEC"/>
              </w:placeholder>
            </w:sdtPr>
            <w:sdtContent>
              <w:r w:rsidR="0017450F">
                <w:rPr>
                  <w:szCs w:val="21"/>
                </w:rPr>
                <w:t>2019/1190</w:t>
              </w:r>
            </w:sdtContent>
          </w:sdt>
        </w:p>
      </w:tc>
      <w:tc>
        <w:tcPr>
          <w:tcW w:w="992" w:type="dxa"/>
          <w:hideMark/>
        </w:tcPr>
        <w:p w14:paraId="144B8F6D" w14:textId="53E72B6F" w:rsidR="0036387D" w:rsidRDefault="0036387D" w:rsidP="0036387D">
          <w:pPr>
            <w:spacing w:before="180"/>
          </w:pPr>
          <w:r>
            <w:fldChar w:fldCharType="begin"/>
          </w:r>
          <w:r>
            <w:instrText xml:space="preserve"> IF </w:instrText>
          </w:r>
          <w:fldSimple w:instr=" NUMPAGES ">
            <w:r w:rsidR="00FC2553">
              <w:rPr>
                <w:noProof/>
              </w:rPr>
              <w:instrText>4</w:instrText>
            </w:r>
          </w:fldSimple>
          <w:r>
            <w:instrText xml:space="preserve"> = 1 "" "</w:instrText>
          </w:r>
          <w:r>
            <w:fldChar w:fldCharType="begin"/>
          </w:r>
          <w:r>
            <w:instrText xml:space="preserve"> PAGE </w:instrText>
          </w:r>
          <w:r>
            <w:fldChar w:fldCharType="separate"/>
          </w:r>
          <w:r w:rsidR="00FC2553">
            <w:rPr>
              <w:noProof/>
            </w:rPr>
            <w:instrText>4</w:instrText>
          </w:r>
          <w:r>
            <w:fldChar w:fldCharType="end"/>
          </w:r>
          <w:r>
            <w:instrText xml:space="preserve"> (</w:instrText>
          </w:r>
          <w:fldSimple w:instr=" NUMPAGES ">
            <w:r w:rsidR="00FC2553">
              <w:rPr>
                <w:noProof/>
              </w:rPr>
              <w:instrText>4</w:instrText>
            </w:r>
          </w:fldSimple>
          <w:r>
            <w:instrText>)"</w:instrText>
          </w:r>
          <w:r>
            <w:fldChar w:fldCharType="separate"/>
          </w:r>
          <w:r w:rsidR="00FC2553">
            <w:rPr>
              <w:noProof/>
            </w:rPr>
            <w:t>4 (4)</w:t>
          </w:r>
          <w:r>
            <w:fldChar w:fldCharType="end"/>
          </w:r>
        </w:p>
      </w:tc>
    </w:tr>
  </w:tbl>
  <w:p w14:paraId="30870C28" w14:textId="77777777" w:rsidR="001B5D39" w:rsidRPr="00434E25" w:rsidRDefault="001B5D39" w:rsidP="00434E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C27A" w14:textId="77777777" w:rsidR="00F3231C" w:rsidRPr="00F125A8" w:rsidRDefault="00F3231C" w:rsidP="00F3231C">
    <w:pPr>
      <w:pStyle w:val="Sidhuvud"/>
      <w:tabs>
        <w:tab w:val="clear" w:pos="4536"/>
        <w:tab w:val="clear" w:pos="9072"/>
        <w:tab w:val="right" w:pos="7371"/>
      </w:tabs>
    </w:pPr>
    <w:r w:rsidRPr="00F125A8">
      <w:rPr>
        <w:noProof/>
        <w:lang w:eastAsia="sv-SE"/>
      </w:rPr>
      <w:drawing>
        <wp:anchor distT="0" distB="0" distL="114300" distR="114300" simplePos="0" relativeHeight="251658240" behindDoc="0" locked="0" layoutInCell="1" allowOverlap="1" wp14:anchorId="0EDA79B6" wp14:editId="6E7BF077">
          <wp:simplePos x="0" y="0"/>
          <wp:positionH relativeFrom="page">
            <wp:posOffset>791815</wp:posOffset>
          </wp:positionH>
          <wp:positionV relativeFrom="page">
            <wp:posOffset>447675</wp:posOffset>
          </wp:positionV>
          <wp:extent cx="1257520" cy="536400"/>
          <wp:effectExtent l="0" t="0" r="0" b="0"/>
          <wp:wrapNone/>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257520" cy="536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rutnt"/>
      <w:tblW w:w="3369"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701"/>
    </w:tblGrid>
    <w:tr w:rsidR="0036387D" w:rsidRPr="00F125A8" w14:paraId="54B01257" w14:textId="77777777" w:rsidTr="00CA4188">
      <w:tc>
        <w:tcPr>
          <w:tcW w:w="1668" w:type="dxa"/>
          <w:hideMark/>
        </w:tcPr>
        <w:p w14:paraId="5C9AB03D" w14:textId="77777777" w:rsidR="0036387D" w:rsidRPr="00F125A8" w:rsidRDefault="0036387D" w:rsidP="0036387D">
          <w:pPr>
            <w:rPr>
              <w:rFonts w:ascii="Arial" w:hAnsi="Arial" w:cs="Arial"/>
              <w:sz w:val="16"/>
              <w:szCs w:val="16"/>
            </w:rPr>
          </w:pPr>
          <w:r w:rsidRPr="00F125A8">
            <w:rPr>
              <w:rFonts w:ascii="Arial" w:hAnsi="Arial" w:cs="Arial"/>
              <w:sz w:val="16"/>
              <w:szCs w:val="16"/>
            </w:rPr>
            <w:t>Datum</w:t>
          </w:r>
        </w:p>
        <w:sdt>
          <w:sdtPr>
            <w:rPr>
              <w:szCs w:val="21"/>
            </w:rPr>
            <w:id w:val="1684020234"/>
            <w:placeholder>
              <w:docPart w:val="8641D103EB7B444398D221BF12F802EE"/>
            </w:placeholder>
            <w:date w:fullDate="2023-05-04T00:00:00Z">
              <w:dateFormat w:val="yyyy-MM-dd"/>
              <w:lid w:val="sv-SE"/>
              <w:storeMappedDataAs w:val="dateTime"/>
              <w:calendar w:val="gregorian"/>
            </w:date>
          </w:sdtPr>
          <w:sdtContent>
            <w:p w14:paraId="3567FFFC" w14:textId="56DA399C" w:rsidR="0036387D" w:rsidRPr="00F125A8" w:rsidRDefault="001F2B4F" w:rsidP="0036387D">
              <w:pPr>
                <w:pStyle w:val="Sidhuvud"/>
                <w:tabs>
                  <w:tab w:val="clear" w:pos="4536"/>
                  <w:tab w:val="right" w:pos="7371"/>
                </w:tabs>
                <w:rPr>
                  <w:szCs w:val="21"/>
                </w:rPr>
              </w:pPr>
              <w:r>
                <w:rPr>
                  <w:szCs w:val="21"/>
                </w:rPr>
                <w:t>2023-05-04</w:t>
              </w:r>
            </w:p>
          </w:sdtContent>
        </w:sdt>
      </w:tc>
      <w:tc>
        <w:tcPr>
          <w:tcW w:w="1701" w:type="dxa"/>
          <w:hideMark/>
        </w:tcPr>
        <w:p w14:paraId="71D428A2" w14:textId="77777777" w:rsidR="0036387D" w:rsidRPr="00F125A8" w:rsidRDefault="0036387D" w:rsidP="0036387D">
          <w:pPr>
            <w:rPr>
              <w:sz w:val="16"/>
              <w:szCs w:val="16"/>
            </w:rPr>
          </w:pPr>
          <w:r w:rsidRPr="00F125A8">
            <w:rPr>
              <w:rFonts w:ascii="Arial" w:hAnsi="Arial" w:cs="Arial"/>
              <w:sz w:val="16"/>
              <w:szCs w:val="16"/>
            </w:rPr>
            <w:t>Dnr</w:t>
          </w:r>
        </w:p>
        <w:p w14:paraId="7327B0A1" w14:textId="4E6F71C6" w:rsidR="0036387D" w:rsidRPr="00F125A8" w:rsidRDefault="003D261C" w:rsidP="00DD3A2B">
          <w:r>
            <w:t>2019/1190</w:t>
          </w:r>
        </w:p>
      </w:tc>
    </w:tr>
  </w:tbl>
  <w:p w14:paraId="01BC6535" w14:textId="77777777" w:rsidR="00F3231C" w:rsidRPr="00F125A8" w:rsidRDefault="00F3231C" w:rsidP="00F3231C">
    <w:pPr>
      <w:pStyle w:val="Sidhuvud"/>
      <w:tabs>
        <w:tab w:val="clear" w:pos="4536"/>
        <w:tab w:val="clear" w:pos="9072"/>
        <w:tab w:val="right" w:pos="737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4B"/>
    <w:rsid w:val="00001DC8"/>
    <w:rsid w:val="00011900"/>
    <w:rsid w:val="00046D09"/>
    <w:rsid w:val="00046E53"/>
    <w:rsid w:val="00047AC6"/>
    <w:rsid w:val="00061A87"/>
    <w:rsid w:val="00062261"/>
    <w:rsid w:val="0006634F"/>
    <w:rsid w:val="00072665"/>
    <w:rsid w:val="00074C72"/>
    <w:rsid w:val="000765CA"/>
    <w:rsid w:val="00092FE6"/>
    <w:rsid w:val="0009706D"/>
    <w:rsid w:val="000A1D61"/>
    <w:rsid w:val="000A3D2B"/>
    <w:rsid w:val="000A6E9F"/>
    <w:rsid w:val="000C4308"/>
    <w:rsid w:val="000C4E3B"/>
    <w:rsid w:val="000C5B56"/>
    <w:rsid w:val="000D47CB"/>
    <w:rsid w:val="000F399C"/>
    <w:rsid w:val="00114055"/>
    <w:rsid w:val="0012737E"/>
    <w:rsid w:val="00135FE1"/>
    <w:rsid w:val="0014464D"/>
    <w:rsid w:val="00145239"/>
    <w:rsid w:val="00150538"/>
    <w:rsid w:val="00152255"/>
    <w:rsid w:val="0017450F"/>
    <w:rsid w:val="00182672"/>
    <w:rsid w:val="001B19E6"/>
    <w:rsid w:val="001B5D39"/>
    <w:rsid w:val="001C2764"/>
    <w:rsid w:val="001C5172"/>
    <w:rsid w:val="001E01F2"/>
    <w:rsid w:val="001E7A8B"/>
    <w:rsid w:val="001F0A80"/>
    <w:rsid w:val="001F2B4F"/>
    <w:rsid w:val="001F3EF5"/>
    <w:rsid w:val="00202554"/>
    <w:rsid w:val="00205F2C"/>
    <w:rsid w:val="00221E47"/>
    <w:rsid w:val="00225F03"/>
    <w:rsid w:val="00261B26"/>
    <w:rsid w:val="00284D6F"/>
    <w:rsid w:val="002A55E2"/>
    <w:rsid w:val="002D421A"/>
    <w:rsid w:val="002E0020"/>
    <w:rsid w:val="00307FFD"/>
    <w:rsid w:val="00313692"/>
    <w:rsid w:val="003164B8"/>
    <w:rsid w:val="00331797"/>
    <w:rsid w:val="00337E2B"/>
    <w:rsid w:val="0036387D"/>
    <w:rsid w:val="00367625"/>
    <w:rsid w:val="0037091F"/>
    <w:rsid w:val="003724B9"/>
    <w:rsid w:val="00373DE8"/>
    <w:rsid w:val="00391C1E"/>
    <w:rsid w:val="003B237C"/>
    <w:rsid w:val="003D261C"/>
    <w:rsid w:val="003D38FA"/>
    <w:rsid w:val="003E4C4A"/>
    <w:rsid w:val="003E5E41"/>
    <w:rsid w:val="003F04AE"/>
    <w:rsid w:val="003F1411"/>
    <w:rsid w:val="00400F8A"/>
    <w:rsid w:val="004010B3"/>
    <w:rsid w:val="004076F8"/>
    <w:rsid w:val="0041129E"/>
    <w:rsid w:val="00422A17"/>
    <w:rsid w:val="00430016"/>
    <w:rsid w:val="00434E25"/>
    <w:rsid w:val="00437E8E"/>
    <w:rsid w:val="00453B68"/>
    <w:rsid w:val="00464155"/>
    <w:rsid w:val="004700FB"/>
    <w:rsid w:val="00474770"/>
    <w:rsid w:val="00475853"/>
    <w:rsid w:val="00484BA5"/>
    <w:rsid w:val="004B0B3B"/>
    <w:rsid w:val="004B5DF5"/>
    <w:rsid w:val="004C4799"/>
    <w:rsid w:val="004D4D1E"/>
    <w:rsid w:val="00513361"/>
    <w:rsid w:val="00526D74"/>
    <w:rsid w:val="00527DC5"/>
    <w:rsid w:val="005333C5"/>
    <w:rsid w:val="00533807"/>
    <w:rsid w:val="0053702F"/>
    <w:rsid w:val="005407D8"/>
    <w:rsid w:val="0057674B"/>
    <w:rsid w:val="005767AB"/>
    <w:rsid w:val="005B3828"/>
    <w:rsid w:val="005B5338"/>
    <w:rsid w:val="005C54EF"/>
    <w:rsid w:val="005D0C90"/>
    <w:rsid w:val="005D45A8"/>
    <w:rsid w:val="005E7F4B"/>
    <w:rsid w:val="005F779D"/>
    <w:rsid w:val="00600B9F"/>
    <w:rsid w:val="00623D86"/>
    <w:rsid w:val="00625DCB"/>
    <w:rsid w:val="0062719D"/>
    <w:rsid w:val="0063486B"/>
    <w:rsid w:val="00637DFB"/>
    <w:rsid w:val="0064176E"/>
    <w:rsid w:val="006669C2"/>
    <w:rsid w:val="0067122E"/>
    <w:rsid w:val="00674E4E"/>
    <w:rsid w:val="006803EE"/>
    <w:rsid w:val="00685466"/>
    <w:rsid w:val="006921AB"/>
    <w:rsid w:val="00695015"/>
    <w:rsid w:val="006A2E22"/>
    <w:rsid w:val="006B08C8"/>
    <w:rsid w:val="006C7D04"/>
    <w:rsid w:val="006F313F"/>
    <w:rsid w:val="0071335C"/>
    <w:rsid w:val="00713C05"/>
    <w:rsid w:val="00714956"/>
    <w:rsid w:val="007166CF"/>
    <w:rsid w:val="00720644"/>
    <w:rsid w:val="00726970"/>
    <w:rsid w:val="00726D8B"/>
    <w:rsid w:val="007331D5"/>
    <w:rsid w:val="00736F25"/>
    <w:rsid w:val="00751504"/>
    <w:rsid w:val="00754E9C"/>
    <w:rsid w:val="007555DB"/>
    <w:rsid w:val="00756CB6"/>
    <w:rsid w:val="0075774A"/>
    <w:rsid w:val="007612D5"/>
    <w:rsid w:val="00762A03"/>
    <w:rsid w:val="00771005"/>
    <w:rsid w:val="007946D1"/>
    <w:rsid w:val="007A3167"/>
    <w:rsid w:val="007B7C8D"/>
    <w:rsid w:val="007C0A08"/>
    <w:rsid w:val="007C66D0"/>
    <w:rsid w:val="007D6899"/>
    <w:rsid w:val="007D6DCF"/>
    <w:rsid w:val="007E18B8"/>
    <w:rsid w:val="007E79C2"/>
    <w:rsid w:val="007E7E1D"/>
    <w:rsid w:val="007F2172"/>
    <w:rsid w:val="008070CC"/>
    <w:rsid w:val="00807271"/>
    <w:rsid w:val="008169B9"/>
    <w:rsid w:val="008304B0"/>
    <w:rsid w:val="0086522C"/>
    <w:rsid w:val="00865D07"/>
    <w:rsid w:val="008707DA"/>
    <w:rsid w:val="00876A47"/>
    <w:rsid w:val="0088460E"/>
    <w:rsid w:val="00890B5B"/>
    <w:rsid w:val="008930C4"/>
    <w:rsid w:val="008953D6"/>
    <w:rsid w:val="008A20FE"/>
    <w:rsid w:val="008A4318"/>
    <w:rsid w:val="008A6E50"/>
    <w:rsid w:val="008B007B"/>
    <w:rsid w:val="008B00C1"/>
    <w:rsid w:val="008C597C"/>
    <w:rsid w:val="008D29C3"/>
    <w:rsid w:val="008F308F"/>
    <w:rsid w:val="008F6D1D"/>
    <w:rsid w:val="008F7F1B"/>
    <w:rsid w:val="00902115"/>
    <w:rsid w:val="00903FC3"/>
    <w:rsid w:val="0091498E"/>
    <w:rsid w:val="00915026"/>
    <w:rsid w:val="0091511F"/>
    <w:rsid w:val="00922A38"/>
    <w:rsid w:val="00923859"/>
    <w:rsid w:val="00934982"/>
    <w:rsid w:val="009372C7"/>
    <w:rsid w:val="009434B3"/>
    <w:rsid w:val="00962FE2"/>
    <w:rsid w:val="009735B8"/>
    <w:rsid w:val="009744C6"/>
    <w:rsid w:val="00997394"/>
    <w:rsid w:val="009A2EE6"/>
    <w:rsid w:val="009C2694"/>
    <w:rsid w:val="009C3D20"/>
    <w:rsid w:val="009C759C"/>
    <w:rsid w:val="009C7F4A"/>
    <w:rsid w:val="009E0C09"/>
    <w:rsid w:val="009E34BB"/>
    <w:rsid w:val="009E6A8E"/>
    <w:rsid w:val="00A0251D"/>
    <w:rsid w:val="00A043F0"/>
    <w:rsid w:val="00A04E95"/>
    <w:rsid w:val="00A1748B"/>
    <w:rsid w:val="00A25583"/>
    <w:rsid w:val="00A314BD"/>
    <w:rsid w:val="00A3395B"/>
    <w:rsid w:val="00A508F0"/>
    <w:rsid w:val="00A5703C"/>
    <w:rsid w:val="00A61D87"/>
    <w:rsid w:val="00A65403"/>
    <w:rsid w:val="00A67F98"/>
    <w:rsid w:val="00A70E5B"/>
    <w:rsid w:val="00A803CF"/>
    <w:rsid w:val="00A95AF6"/>
    <w:rsid w:val="00AA13B0"/>
    <w:rsid w:val="00AA4D79"/>
    <w:rsid w:val="00AA5EA4"/>
    <w:rsid w:val="00AA5F40"/>
    <w:rsid w:val="00AC39B3"/>
    <w:rsid w:val="00AC3A2B"/>
    <w:rsid w:val="00AF467D"/>
    <w:rsid w:val="00B104D7"/>
    <w:rsid w:val="00B45FE0"/>
    <w:rsid w:val="00B54D4B"/>
    <w:rsid w:val="00B554CD"/>
    <w:rsid w:val="00B64014"/>
    <w:rsid w:val="00B92529"/>
    <w:rsid w:val="00BA55D4"/>
    <w:rsid w:val="00BB4183"/>
    <w:rsid w:val="00BB64B0"/>
    <w:rsid w:val="00BC71FE"/>
    <w:rsid w:val="00BD27DC"/>
    <w:rsid w:val="00BD3C42"/>
    <w:rsid w:val="00BE42AC"/>
    <w:rsid w:val="00BF1FA8"/>
    <w:rsid w:val="00BF273B"/>
    <w:rsid w:val="00C03695"/>
    <w:rsid w:val="00C06A09"/>
    <w:rsid w:val="00C214C2"/>
    <w:rsid w:val="00C30A7E"/>
    <w:rsid w:val="00C30C15"/>
    <w:rsid w:val="00C32F42"/>
    <w:rsid w:val="00C51D88"/>
    <w:rsid w:val="00C72BFA"/>
    <w:rsid w:val="00C73F92"/>
    <w:rsid w:val="00C835AF"/>
    <w:rsid w:val="00C83FF8"/>
    <w:rsid w:val="00C8461D"/>
    <w:rsid w:val="00C95B32"/>
    <w:rsid w:val="00CA113D"/>
    <w:rsid w:val="00CA1FCE"/>
    <w:rsid w:val="00CA2DAF"/>
    <w:rsid w:val="00CA4188"/>
    <w:rsid w:val="00CA7708"/>
    <w:rsid w:val="00CB47DD"/>
    <w:rsid w:val="00CC25EE"/>
    <w:rsid w:val="00CC7B5A"/>
    <w:rsid w:val="00CE18F9"/>
    <w:rsid w:val="00CF0FFB"/>
    <w:rsid w:val="00CF4FC0"/>
    <w:rsid w:val="00D26E0C"/>
    <w:rsid w:val="00D30633"/>
    <w:rsid w:val="00D37C7A"/>
    <w:rsid w:val="00D40A2E"/>
    <w:rsid w:val="00D40B06"/>
    <w:rsid w:val="00D664E3"/>
    <w:rsid w:val="00D80C4A"/>
    <w:rsid w:val="00D866E3"/>
    <w:rsid w:val="00D90F56"/>
    <w:rsid w:val="00DA4FBE"/>
    <w:rsid w:val="00DA621B"/>
    <w:rsid w:val="00DC19D6"/>
    <w:rsid w:val="00DC273A"/>
    <w:rsid w:val="00DC6B0C"/>
    <w:rsid w:val="00DD3A2B"/>
    <w:rsid w:val="00DD5288"/>
    <w:rsid w:val="00DE1BA4"/>
    <w:rsid w:val="00DF22A7"/>
    <w:rsid w:val="00DF43DD"/>
    <w:rsid w:val="00DF5CF2"/>
    <w:rsid w:val="00E11F4A"/>
    <w:rsid w:val="00E17331"/>
    <w:rsid w:val="00E3638A"/>
    <w:rsid w:val="00E47EC3"/>
    <w:rsid w:val="00E50737"/>
    <w:rsid w:val="00E5392E"/>
    <w:rsid w:val="00E6286D"/>
    <w:rsid w:val="00E72620"/>
    <w:rsid w:val="00E80CE7"/>
    <w:rsid w:val="00E82203"/>
    <w:rsid w:val="00EC7039"/>
    <w:rsid w:val="00ED0266"/>
    <w:rsid w:val="00EE768B"/>
    <w:rsid w:val="00EE7C20"/>
    <w:rsid w:val="00EF5F7E"/>
    <w:rsid w:val="00F125A8"/>
    <w:rsid w:val="00F17388"/>
    <w:rsid w:val="00F26B03"/>
    <w:rsid w:val="00F3231C"/>
    <w:rsid w:val="00F419FA"/>
    <w:rsid w:val="00F425CC"/>
    <w:rsid w:val="00F4570A"/>
    <w:rsid w:val="00F50E61"/>
    <w:rsid w:val="00F676A3"/>
    <w:rsid w:val="00F95F58"/>
    <w:rsid w:val="00FA653F"/>
    <w:rsid w:val="00FC2178"/>
    <w:rsid w:val="00FC2553"/>
    <w:rsid w:val="00FC6BC2"/>
    <w:rsid w:val="00FC6F37"/>
    <w:rsid w:val="00FD0C94"/>
    <w:rsid w:val="00FE1727"/>
    <w:rsid w:val="00FF1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4EBA9"/>
  <w15:docId w15:val="{BB018DD0-C9F6-4939-A597-6A590C9C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4B"/>
    <w:pPr>
      <w:spacing w:after="0" w:line="300" w:lineRule="auto"/>
    </w:pPr>
    <w:rPr>
      <w:sz w:val="21"/>
    </w:rPr>
  </w:style>
  <w:style w:type="paragraph" w:styleId="Rubrik1">
    <w:name w:val="heading 1"/>
    <w:basedOn w:val="Normal"/>
    <w:next w:val="Normal"/>
    <w:link w:val="Rubrik1Char"/>
    <w:uiPriority w:val="9"/>
    <w:qFormat/>
    <w:rsid w:val="00046D09"/>
    <w:pPr>
      <w:keepNext/>
      <w:keepLines/>
      <w:spacing w:before="480" w:after="40"/>
      <w:contextualSpacing/>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unhideWhenUsed/>
    <w:qFormat/>
    <w:rsid w:val="00046D09"/>
    <w:pPr>
      <w:keepNext/>
      <w:keepLines/>
      <w:spacing w:before="360"/>
      <w:contextualSpacing/>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046D09"/>
    <w:pPr>
      <w:keepNext/>
      <w:keepLines/>
      <w:spacing w:before="360"/>
      <w:contextualSpacing/>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9"/>
    <w:unhideWhenUsed/>
    <w:qFormat/>
    <w:rsid w:val="00046D09"/>
    <w:pPr>
      <w:keepNext/>
      <w:keepLines/>
      <w:spacing w:before="360"/>
      <w:outlineLvl w:val="3"/>
    </w:pPr>
    <w:rPr>
      <w:rFonts w:ascii="Arial" w:eastAsiaTheme="majorEastAsia" w:hAnsi="Arial" w:cstheme="majorBidi"/>
      <w:bCs/>
      <w:i/>
      <w:iCs/>
      <w:sz w:val="22"/>
    </w:rPr>
  </w:style>
  <w:style w:type="paragraph" w:styleId="Rubrik5">
    <w:name w:val="heading 5"/>
    <w:basedOn w:val="Normal"/>
    <w:next w:val="Normal"/>
    <w:link w:val="Rubrik5Char"/>
    <w:uiPriority w:val="9"/>
    <w:semiHidden/>
    <w:unhideWhenUsed/>
    <w:rsid w:val="00046D09"/>
    <w:pPr>
      <w:keepNext/>
      <w:keepLines/>
      <w:spacing w:before="200"/>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unhideWhenUsed/>
    <w:qFormat/>
    <w:rsid w:val="00046D09"/>
    <w:pPr>
      <w:keepNext/>
      <w:keepLines/>
      <w:spacing w:before="200"/>
      <w:outlineLvl w:val="5"/>
    </w:pPr>
    <w:rPr>
      <w:rFonts w:asciiTheme="majorHAnsi" w:eastAsiaTheme="majorEastAsia" w:hAnsiTheme="majorHAnsi" w:cstheme="majorBidi"/>
      <w:i/>
      <w:iCs/>
      <w:sz w:val="24"/>
    </w:rPr>
  </w:style>
  <w:style w:type="paragraph" w:styleId="Rubrik7">
    <w:name w:val="heading 7"/>
    <w:basedOn w:val="Normal"/>
    <w:next w:val="Normal"/>
    <w:link w:val="Rubrik7Char"/>
    <w:uiPriority w:val="9"/>
    <w:semiHidden/>
    <w:unhideWhenUsed/>
    <w:qFormat/>
    <w:rsid w:val="00046D09"/>
    <w:pPr>
      <w:keepNext/>
      <w:keepLines/>
      <w:spacing w:before="200"/>
      <w:outlineLvl w:val="6"/>
    </w:pPr>
    <w:rPr>
      <w:rFonts w:asciiTheme="majorHAnsi" w:eastAsiaTheme="majorEastAsia" w:hAnsiTheme="majorHAnsi" w:cstheme="majorBidi"/>
      <w:i/>
      <w:iCs/>
      <w:color w:val="404040" w:themeColor="text1" w:themeTint="B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6D09"/>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046D09"/>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046D09"/>
    <w:rPr>
      <w:rFonts w:asciiTheme="majorHAnsi" w:eastAsiaTheme="majorEastAsia" w:hAnsiTheme="majorHAnsi" w:cstheme="majorBidi"/>
      <w:b/>
      <w:bCs/>
    </w:rPr>
  </w:style>
  <w:style w:type="paragraph" w:styleId="Rubrik">
    <w:name w:val="Title"/>
    <w:basedOn w:val="Normal"/>
    <w:next w:val="Normal"/>
    <w:link w:val="RubrikChar"/>
    <w:uiPriority w:val="10"/>
    <w:qFormat/>
    <w:rsid w:val="00046D09"/>
    <w:rPr>
      <w:rFonts w:asciiTheme="majorHAnsi" w:hAnsiTheme="majorHAnsi" w:cstheme="majorHAnsi"/>
      <w:b/>
      <w:sz w:val="32"/>
    </w:rPr>
  </w:style>
  <w:style w:type="character" w:customStyle="1" w:styleId="RubrikChar">
    <w:name w:val="Rubrik Char"/>
    <w:basedOn w:val="Standardstycketeckensnitt"/>
    <w:link w:val="Rubrik"/>
    <w:uiPriority w:val="10"/>
    <w:rsid w:val="00046D09"/>
    <w:rPr>
      <w:rFonts w:asciiTheme="majorHAnsi" w:hAnsiTheme="majorHAnsi" w:cstheme="majorHAnsi"/>
      <w:b/>
      <w:sz w:val="32"/>
    </w:rPr>
  </w:style>
  <w:style w:type="character" w:customStyle="1" w:styleId="Rubrik4Char">
    <w:name w:val="Rubrik 4 Char"/>
    <w:basedOn w:val="Standardstycketeckensnitt"/>
    <w:link w:val="Rubrik4"/>
    <w:uiPriority w:val="9"/>
    <w:rsid w:val="00046D09"/>
    <w:rPr>
      <w:rFonts w:ascii="Arial" w:eastAsiaTheme="majorEastAsia" w:hAnsi="Arial" w:cstheme="majorBidi"/>
      <w:bCs/>
      <w:i/>
      <w:iCs/>
    </w:rPr>
  </w:style>
  <w:style w:type="character" w:customStyle="1" w:styleId="Rubrik5Char">
    <w:name w:val="Rubrik 5 Char"/>
    <w:basedOn w:val="Standardstycketeckensnitt"/>
    <w:link w:val="Rubrik5"/>
    <w:uiPriority w:val="9"/>
    <w:semiHidden/>
    <w:rsid w:val="00046D09"/>
    <w:rPr>
      <w:rFonts w:asciiTheme="majorHAnsi" w:eastAsiaTheme="majorEastAsia" w:hAnsiTheme="majorHAnsi" w:cstheme="majorBidi"/>
      <w:sz w:val="24"/>
    </w:rPr>
  </w:style>
  <w:style w:type="character" w:customStyle="1" w:styleId="Rubrik6Char">
    <w:name w:val="Rubrik 6 Char"/>
    <w:basedOn w:val="Standardstycketeckensnitt"/>
    <w:link w:val="Rubrik6"/>
    <w:uiPriority w:val="9"/>
    <w:semiHidden/>
    <w:rsid w:val="00046D09"/>
    <w:rPr>
      <w:rFonts w:asciiTheme="majorHAnsi" w:eastAsiaTheme="majorEastAsia" w:hAnsiTheme="majorHAnsi" w:cstheme="majorBidi"/>
      <w:i/>
      <w:iCs/>
      <w:sz w:val="24"/>
    </w:rPr>
  </w:style>
  <w:style w:type="character" w:customStyle="1" w:styleId="Rubrik7Char">
    <w:name w:val="Rubrik 7 Char"/>
    <w:basedOn w:val="Standardstycketeckensnitt"/>
    <w:link w:val="Rubrik7"/>
    <w:uiPriority w:val="9"/>
    <w:semiHidden/>
    <w:rsid w:val="00046D09"/>
    <w:rPr>
      <w:rFonts w:asciiTheme="majorHAnsi" w:eastAsiaTheme="majorEastAsia" w:hAnsiTheme="majorHAnsi" w:cstheme="majorBidi"/>
      <w:i/>
      <w:iCs/>
      <w:color w:val="404040" w:themeColor="text1" w:themeTint="BF"/>
      <w:sz w:val="24"/>
    </w:rPr>
  </w:style>
  <w:style w:type="table" w:styleId="Tabellrutnt">
    <w:name w:val="Table Grid"/>
    <w:basedOn w:val="Normaltabell"/>
    <w:uiPriority w:val="59"/>
    <w:rsid w:val="005B53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rsid w:val="005B533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5B5338"/>
    <w:rPr>
      <w:rFonts w:ascii="Times New Roman" w:hAnsi="Times New Roman"/>
      <w:sz w:val="24"/>
    </w:rPr>
  </w:style>
  <w:style w:type="paragraph" w:styleId="Sidfot">
    <w:name w:val="footer"/>
    <w:basedOn w:val="Normal"/>
    <w:link w:val="SidfotChar"/>
    <w:uiPriority w:val="99"/>
    <w:unhideWhenUsed/>
    <w:rsid w:val="005B5338"/>
    <w:pPr>
      <w:tabs>
        <w:tab w:val="center" w:pos="4536"/>
        <w:tab w:val="right" w:pos="9072"/>
      </w:tabs>
      <w:spacing w:line="240" w:lineRule="auto"/>
    </w:pPr>
  </w:style>
  <w:style w:type="character" w:customStyle="1" w:styleId="SidfotChar">
    <w:name w:val="Sidfot Char"/>
    <w:basedOn w:val="Standardstycketeckensnitt"/>
    <w:link w:val="Sidfot"/>
    <w:uiPriority w:val="99"/>
    <w:rsid w:val="005B5338"/>
    <w:rPr>
      <w:rFonts w:ascii="Times New Roman" w:hAnsi="Times New Roman"/>
      <w:sz w:val="24"/>
    </w:rPr>
  </w:style>
  <w:style w:type="paragraph" w:customStyle="1" w:styleId="Adressupg">
    <w:name w:val="Adressupg"/>
    <w:basedOn w:val="Normal"/>
    <w:rsid w:val="00F3231C"/>
    <w:pPr>
      <w:spacing w:line="240" w:lineRule="auto"/>
    </w:pPr>
    <w:rPr>
      <w:rFonts w:asciiTheme="majorHAnsi" w:eastAsia="Times New Roman" w:hAnsiTheme="majorHAnsi" w:cs="Times New Roman"/>
      <w:color w:val="000000"/>
      <w:sz w:val="12"/>
      <w:szCs w:val="20"/>
      <w:lang w:eastAsia="sv-SE"/>
    </w:rPr>
  </w:style>
  <w:style w:type="character" w:styleId="Platshllartext">
    <w:name w:val="Placeholder Text"/>
    <w:basedOn w:val="Standardstycketeckensnitt"/>
    <w:uiPriority w:val="99"/>
    <w:semiHidden/>
    <w:rsid w:val="00331797"/>
    <w:rPr>
      <w:color w:val="808080"/>
    </w:rPr>
  </w:style>
  <w:style w:type="paragraph" w:styleId="Ballongtext">
    <w:name w:val="Balloon Text"/>
    <w:basedOn w:val="Normal"/>
    <w:link w:val="BallongtextChar"/>
    <w:uiPriority w:val="99"/>
    <w:semiHidden/>
    <w:unhideWhenUsed/>
    <w:rsid w:val="00F50E6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50E61"/>
    <w:rPr>
      <w:rFonts w:ascii="Tahoma" w:hAnsi="Tahoma" w:cs="Tahoma"/>
      <w:sz w:val="16"/>
      <w:szCs w:val="16"/>
    </w:rPr>
  </w:style>
  <w:style w:type="table" w:customStyle="1" w:styleId="KVbl">
    <w:name w:val="KV blå"/>
    <w:basedOn w:val="Normaltabell"/>
    <w:uiPriority w:val="99"/>
    <w:rsid w:val="002D421A"/>
    <w:pPr>
      <w:spacing w:before="40" w:after="40" w:line="240" w:lineRule="auto"/>
    </w:pPr>
    <w:rPr>
      <w:rFonts w:asciiTheme="majorHAnsi" w:hAnsiTheme="majorHAns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rFonts w:asciiTheme="majorHAnsi" w:hAnsiTheme="majorHAnsi" w:cs="Arial" w:hint="default"/>
        <w:b/>
        <w:bCs/>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5C79BB"/>
        <w:vAlign w:val="top"/>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BDC9E3"/>
      </w:tcPr>
    </w:tblStylePr>
  </w:style>
  <w:style w:type="paragraph" w:customStyle="1" w:styleId="brdtext">
    <w:name w:val="brödtext"/>
    <w:basedOn w:val="Normal"/>
    <w:rsid w:val="00BD3C42"/>
    <w:pPr>
      <w:tabs>
        <w:tab w:val="left" w:pos="5040"/>
      </w:tabs>
      <w:ind w:left="2340"/>
    </w:pPr>
    <w:rPr>
      <w:lang w:eastAsia="sv-SE"/>
    </w:rPr>
  </w:style>
  <w:style w:type="character" w:styleId="Hyperlnk">
    <w:name w:val="Hyperlink"/>
    <w:basedOn w:val="Standardstycketeckensnitt"/>
    <w:uiPriority w:val="99"/>
    <w:unhideWhenUsed/>
    <w:rsid w:val="00AA5EA4"/>
    <w:rPr>
      <w:color w:val="4967AA" w:themeColor="hyperlink"/>
      <w:u w:val="single"/>
    </w:rPr>
  </w:style>
  <w:style w:type="paragraph" w:customStyle="1" w:styleId="Default">
    <w:name w:val="Default"/>
    <w:rsid w:val="005E7F4B"/>
    <w:pPr>
      <w:autoSpaceDE w:val="0"/>
      <w:autoSpaceDN w:val="0"/>
      <w:adjustRightInd w:val="0"/>
      <w:spacing w:after="0" w:line="240" w:lineRule="auto"/>
    </w:pPr>
    <w:rPr>
      <w:rFonts w:ascii="Arial" w:hAnsi="Arial" w:cs="Arial"/>
      <w:color w:val="000000"/>
      <w:sz w:val="24"/>
      <w:szCs w:val="24"/>
    </w:rPr>
  </w:style>
  <w:style w:type="character" w:styleId="Olstomnmnande">
    <w:name w:val="Unresolved Mention"/>
    <w:basedOn w:val="Standardstycketeckensnitt"/>
    <w:uiPriority w:val="99"/>
    <w:semiHidden/>
    <w:unhideWhenUsed/>
    <w:rsid w:val="0048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4486">
      <w:bodyDiv w:val="1"/>
      <w:marLeft w:val="0"/>
      <w:marRight w:val="0"/>
      <w:marTop w:val="0"/>
      <w:marBottom w:val="0"/>
      <w:divBdr>
        <w:top w:val="none" w:sz="0" w:space="0" w:color="auto"/>
        <w:left w:val="none" w:sz="0" w:space="0" w:color="auto"/>
        <w:bottom w:val="none" w:sz="0" w:space="0" w:color="auto"/>
        <w:right w:val="none" w:sz="0" w:space="0" w:color="auto"/>
      </w:divBdr>
    </w:div>
    <w:div w:id="226232035">
      <w:bodyDiv w:val="1"/>
      <w:marLeft w:val="0"/>
      <w:marRight w:val="0"/>
      <w:marTop w:val="0"/>
      <w:marBottom w:val="0"/>
      <w:divBdr>
        <w:top w:val="none" w:sz="0" w:space="0" w:color="auto"/>
        <w:left w:val="none" w:sz="0" w:space="0" w:color="auto"/>
        <w:bottom w:val="none" w:sz="0" w:space="0" w:color="auto"/>
        <w:right w:val="none" w:sz="0" w:space="0" w:color="auto"/>
      </w:divBdr>
    </w:div>
    <w:div w:id="1222444001">
      <w:bodyDiv w:val="1"/>
      <w:marLeft w:val="0"/>
      <w:marRight w:val="0"/>
      <w:marTop w:val="0"/>
      <w:marBottom w:val="0"/>
      <w:divBdr>
        <w:top w:val="none" w:sz="0" w:space="0" w:color="auto"/>
        <w:left w:val="none" w:sz="0" w:space="0" w:color="auto"/>
        <w:bottom w:val="none" w:sz="0" w:space="0" w:color="auto"/>
        <w:right w:val="none" w:sz="0" w:space="0" w:color="auto"/>
      </w:divBdr>
    </w:div>
    <w:div w:id="12237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halvarsson@konsumentverket.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mma.hedge@konsumentverket.se"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hedge\Appdata\Roaming\Microsoft\Templates\R&#228;ttsenheter\Tillsynsbrev%20vid%20f&#246;reg&#229;ende%20kommunice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E98CAD9694A2DAD0353DEA347FEEC"/>
        <w:category>
          <w:name w:val="Allmänt"/>
          <w:gallery w:val="placeholder"/>
        </w:category>
        <w:types>
          <w:type w:val="bbPlcHdr"/>
        </w:types>
        <w:behaviors>
          <w:behavior w:val="content"/>
        </w:behaviors>
        <w:guid w:val="{9C1F5EC5-4ACB-432E-ACCB-1CEFF8D857A5}"/>
      </w:docPartPr>
      <w:docPartBody>
        <w:p w:rsidR="00165ECD" w:rsidRDefault="00937BC3">
          <w:pPr>
            <w:pStyle w:val="850E98CAD9694A2DAD0353DEA347FEEC"/>
          </w:pPr>
          <w:r w:rsidRPr="00726970">
            <w:rPr>
              <w:rStyle w:val="Platshllartext"/>
              <w:color w:val="F7CAAC" w:themeColor="accent2" w:themeTint="66"/>
            </w:rPr>
            <w:t>Välj en text</w:t>
          </w:r>
        </w:p>
      </w:docPartBody>
    </w:docPart>
    <w:docPart>
      <w:docPartPr>
        <w:name w:val="8641D103EB7B444398D221BF12F802EE"/>
        <w:category>
          <w:name w:val="Allmänt"/>
          <w:gallery w:val="placeholder"/>
        </w:category>
        <w:types>
          <w:type w:val="bbPlcHdr"/>
        </w:types>
        <w:behaviors>
          <w:behavior w:val="content"/>
        </w:behaviors>
        <w:guid w:val="{82CD9307-FFE4-45A8-92D0-DA62921239C6}"/>
      </w:docPartPr>
      <w:docPartBody>
        <w:p w:rsidR="00165ECD" w:rsidRDefault="00937BC3">
          <w:pPr>
            <w:pStyle w:val="8641D103EB7B444398D221BF12F802EE"/>
          </w:pPr>
          <w:r w:rsidRPr="00726970">
            <w:rPr>
              <w:rStyle w:val="Platshllartext"/>
              <w:color w:val="F7CAAC" w:themeColor="accent2" w:themeTint="66"/>
            </w:rPr>
            <w: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CD"/>
    <w:rsid w:val="00165ECD"/>
    <w:rsid w:val="00937BC3"/>
    <w:rsid w:val="00C50A11"/>
    <w:rsid w:val="00C8535F"/>
    <w:rsid w:val="00D523AA"/>
    <w:rsid w:val="00FD5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0E98CAD9694A2DAD0353DEA347FEEC">
    <w:name w:val="850E98CAD9694A2DAD0353DEA347FEEC"/>
  </w:style>
  <w:style w:type="paragraph" w:customStyle="1" w:styleId="8641D103EB7B444398D221BF12F802EE">
    <w:name w:val="8641D103EB7B444398D221BF12F80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V Word ny">
  <a:themeElements>
    <a:clrScheme name="Anpassat 9">
      <a:dk1>
        <a:srgbClr val="000000"/>
      </a:dk1>
      <a:lt1>
        <a:sysClr val="window" lastClr="FFFFFF"/>
      </a:lt1>
      <a:dk2>
        <a:srgbClr val="92D2F4"/>
      </a:dk2>
      <a:lt2>
        <a:srgbClr val="BFBFBF"/>
      </a:lt2>
      <a:accent1>
        <a:srgbClr val="0074CC"/>
      </a:accent1>
      <a:accent2>
        <a:srgbClr val="162259"/>
      </a:accent2>
      <a:accent3>
        <a:srgbClr val="76B82A"/>
      </a:accent3>
      <a:accent4>
        <a:srgbClr val="B50156"/>
      </a:accent4>
      <a:accent5>
        <a:srgbClr val="F59C00"/>
      </a:accent5>
      <a:accent6>
        <a:srgbClr val="83726E"/>
      </a:accent6>
      <a:hlink>
        <a:srgbClr val="4967AA"/>
      </a:hlink>
      <a:folHlink>
        <a:srgbClr val="8A5566"/>
      </a:folHlink>
    </a:clrScheme>
    <a:fontScheme name="KOV 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KOV ny" id="{94A09248-AAAA-48B0-B5C0-BAE04225FC03}" vid="{003260A8-C0AC-4B11-BEE2-4C931DDB53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D42DC8A97E3243B874F5467CDDB771" ma:contentTypeVersion="10" ma:contentTypeDescription="Skapa ett nytt dokument." ma:contentTypeScope="" ma:versionID="73f8ac0bb3ef9ca82cc297c640858cee">
  <xsd:schema xmlns:xsd="http://www.w3.org/2001/XMLSchema" xmlns:xs="http://www.w3.org/2001/XMLSchema" xmlns:p="http://schemas.microsoft.com/office/2006/metadata/properties" xmlns:ns3="4b7b1dfb-3c36-42a6-b583-e2456025cfab" targetNamespace="http://schemas.microsoft.com/office/2006/metadata/properties" ma:root="true" ma:fieldsID="c2d068b1747e6e7c29fcd779491f6f44" ns3:_="">
    <xsd:import namespace="4b7b1dfb-3c36-42a6-b583-e2456025cf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b1dfb-3c36-42a6-b583-e2456025c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87C9E-BFBB-44F3-8E80-F5414069A332}">
  <ds:schemaRefs>
    <ds:schemaRef ds:uri="http://schemas.microsoft.com/sharepoint/v3/contenttype/forms"/>
  </ds:schemaRefs>
</ds:datastoreItem>
</file>

<file path=customXml/itemProps2.xml><?xml version="1.0" encoding="utf-8"?>
<ds:datastoreItem xmlns:ds="http://schemas.openxmlformats.org/officeDocument/2006/customXml" ds:itemID="{70A36960-E822-4DB9-AB03-BB79FC75F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b1dfb-3c36-42a6-b583-e2456025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B3F2B-2A51-4ECB-B2E7-0B93B3C667C4}">
  <ds:schemaRefs>
    <ds:schemaRef ds:uri="http://schemas.openxmlformats.org/officeDocument/2006/bibliography"/>
  </ds:schemaRefs>
</ds:datastoreItem>
</file>

<file path=customXml/itemProps4.xml><?xml version="1.0" encoding="utf-8"?>
<ds:datastoreItem xmlns:ds="http://schemas.openxmlformats.org/officeDocument/2006/customXml" ds:itemID="{6B432608-8496-4B01-AC13-F89C20926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Tillsynsbrev vid föregående kommunicering</Template>
  <TotalTime>90</TotalTime>
  <Pages>4</Pages>
  <Words>1094</Words>
  <Characters>5804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Hedge</dc:creator>
  <cp:lastModifiedBy>Emma Hedge</cp:lastModifiedBy>
  <cp:revision>109</cp:revision>
  <cp:lastPrinted>2023-05-11T11:43:00Z</cp:lastPrinted>
  <dcterms:created xsi:type="dcterms:W3CDTF">2023-04-19T08:01:00Z</dcterms:created>
  <dcterms:modified xsi:type="dcterms:W3CDTF">2023-05-11T11:44:00Z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0x01010064D42DC8A97E3243B874F5467CDDB771</vt:lpwstr>
  </property>
</Properties>
</file>