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8DF5" w14:textId="77777777" w:rsidR="00D622C7" w:rsidRPr="00D622C7" w:rsidRDefault="00D622C7" w:rsidP="00D622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Postanowienie z dnia 1 marca 2021 r.</w:t>
      </w:r>
      <w:r>
        <w:rPr>
          <w:rFonts w:ascii="Times New Roman" w:hAnsi="Times New Roman"/>
          <w:b/>
          <w:sz w:val="36"/>
        </w:rPr>
        <w:br/>
        <w:t>zmieniająca rozporządzenie z dnia 10 lipca 2020 r. określające środki organizacyjne i operacyjne systemu opieki zdrowotnej niezbędne do zwalczania epidemii COVID-19 w kontekście stanu zagrożenia zdrowia</w:t>
      </w:r>
    </w:p>
    <w:p w14:paraId="08FBC4AD" w14:textId="77777777" w:rsidR="00D622C7" w:rsidRPr="00D622C7" w:rsidRDefault="00D622C7" w:rsidP="00D622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Wersja wstępna </w:t>
      </w:r>
    </w:p>
    <w:p w14:paraId="3DB4DE11" w14:textId="77777777" w:rsidR="00D622C7" w:rsidRPr="00D622C7" w:rsidRDefault="00D622C7" w:rsidP="00D6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Solidarności i Zdrowia,</w:t>
      </w:r>
      <w:r>
        <w:rPr>
          <w:rFonts w:ascii="Times New Roman" w:hAnsi="Times New Roman"/>
          <w:sz w:val="24"/>
        </w:rPr>
        <w:br/>
        <w:t>Uwzględniając dyrektywę 98/79/WE Parlamentu Europejskiego i Rady z dnia 27 października 1998 r. w sprawie wyrobów medycznych do diagnostyki in vitro,</w:t>
      </w:r>
      <w:r>
        <w:rPr>
          <w:rFonts w:ascii="Times New Roman" w:hAnsi="Times New Roman"/>
          <w:sz w:val="24"/>
        </w:rPr>
        <w:br/>
        <w:t>Uwzględniając dyrektywę Parlamentu Europejskiego i Rady (UE) 2015/1535 z dnia 9 września 2015 r. ustanawiającą procedurę udzielania informacji w zakresie przepisów technicznych i zasad dotyczących usług społeczeństwa informacyjnego, w szczególności Powiadomienie nr 2021/129/F,</w:t>
      </w:r>
      <w:r>
        <w:rPr>
          <w:rFonts w:ascii="Times New Roman" w:hAnsi="Times New Roman"/>
          <w:sz w:val="24"/>
        </w:rPr>
        <w:br/>
        <w:t>Uwzględniając kodeks zdrowia publicznego, w szczególności jego art. L. 3131-16,</w:t>
      </w:r>
      <w:r>
        <w:rPr>
          <w:rFonts w:ascii="Times New Roman" w:hAnsi="Times New Roman"/>
          <w:sz w:val="24"/>
        </w:rPr>
        <w:br/>
        <w:t>Uwzględniając kodeks zabezpieczenia społecznego [Code de la sécurité sociale],</w:t>
      </w:r>
      <w:r>
        <w:rPr>
          <w:rFonts w:ascii="Times New Roman" w:hAnsi="Times New Roman"/>
          <w:sz w:val="24"/>
        </w:rPr>
        <w:br/>
        <w:t>Uwzględniając ustawę nr 2020-1379 z dnia 14 listopada 2020 r. zezwalającą na przedłużenie stanu zagrożenia zdrowia oraz określającą różne środki zarządzania kryzysem zdrowotnym, z późniejszymi zmianami,</w:t>
      </w:r>
      <w:r>
        <w:rPr>
          <w:rFonts w:ascii="Times New Roman" w:hAnsi="Times New Roman"/>
          <w:sz w:val="24"/>
        </w:rPr>
        <w:br/>
        <w:t>Uwzględniając dekret nr 2020-1257 z dnia 14 października 2020 r. stwierdzający stan zagrożenia zdrowia,</w:t>
      </w:r>
      <w:r>
        <w:rPr>
          <w:rFonts w:ascii="Times New Roman" w:hAnsi="Times New Roman"/>
          <w:sz w:val="24"/>
        </w:rPr>
        <w:br/>
        <w:t>Uwzględniając rozporządzenie z dnia 13 sierpnia 2014 r. ustanawiające kategorie pracowników służby zdrowia upoważnionych do pobierania próbek biologicznych do badań klinicznych i do przeprowadzania etapu analizy badań klinicznych poza laboratorium klinicznym oraz miejsca, w których można przeprowadzać te etapy,</w:t>
      </w:r>
      <w:r>
        <w:rPr>
          <w:rFonts w:ascii="Times New Roman" w:hAnsi="Times New Roman"/>
          <w:sz w:val="24"/>
        </w:rPr>
        <w:br/>
        <w:t>Uwzględniając rozporządzenie z dnia 10 lipca 2020 r. określające środki organizacyjne i operacyjne systemu opieki zdrowotnej niezbędne do zwalczania epidemii COVID-19 w kontekście stanu zagrożenia zdrowia, z późniejszymi zmianami,</w:t>
      </w:r>
      <w:r>
        <w:rPr>
          <w:rFonts w:ascii="Times New Roman" w:hAnsi="Times New Roman"/>
          <w:sz w:val="24"/>
        </w:rPr>
        <w:br/>
        <w:t>Uwzględniając rozporządzenie z dnia 23 grudnia 2020 r. ustanawiające specyfikacje dla eksperymentów związanych z usługami opiekuńczymi poprzez telemonitoring, wdrożonego na podstawie art. 54 ustawy nr 2017-1836 o finansowaniu zabezpieczenia społecznego na 2018 r.,</w:t>
      </w:r>
      <w:r>
        <w:rPr>
          <w:rFonts w:ascii="Times New Roman" w:hAnsi="Times New Roman"/>
          <w:sz w:val="24"/>
        </w:rPr>
        <w:br/>
        <w:t>W celu ułatwienia opieki tele-zdrowotnej pacjentów podejrzewanych o zakażenie COVID-19 lub zakażenie COVID-19, przewidziano odstępstwa na czas potrzebny pracownikom służby zdrowia na wyposażenie się w narzędzia cyfrowe zgodne z ogólną polityką bezpieczeństwa systemów informacji zdrowotnej oraz przepisami dotyczącymi przechowywania danych zdrowotnych; te przejściowe odstępstwa mogą zostać zniesione;</w:t>
      </w:r>
      <w:r>
        <w:rPr>
          <w:rFonts w:ascii="Times New Roman" w:hAnsi="Times New Roman"/>
          <w:sz w:val="24"/>
        </w:rPr>
        <w:br/>
        <w:t>Odstępstwa od kryteriów włączenia prób telemonitoringu, wprowadzonych na podstawie art. 54 ustawy o finansowaniu zabezpieczenia społecznego na rok 2018, są obecnie przewidziane w wyżej wymienionym rozporządzeniu z dnia 23 grudnia 2020 r.; nie ma już potrzeby włączenia ich do rozporządzenia z dnia 10 lipca 2020 r. zmienionego niniejszym dekretem;</w:t>
      </w:r>
      <w:r>
        <w:rPr>
          <w:rFonts w:ascii="Times New Roman" w:hAnsi="Times New Roman"/>
          <w:sz w:val="24"/>
        </w:rPr>
        <w:br/>
        <w:t xml:space="preserve">Znajomość poziomu występowania i rozprzestrzeniania się różnych wariantów na terytorium kraju jest niezbędna do właściwego zarządzania kryzysem epidemicznym; w związku z tym konieczne jest umożliwienie większej płynności i lepszej reakcji na stosowanie wyrobów, które wykrywają nowe warianty poprzez zezwolenie laboratoriom klinicznym na wytwarzanie do ich własnego użytku wyrobów medycznych do diagnostyki in vitro używanych do badania </w:t>
      </w:r>
      <w:r>
        <w:rPr>
          <w:rFonts w:ascii="Times New Roman" w:hAnsi="Times New Roman"/>
          <w:sz w:val="24"/>
        </w:rPr>
        <w:lastRenderedPageBreak/>
        <w:t>przesiewowego wariantów SARS-CoV-2 przy użyciu specjalnej techniki RT-PCR;</w:t>
      </w:r>
      <w:r>
        <w:rPr>
          <w:rFonts w:ascii="Times New Roman" w:hAnsi="Times New Roman"/>
          <w:sz w:val="24"/>
        </w:rPr>
        <w:br/>
        <w:t>Konieczne jest umożliwienie przeprowadzenia badań przesiewowych w celu wykrycia obecności różnych wariantów występujących na terytorium kraju po przeprowadzeniu badania antygenowego, którego wynik jest pozytywny, oraz zapewnienie wynagrodzenia za odpowiednie działania w zakresie pobierania próbek i testów przesiewowych dla różnych pracowników służby zdrowia,</w:t>
      </w:r>
      <w:r>
        <w:rPr>
          <w:rFonts w:ascii="Times New Roman" w:hAnsi="Times New Roman"/>
          <w:sz w:val="24"/>
        </w:rPr>
        <w:br/>
        <w:t>Niniejszym nakazuje:</w:t>
      </w:r>
    </w:p>
    <w:p w14:paraId="5EB7F503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1</w:t>
      </w:r>
    </w:p>
    <w:p w14:paraId="523F4ED4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wyżej wymienionym rozporządzeniu z dnia 10 lipca 2020 r. wprowadza się następujące zmiany:</w:t>
      </w:r>
      <w:r>
        <w:rPr>
          <w:rFonts w:ascii="Times New Roman" w:hAnsi="Times New Roman"/>
          <w:sz w:val="24"/>
        </w:rPr>
        <w:br/>
        <w:t>1) w art. 17 skreśla się I, VI i VII;</w:t>
      </w:r>
      <w:r>
        <w:rPr>
          <w:rFonts w:ascii="Times New Roman" w:hAnsi="Times New Roman"/>
          <w:sz w:val="24"/>
        </w:rPr>
        <w:br/>
        <w:t>2) Po VI art. 18 dodaje się nową VI lit. a) w brzmieniu:</w:t>
      </w:r>
      <w:r>
        <w:rPr>
          <w:rFonts w:ascii="Times New Roman" w:hAnsi="Times New Roman"/>
          <w:sz w:val="24"/>
        </w:rPr>
        <w:br/>
        <w:t>VI lit. a). — Po otrzymaniu pozytywnego wyniku testu antygenowego, prywatni aptekarze mogą pobierać w aptekach próbki, które należy fakturować zgodnie z wynagrodzeniem określonym w IV, za wykonanie testu przesiewowego dla wariantów wykorzystujących specyficzną technikę RT-PCR w laboratorium klinicznym na warunkach określonych w art. 28-2 niniejszego rozporządzenia. Próbki są pobierane na odpowiedzialność laboratorium klinicznego w ramach umowy z farmaceutą wydającym. ”;</w:t>
      </w:r>
      <w:r>
        <w:rPr>
          <w:rFonts w:ascii="Times New Roman" w:hAnsi="Times New Roman"/>
          <w:sz w:val="24"/>
        </w:rPr>
        <w:br/>
        <w:t>3) Do artykułu 25 dodaje się VII w brzmieniu:</w:t>
      </w:r>
      <w:r>
        <w:rPr>
          <w:rFonts w:ascii="Times New Roman" w:hAnsi="Times New Roman"/>
          <w:sz w:val="24"/>
        </w:rPr>
        <w:br/>
        <w:t>„VII. — W drodze odstępstwa od art. L. 5221-5 Kodeksu Zdrowia Publicznego, wyroby medyczne do diagnostyki in vitro stosowane do badań przesiewowych wariantów SARS-CoV-2 z zastosowaniem specjalnej techniki RT-PCR, które spełniają wymogi techniczne określone na stronie internetowej Ministerstwa Zdrowia, mogą być wytwarzane przez laboratoria kliniczne wymienione w art. L. 6212-1 Kodeksu Zdrowia Publicznego.</w:t>
      </w:r>
      <w:r>
        <w:rPr>
          <w:rFonts w:ascii="Times New Roman" w:hAnsi="Times New Roman"/>
          <w:sz w:val="24"/>
        </w:rPr>
        <w:br/>
        <w:t>„Wyroby medyczne do diagnostyki in vitro, o których mowa w poprzednim ustępie, mogą być wytwarzane i stosowane wyłącznie w laboratorium klinicznym do własnego użytku.</w:t>
      </w:r>
      <w:r>
        <w:rPr>
          <w:rFonts w:ascii="Times New Roman" w:hAnsi="Times New Roman"/>
          <w:sz w:val="24"/>
        </w:rPr>
        <w:br/>
        <w:t>W drodze odstępstwa od art. R. 5221-21 ustęp drugi Kodeksu Zdrowia Publicznego,  laboratoria kliniczne, o których mowa w ustępie pierwszym niniejszego VII, muszą być zgodne ze specyfikacjami opublikowanymi na stronach internetowych Krajowej Agencji ds. Bezpieczeństwa Leków i Produktów Leczniczych oraz Ministerstwa Zdrowia. Przekazują one Agencji informacje przewidziane w niniejszych specyfikacjach.</w:t>
      </w:r>
      <w:r>
        <w:rPr>
          <w:rFonts w:ascii="Times New Roman" w:hAnsi="Times New Roman"/>
          <w:sz w:val="24"/>
        </w:rPr>
        <w:br/>
        <w:t>Te laboratoria kliniczne podlegają obowiązkom nadzoru odczynników określonym w art. R. 5222-16-R. 5222-18 Kodeksu Zdrowia Publicznego przy wytwarzaniu i stosowaniu takich wyrobów medycznych do diagnostyki in vitro. ”;</w:t>
      </w:r>
      <w:r>
        <w:rPr>
          <w:rFonts w:ascii="Times New Roman" w:hAnsi="Times New Roman"/>
          <w:sz w:val="24"/>
        </w:rPr>
        <w:br/>
        <w:t>(4) Po art. 28-2 ustęp pierwszy dodaje się ustęp w brzmieniu:</w:t>
      </w:r>
      <w:r>
        <w:rPr>
          <w:rFonts w:ascii="Times New Roman" w:hAnsi="Times New Roman"/>
          <w:sz w:val="24"/>
        </w:rPr>
        <w:br/>
        <w:t>„Po pozytywnym badaniu antygenowym, laboratoria kliniczne mogą fakturować, zgodnie z warunkami przewidzianymi w poprzednim ustępie, wariantowe badanie przesiewowe przy użyciu specjalnej techniki RT-PCR na nowej próbce pobranej w tym celu. Jeżeli laboratorium kliniczne pobiera nową próbkę, może dodatkowo zafakturować proces pobierania próbek zgodnie z nomenklaturą aktów klinicznych nr. 9058. „</w:t>
      </w:r>
    </w:p>
    <w:p w14:paraId="61BFF394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w14:paraId="1BF0696E" w14:textId="77777777" w:rsidR="00D622C7" w:rsidRPr="00D622C7" w:rsidRDefault="00D622C7" w:rsidP="00D622C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Niniejsze rozporządzenie zostaje opublikowane w Dzienniku Urzędowym Republiki Francuskiej.</w:t>
      </w:r>
    </w:p>
    <w:p w14:paraId="710973AE" w14:textId="77777777" w:rsidR="00D622C7" w:rsidRPr="00D622C7" w:rsidRDefault="00D622C7" w:rsidP="00D6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Sporządzono dnia 1 marca 2021 r.</w:t>
      </w:r>
    </w:p>
    <w:p w14:paraId="12A7C86F" w14:textId="37D3324C" w:rsidR="00D622C7" w:rsidRPr="00D622C7" w:rsidRDefault="00D622C7" w:rsidP="00D6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Olivier </w:t>
      </w:r>
      <w:r w:rsidR="008F5927">
        <w:rPr>
          <w:rFonts w:ascii="Times New Roman" w:eastAsia="Times New Roman" w:hAnsi="Times New Roman" w:cs="Times New Roman"/>
          <w:sz w:val="24"/>
          <w:szCs w:val="24"/>
          <w:lang w:eastAsia="fr-FR"/>
        </w:rPr>
        <w:t>Véran</w:t>
      </w:r>
    </w:p>
    <w:p w14:paraId="49C1054B" w14:textId="77777777" w:rsidR="00E97DB3" w:rsidRDefault="00E97DB3"/>
    <w:sectPr w:rsidR="00E97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C7"/>
    <w:rsid w:val="008F5927"/>
    <w:rsid w:val="00D622C7"/>
    <w:rsid w:val="00E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88E6"/>
  <w15:chartTrackingRefBased/>
  <w15:docId w15:val="{BC18C458-0887-4048-8F7C-AC5C84F0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2021-03-02T10:04:00Z</dcterms:created>
  <dcterms:modified xsi:type="dcterms:W3CDTF">2021-10-26T11:03:00Z</dcterms:modified>
</cp:coreProperties>
</file>