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74ABA" w14:textId="616F9606" w:rsidR="003913B8" w:rsidRPr="00422DC0" w:rsidRDefault="003A67C1" w:rsidP="00422DC0">
      <w:pPr>
        <w:tabs>
          <w:tab w:val="left" w:pos="-1560"/>
        </w:tabs>
        <w:jc w:val="center"/>
        <w:rPr>
          <w:rFonts w:cs="Arial"/>
          <w:b/>
          <w:szCs w:val="22"/>
        </w:rPr>
      </w:pPr>
      <w:r>
        <w:rPr>
          <w:b/>
        </w:rPr>
        <w:t>Directiva marco sobre protección contra incendios en el almacenamiento de neumáticos usados y residuos plásticos en instalaciones de eliminación de residuos</w:t>
      </w:r>
    </w:p>
    <w:p w14:paraId="11F780E3" w14:textId="5F3B1522" w:rsidR="00CA200D" w:rsidRPr="00422DC0" w:rsidRDefault="003A67C1" w:rsidP="00422DC0">
      <w:pPr>
        <w:tabs>
          <w:tab w:val="left" w:pos="-1560"/>
        </w:tabs>
        <w:jc w:val="center"/>
        <w:rPr>
          <w:rFonts w:cs="Arial"/>
          <w:b/>
          <w:szCs w:val="22"/>
        </w:rPr>
      </w:pPr>
      <w:r>
        <w:rPr>
          <w:b/>
        </w:rPr>
        <w:t>(Directiva marco de almacenamiento de plástico MKLR)</w:t>
      </w:r>
    </w:p>
    <w:p w14:paraId="5F183BAF" w14:textId="2570CE7C" w:rsidR="006110CC" w:rsidRDefault="003A67C1" w:rsidP="006110CC">
      <w:pPr>
        <w:tabs>
          <w:tab w:val="left" w:pos="-1560"/>
        </w:tabs>
        <w:jc w:val="center"/>
        <w:rPr>
          <w:rFonts w:cs="Arial"/>
          <w:b/>
          <w:szCs w:val="22"/>
        </w:rPr>
      </w:pPr>
      <w:r>
        <w:rPr>
          <w:b/>
        </w:rPr>
        <w:t>- Marzo 2023</w:t>
      </w:r>
      <w:r w:rsidR="009F36EC">
        <w:rPr>
          <w:rStyle w:val="FootnoteReference"/>
          <w:rFonts w:cs="Arial"/>
          <w:b/>
          <w:szCs w:val="22"/>
        </w:rPr>
        <w:footnoteReference w:id="1"/>
      </w:r>
      <w:r>
        <w:rPr>
          <w:b/>
        </w:rPr>
        <w:t xml:space="preserve"> —</w:t>
      </w:r>
    </w:p>
    <w:p w14:paraId="6D2F3BCD" w14:textId="646A3DDD" w:rsidR="00422DC0" w:rsidRDefault="00422DC0" w:rsidP="006110CC">
      <w:pPr>
        <w:tabs>
          <w:tab w:val="left" w:pos="-1560"/>
        </w:tabs>
        <w:jc w:val="center"/>
        <w:rPr>
          <w:rFonts w:cs="Arial"/>
          <w:b/>
          <w:szCs w:val="22"/>
        </w:rPr>
      </w:pPr>
    </w:p>
    <w:p w14:paraId="5AD42C10" w14:textId="77777777" w:rsidR="00422DC0" w:rsidRPr="00422DC0" w:rsidRDefault="00422DC0" w:rsidP="006110CC">
      <w:pPr>
        <w:tabs>
          <w:tab w:val="left" w:pos="-1560"/>
        </w:tabs>
        <w:jc w:val="center"/>
        <w:rPr>
          <w:rFonts w:cs="Arial"/>
          <w:b/>
          <w:szCs w:val="22"/>
        </w:rPr>
      </w:pPr>
    </w:p>
    <w:p w14:paraId="5ABFE954" w14:textId="77777777" w:rsidR="003A67C1" w:rsidRPr="00422DC0" w:rsidRDefault="003A67C1">
      <w:pPr>
        <w:tabs>
          <w:tab w:val="left" w:pos="1134"/>
        </w:tabs>
        <w:ind w:left="426" w:hanging="426"/>
        <w:jc w:val="both"/>
        <w:rPr>
          <w:rFonts w:cs="Arial"/>
          <w:szCs w:val="22"/>
        </w:rPr>
      </w:pPr>
      <w:r>
        <w:rPr>
          <w:b/>
        </w:rPr>
        <w:t>1.</w:t>
      </w:r>
      <w:r>
        <w:rPr>
          <w:b/>
        </w:rPr>
        <w:tab/>
        <w:t>Objetivo de protección</w:t>
      </w:r>
    </w:p>
    <w:p w14:paraId="0F672CE3" w14:textId="77777777" w:rsidR="003A67C1" w:rsidRPr="00422DC0" w:rsidRDefault="003A67C1">
      <w:pPr>
        <w:tabs>
          <w:tab w:val="left" w:pos="1134"/>
        </w:tabs>
        <w:ind w:left="426" w:hanging="426"/>
        <w:jc w:val="both"/>
        <w:rPr>
          <w:rFonts w:cs="Arial"/>
          <w:szCs w:val="22"/>
        </w:rPr>
      </w:pPr>
    </w:p>
    <w:p w14:paraId="0431AD20" w14:textId="69655A7D" w:rsidR="003A67C1" w:rsidRPr="00422DC0" w:rsidRDefault="003A67C1">
      <w:pPr>
        <w:tabs>
          <w:tab w:val="left" w:pos="1134"/>
        </w:tabs>
        <w:ind w:left="426" w:hanging="426"/>
        <w:jc w:val="both"/>
        <w:rPr>
          <w:rFonts w:cs="Arial"/>
          <w:szCs w:val="22"/>
        </w:rPr>
      </w:pPr>
      <w:r>
        <w:t>1.1</w:t>
      </w:r>
      <w:r>
        <w:tab/>
        <w:t xml:space="preserve">El objetivo de esta </w:t>
      </w:r>
      <w:r w:rsidR="00412C7A">
        <w:t>Directiva</w:t>
      </w:r>
      <w:r>
        <w:t xml:space="preserve"> es evitar el inicio y la propagación de incendios y humos y permitir un trabajo eficaz de extinción durante el almacenamiento de neumáticos usados y residuos plásticos en las instalaciones de eliminación de residuos [artículo 14 MBO (</w:t>
      </w:r>
      <w:proofErr w:type="spellStart"/>
      <w:r>
        <w:t>Musterbauordnung</w:t>
      </w:r>
      <w:proofErr w:type="spellEnd"/>
      <w:r>
        <w:t>, Código modelo de construcción)].</w:t>
      </w:r>
    </w:p>
    <w:p w14:paraId="00CB61FF" w14:textId="77777777" w:rsidR="003A67C1" w:rsidRPr="00422DC0" w:rsidRDefault="003A67C1">
      <w:pPr>
        <w:tabs>
          <w:tab w:val="left" w:pos="1134"/>
        </w:tabs>
        <w:ind w:left="426" w:hanging="426"/>
        <w:jc w:val="both"/>
        <w:rPr>
          <w:rFonts w:cs="Arial"/>
          <w:szCs w:val="22"/>
        </w:rPr>
      </w:pPr>
    </w:p>
    <w:p w14:paraId="25BC5E3C" w14:textId="77777777" w:rsidR="003A67C1" w:rsidRPr="00422DC0" w:rsidRDefault="003A67C1">
      <w:pPr>
        <w:tabs>
          <w:tab w:val="left" w:pos="1008"/>
          <w:tab w:val="left" w:pos="1134"/>
        </w:tabs>
        <w:ind w:left="567" w:hanging="141"/>
        <w:jc w:val="both"/>
        <w:rPr>
          <w:rFonts w:cs="Arial"/>
          <w:szCs w:val="22"/>
        </w:rPr>
      </w:pPr>
    </w:p>
    <w:p w14:paraId="4677EF79" w14:textId="0D305175" w:rsidR="003A67C1" w:rsidRPr="00422DC0" w:rsidRDefault="003A67C1">
      <w:pPr>
        <w:tabs>
          <w:tab w:val="left" w:pos="-1560"/>
          <w:tab w:val="left" w:pos="1134"/>
        </w:tabs>
        <w:ind w:left="426" w:hanging="426"/>
        <w:jc w:val="both"/>
        <w:rPr>
          <w:rFonts w:cs="Arial"/>
          <w:szCs w:val="22"/>
        </w:rPr>
      </w:pPr>
      <w:r>
        <w:rPr>
          <w:b/>
        </w:rPr>
        <w:t>2.</w:t>
      </w:r>
      <w:r>
        <w:rPr>
          <w:b/>
        </w:rPr>
        <w:tab/>
        <w:t>Ámbito de aplicación</w:t>
      </w:r>
    </w:p>
    <w:p w14:paraId="022AE055" w14:textId="77777777" w:rsidR="003A67C1" w:rsidRPr="00422DC0" w:rsidRDefault="003A67C1">
      <w:pPr>
        <w:tabs>
          <w:tab w:val="left" w:pos="-1560"/>
          <w:tab w:val="left" w:pos="1134"/>
        </w:tabs>
        <w:ind w:left="426" w:hanging="426"/>
        <w:jc w:val="both"/>
        <w:rPr>
          <w:rFonts w:cs="Arial"/>
          <w:szCs w:val="22"/>
        </w:rPr>
      </w:pPr>
    </w:p>
    <w:p w14:paraId="41ECDB85" w14:textId="770C8388" w:rsidR="003A67C1" w:rsidRPr="00422DC0" w:rsidRDefault="003A67C1" w:rsidP="00C61DA9">
      <w:pPr>
        <w:tabs>
          <w:tab w:val="left" w:pos="-1560"/>
          <w:tab w:val="left" w:pos="1134"/>
        </w:tabs>
        <w:ind w:left="450"/>
        <w:jc w:val="both"/>
        <w:rPr>
          <w:rFonts w:cs="Arial"/>
          <w:szCs w:val="22"/>
        </w:rPr>
      </w:pPr>
      <w:r>
        <w:t>La presente Directiva se aplica al almacenamiento de neumáticos usados y al tratamiento o la clasificación de residuos plásticos, incluido el almacenamiento necesario en instalaciones de eliminación de residuos, en lo sucesivo denominados sustancias, en cantidades de almacenamiento superiores a 200 m</w:t>
      </w:r>
      <w:r>
        <w:rPr>
          <w:vertAlign w:val="superscript"/>
        </w:rPr>
        <w:t>3</w:t>
      </w:r>
      <w:r>
        <w:t xml:space="preserve"> en forma de fracciones mono o mixtas en forma compacta o como material a granel, sueltos, en contenedores fijos y móviles, en edificios de almacenamiento y exteriores. </w:t>
      </w:r>
    </w:p>
    <w:p w14:paraId="36AE5177" w14:textId="77777777" w:rsidR="003A67C1" w:rsidRPr="00422DC0" w:rsidRDefault="003A67C1">
      <w:pPr>
        <w:tabs>
          <w:tab w:val="left" w:pos="-1560"/>
          <w:tab w:val="left" w:pos="1134"/>
        </w:tabs>
        <w:ind w:left="426" w:hanging="426"/>
        <w:jc w:val="both"/>
        <w:rPr>
          <w:rFonts w:cs="Arial"/>
          <w:szCs w:val="22"/>
        </w:rPr>
      </w:pPr>
    </w:p>
    <w:p w14:paraId="58780C09" w14:textId="77777777" w:rsidR="00E46E28" w:rsidRPr="00422DC0" w:rsidRDefault="003A67C1">
      <w:pPr>
        <w:tabs>
          <w:tab w:val="left" w:pos="-1560"/>
          <w:tab w:val="left" w:pos="1134"/>
        </w:tabs>
        <w:ind w:left="426" w:hanging="426"/>
        <w:jc w:val="both"/>
        <w:rPr>
          <w:rFonts w:cs="Arial"/>
          <w:b/>
          <w:szCs w:val="22"/>
        </w:rPr>
      </w:pPr>
      <w:r>
        <w:rPr>
          <w:b/>
        </w:rPr>
        <w:t>3.</w:t>
      </w:r>
      <w:r>
        <w:rPr>
          <w:b/>
        </w:rPr>
        <w:tab/>
        <w:t>Términos</w:t>
      </w:r>
    </w:p>
    <w:p w14:paraId="10728BE4" w14:textId="77777777" w:rsidR="00E46E28" w:rsidRPr="00422DC0" w:rsidRDefault="00E46E28">
      <w:pPr>
        <w:tabs>
          <w:tab w:val="left" w:pos="-1560"/>
          <w:tab w:val="left" w:pos="1134"/>
        </w:tabs>
        <w:ind w:left="426" w:hanging="426"/>
        <w:jc w:val="both"/>
        <w:rPr>
          <w:rFonts w:cs="Arial"/>
          <w:b/>
          <w:szCs w:val="22"/>
        </w:rPr>
      </w:pPr>
    </w:p>
    <w:p w14:paraId="156D5C68" w14:textId="4C279170" w:rsidR="00E46E28" w:rsidRPr="00422DC0" w:rsidRDefault="00C61DA9">
      <w:pPr>
        <w:tabs>
          <w:tab w:val="left" w:pos="-1560"/>
          <w:tab w:val="left" w:pos="1134"/>
        </w:tabs>
        <w:ind w:left="426" w:hanging="426"/>
        <w:jc w:val="both"/>
        <w:rPr>
          <w:rFonts w:cs="Arial"/>
          <w:szCs w:val="22"/>
        </w:rPr>
      </w:pPr>
      <w:r>
        <w:tab/>
        <w:t>3.1 Neumáticos usados</w:t>
      </w:r>
    </w:p>
    <w:p w14:paraId="1F7ECC90" w14:textId="5BA45893" w:rsidR="00E60194" w:rsidRPr="00422DC0" w:rsidRDefault="00E60194" w:rsidP="00C61DA9">
      <w:pPr>
        <w:tabs>
          <w:tab w:val="left" w:pos="-1560"/>
          <w:tab w:val="left" w:pos="1134"/>
        </w:tabs>
        <w:spacing w:before="120"/>
        <w:ind w:left="425" w:firstLine="25"/>
        <w:jc w:val="both"/>
        <w:rPr>
          <w:rFonts w:cs="Arial"/>
          <w:szCs w:val="22"/>
        </w:rPr>
      </w:pPr>
      <w:r>
        <w:t>Los neumáticos usados en el sentido de la presente Directiva son neumáticos usados en la medida en que son residuos en el sentido del artículo 3, apartado 1, de la Ley de economía circular de 24 de febrero de 2012 [BGB1. (Boletín Oficial Federal) I p. 212] en su versión modificada.</w:t>
      </w:r>
    </w:p>
    <w:p w14:paraId="5E7A6E6D" w14:textId="77777777" w:rsidR="00E60194" w:rsidRPr="00422DC0" w:rsidRDefault="00E60194">
      <w:pPr>
        <w:tabs>
          <w:tab w:val="left" w:pos="-1560"/>
          <w:tab w:val="left" w:pos="1134"/>
        </w:tabs>
        <w:ind w:left="426" w:hanging="426"/>
        <w:jc w:val="both"/>
        <w:rPr>
          <w:rFonts w:cs="Arial"/>
          <w:szCs w:val="22"/>
        </w:rPr>
      </w:pPr>
    </w:p>
    <w:p w14:paraId="7BDD8328" w14:textId="61A29CC7" w:rsidR="00E46E28" w:rsidRPr="00422DC0" w:rsidRDefault="00C61DA9">
      <w:pPr>
        <w:tabs>
          <w:tab w:val="left" w:pos="-1560"/>
          <w:tab w:val="left" w:pos="1134"/>
        </w:tabs>
        <w:ind w:left="426" w:hanging="426"/>
        <w:jc w:val="both"/>
        <w:rPr>
          <w:rFonts w:cs="Arial"/>
          <w:szCs w:val="22"/>
        </w:rPr>
      </w:pPr>
      <w:r>
        <w:tab/>
        <w:t>3.2 Residuos plásticos</w:t>
      </w:r>
    </w:p>
    <w:p w14:paraId="05B4C0D5" w14:textId="057841B1" w:rsidR="00B56A43" w:rsidRPr="00422DC0" w:rsidRDefault="00B56A43" w:rsidP="00C61DA9">
      <w:pPr>
        <w:tabs>
          <w:tab w:val="left" w:pos="-1560"/>
          <w:tab w:val="left" w:pos="1134"/>
        </w:tabs>
        <w:spacing w:before="120"/>
        <w:ind w:left="450"/>
        <w:jc w:val="both"/>
        <w:rPr>
          <w:rFonts w:cs="Arial"/>
          <w:szCs w:val="22"/>
        </w:rPr>
      </w:pPr>
      <w:r>
        <w:t>Los residuos plásticos en el sentido de la presente Directiva son residuos en el sentido del artículo 3, apartado 1, de la Ley de economía circular de 24 de febrero de 2012 (BGB1. I p. 212) en su versión modificada, que contienen principalmente plásticos o se mezclan con plásticos como combustibles sustitutos, residuos de embalaje ligeros (</w:t>
      </w:r>
      <w:proofErr w:type="spellStart"/>
      <w:r>
        <w:t>Gelbe</w:t>
      </w:r>
      <w:proofErr w:type="spellEnd"/>
      <w:r>
        <w:t xml:space="preserve"> </w:t>
      </w:r>
      <w:proofErr w:type="spellStart"/>
      <w:r>
        <w:t>Tonne</w:t>
      </w:r>
      <w:proofErr w:type="spellEnd"/>
      <w:r>
        <w:t>, contenedores amarillos) y fracciones de plástico desechadas.</w:t>
      </w:r>
    </w:p>
    <w:p w14:paraId="02566ED2" w14:textId="17C87C66" w:rsidR="00B56A43" w:rsidRPr="00422DC0" w:rsidRDefault="00B56A43" w:rsidP="00B56A43">
      <w:pPr>
        <w:tabs>
          <w:tab w:val="left" w:pos="-1560"/>
          <w:tab w:val="left" w:pos="1134"/>
        </w:tabs>
        <w:ind w:left="426" w:hanging="426"/>
        <w:jc w:val="both"/>
        <w:rPr>
          <w:rFonts w:cs="Arial"/>
          <w:szCs w:val="22"/>
        </w:rPr>
      </w:pPr>
    </w:p>
    <w:p w14:paraId="34B1D4D0" w14:textId="6CF2DF9C" w:rsidR="003A67C1" w:rsidRPr="00422DC0" w:rsidRDefault="00E46E28">
      <w:pPr>
        <w:tabs>
          <w:tab w:val="left" w:pos="-1560"/>
          <w:tab w:val="left" w:pos="1134"/>
        </w:tabs>
        <w:ind w:left="426" w:hanging="426"/>
        <w:jc w:val="both"/>
        <w:rPr>
          <w:rFonts w:cs="Arial"/>
          <w:szCs w:val="22"/>
        </w:rPr>
      </w:pPr>
      <w:r>
        <w:rPr>
          <w:b/>
        </w:rPr>
        <w:t>4.</w:t>
      </w:r>
      <w:r>
        <w:rPr>
          <w:b/>
        </w:rPr>
        <w:tab/>
        <w:t>Zonas de servicio de bomberos</w:t>
      </w:r>
    </w:p>
    <w:p w14:paraId="253DEFA1" w14:textId="77777777" w:rsidR="003A67C1" w:rsidRPr="00422DC0" w:rsidRDefault="003A67C1">
      <w:pPr>
        <w:tabs>
          <w:tab w:val="left" w:pos="-1560"/>
          <w:tab w:val="left" w:pos="1134"/>
        </w:tabs>
        <w:ind w:left="426" w:hanging="426"/>
        <w:jc w:val="both"/>
        <w:rPr>
          <w:rFonts w:cs="Arial"/>
          <w:szCs w:val="22"/>
        </w:rPr>
      </w:pPr>
    </w:p>
    <w:p w14:paraId="541EB294" w14:textId="4E5AFDCE" w:rsidR="003A67C1" w:rsidRPr="00422DC0" w:rsidRDefault="003A67C1" w:rsidP="00B47968">
      <w:pPr>
        <w:tabs>
          <w:tab w:val="left" w:pos="-1560"/>
          <w:tab w:val="left" w:pos="1134"/>
        </w:tabs>
        <w:ind w:left="450"/>
        <w:jc w:val="both"/>
        <w:rPr>
          <w:rFonts w:cs="Arial"/>
          <w:szCs w:val="22"/>
        </w:rPr>
      </w:pPr>
      <w:r>
        <w:t>Para el uso del servicio de bomberos, las vías de acceso adecuadas, así como las zonas de instalación y movimiento deben establecerse en el terreno de acuerdo con el departamento responsable de la protección contra incendios. Se proporcionarán zonas de instalación en al menos dos lados opuestos para las zonas de almacenamiento al aire libre de 2 000 m², para las instalaciones de construcción con una superficie de 5 000 m². Las distancias a las paredes exteriores del edificio con arreglo a la Directiva marco para las zonas de bomberos también deben aplicarse a los límites de las zonas de almacenamiento</w:t>
      </w:r>
    </w:p>
    <w:p w14:paraId="38B5AF5C" w14:textId="77777777" w:rsidR="003A67C1" w:rsidRPr="00422DC0" w:rsidRDefault="003A67C1">
      <w:pPr>
        <w:tabs>
          <w:tab w:val="left" w:pos="1134"/>
        </w:tabs>
        <w:ind w:left="426" w:hanging="426"/>
        <w:jc w:val="both"/>
        <w:rPr>
          <w:rFonts w:cs="Arial"/>
          <w:szCs w:val="22"/>
        </w:rPr>
      </w:pPr>
    </w:p>
    <w:p w14:paraId="2D151CDD" w14:textId="77777777" w:rsidR="003A67C1" w:rsidRPr="00422DC0" w:rsidRDefault="00A5671A">
      <w:pPr>
        <w:tabs>
          <w:tab w:val="left" w:pos="1134"/>
        </w:tabs>
        <w:ind w:left="426" w:hanging="426"/>
        <w:jc w:val="both"/>
        <w:rPr>
          <w:rFonts w:cs="Arial"/>
          <w:szCs w:val="22"/>
        </w:rPr>
      </w:pPr>
      <w:r>
        <w:rPr>
          <w:b/>
        </w:rPr>
        <w:t>5.</w:t>
      </w:r>
      <w:r>
        <w:rPr>
          <w:b/>
        </w:rPr>
        <w:tab/>
        <w:t>Almacenamiento de sustancias en edificios</w:t>
      </w:r>
    </w:p>
    <w:p w14:paraId="1E0105DB" w14:textId="77777777" w:rsidR="003A67C1" w:rsidRPr="00422DC0" w:rsidRDefault="003A67C1">
      <w:pPr>
        <w:tabs>
          <w:tab w:val="left" w:pos="1134"/>
        </w:tabs>
        <w:ind w:left="426" w:hanging="426"/>
        <w:jc w:val="both"/>
        <w:rPr>
          <w:rFonts w:cs="Arial"/>
          <w:szCs w:val="22"/>
        </w:rPr>
      </w:pPr>
    </w:p>
    <w:p w14:paraId="284A658C" w14:textId="7BF71D89" w:rsidR="003A67C1" w:rsidRPr="00422DC0" w:rsidRDefault="00A5671A">
      <w:pPr>
        <w:tabs>
          <w:tab w:val="left" w:pos="1134"/>
        </w:tabs>
        <w:ind w:left="426" w:hanging="426"/>
        <w:jc w:val="both"/>
        <w:rPr>
          <w:rFonts w:cs="Arial"/>
          <w:szCs w:val="22"/>
        </w:rPr>
      </w:pPr>
      <w:r>
        <w:t>5.1</w:t>
      </w:r>
      <w:r>
        <w:tab/>
        <w:t>Las sustancias solo podrán almacenarse edificios de planta baja. En la medida en que no se almacenen a nivel del suelo, puede que se impongan requisitos especiales para permitir un trabajo de extinción eficaz.</w:t>
      </w:r>
    </w:p>
    <w:p w14:paraId="49266E2C" w14:textId="77777777" w:rsidR="003A67C1" w:rsidRPr="00422DC0" w:rsidRDefault="003A67C1">
      <w:pPr>
        <w:tabs>
          <w:tab w:val="left" w:pos="1134"/>
        </w:tabs>
        <w:ind w:left="426" w:hanging="426"/>
        <w:jc w:val="both"/>
        <w:rPr>
          <w:rFonts w:cs="Arial"/>
          <w:szCs w:val="22"/>
        </w:rPr>
      </w:pPr>
    </w:p>
    <w:p w14:paraId="625D5E4E" w14:textId="3FF9A7D9" w:rsidR="003A67C1" w:rsidRPr="00422DC0" w:rsidRDefault="00A5671A">
      <w:pPr>
        <w:tabs>
          <w:tab w:val="left" w:pos="1134"/>
        </w:tabs>
        <w:ind w:left="426" w:hanging="426"/>
        <w:jc w:val="both"/>
        <w:rPr>
          <w:rFonts w:cs="Arial"/>
          <w:szCs w:val="22"/>
        </w:rPr>
      </w:pPr>
      <w:r>
        <w:t>5.2</w:t>
      </w:r>
      <w:r>
        <w:tab/>
        <w:t>El almacén se dividirá en secciones de contención de incendios de no más de 5 000 m</w:t>
      </w:r>
      <w:r>
        <w:rPr>
          <w:vertAlign w:val="superscript"/>
        </w:rPr>
        <w:t>2</w:t>
      </w:r>
      <w:r>
        <w:t xml:space="preserve"> mediante muros contra incendios.</w:t>
      </w:r>
    </w:p>
    <w:p w14:paraId="32F7CBC0" w14:textId="77777777" w:rsidR="003A67C1" w:rsidRPr="00422DC0" w:rsidRDefault="003A67C1">
      <w:pPr>
        <w:tabs>
          <w:tab w:val="left" w:pos="1134"/>
        </w:tabs>
        <w:ind w:left="426" w:hanging="426"/>
        <w:jc w:val="both"/>
        <w:rPr>
          <w:rFonts w:cs="Arial"/>
          <w:szCs w:val="22"/>
        </w:rPr>
      </w:pPr>
    </w:p>
    <w:p w14:paraId="6750506D" w14:textId="77777777" w:rsidR="003A67C1" w:rsidRPr="00422DC0" w:rsidRDefault="00A5671A">
      <w:pPr>
        <w:tabs>
          <w:tab w:val="left" w:pos="1134"/>
        </w:tabs>
        <w:ind w:left="426" w:hanging="426"/>
        <w:jc w:val="both"/>
        <w:rPr>
          <w:rFonts w:cs="Arial"/>
          <w:szCs w:val="22"/>
        </w:rPr>
      </w:pPr>
      <w:r>
        <w:t>5.3</w:t>
      </w:r>
      <w:r>
        <w:tab/>
        <w:t>Cada sección de contención de incendios se dividirá por zonas de al menos 10 m de ancho sin carga de fuego (franjas libres) en zonas de almacenamiento que no excedan de 300 m</w:t>
      </w:r>
      <w:r>
        <w:rPr>
          <w:vertAlign w:val="superscript"/>
        </w:rPr>
        <w:t>2</w:t>
      </w:r>
      <w:r>
        <w:t>.</w:t>
      </w:r>
    </w:p>
    <w:p w14:paraId="0F2A50F9" w14:textId="77777777" w:rsidR="003A67C1" w:rsidRPr="00422DC0" w:rsidRDefault="003A67C1">
      <w:pPr>
        <w:tabs>
          <w:tab w:val="left" w:pos="1134"/>
        </w:tabs>
        <w:ind w:left="426" w:hanging="426"/>
        <w:jc w:val="both"/>
        <w:rPr>
          <w:rFonts w:cs="Arial"/>
          <w:szCs w:val="22"/>
        </w:rPr>
      </w:pPr>
    </w:p>
    <w:p w14:paraId="65711F18" w14:textId="77777777" w:rsidR="003A67C1" w:rsidRPr="00422DC0" w:rsidRDefault="00A5671A">
      <w:pPr>
        <w:tabs>
          <w:tab w:val="left" w:pos="1134"/>
        </w:tabs>
        <w:ind w:left="426" w:hanging="426"/>
        <w:jc w:val="both"/>
        <w:rPr>
          <w:rFonts w:cs="Arial"/>
          <w:szCs w:val="22"/>
        </w:rPr>
      </w:pPr>
      <w:r>
        <w:t>5.4</w:t>
      </w:r>
      <w:r>
        <w:tab/>
        <w:t>Lo siguiente debe estar presente en una sección de contención de incendios:</w:t>
      </w:r>
    </w:p>
    <w:p w14:paraId="3FC2D63A" w14:textId="77777777" w:rsidR="003A67C1" w:rsidRPr="00422DC0" w:rsidRDefault="003A67C1">
      <w:pPr>
        <w:tabs>
          <w:tab w:val="left" w:pos="1134"/>
        </w:tabs>
        <w:ind w:left="426" w:hanging="426"/>
        <w:jc w:val="both"/>
        <w:rPr>
          <w:rFonts w:cs="Arial"/>
          <w:szCs w:val="22"/>
        </w:rPr>
      </w:pPr>
    </w:p>
    <w:p w14:paraId="30A1483C" w14:textId="01ACEA77" w:rsidR="003A67C1" w:rsidRPr="00422DC0" w:rsidRDefault="003A67C1">
      <w:pPr>
        <w:tabs>
          <w:tab w:val="left" w:pos="851"/>
          <w:tab w:val="left" w:pos="1008"/>
          <w:tab w:val="left" w:pos="1134"/>
        </w:tabs>
        <w:ind w:left="567" w:hanging="141"/>
        <w:jc w:val="both"/>
        <w:rPr>
          <w:rFonts w:cs="Arial"/>
          <w:szCs w:val="22"/>
        </w:rPr>
      </w:pPr>
      <w:r>
        <w:t>— sistemas estacionarios de extinción automática de incendios o aberturas de descarga de humo junto con sistemas automáticos de alarma contra incendios si la sección de contención de incendios es mayor que 800 m</w:t>
      </w:r>
      <w:r>
        <w:rPr>
          <w:vertAlign w:val="superscript"/>
        </w:rPr>
        <w:t>2</w:t>
      </w:r>
      <w:r>
        <w:t>. Se considerará que se cumple el requisito relativo a las aberturas de descarga de humo, en particular si cumplen las secciones 5.7.1.2, 5.7.4.2 y 5.7.4.4, número secuencial A 2.2.2.8 de la M VVTB (Directiva marco de construcción industrial, en su versión modificada en mayo de 2019),</w:t>
      </w:r>
    </w:p>
    <w:p w14:paraId="365D057B" w14:textId="105B845C" w:rsidR="003A67C1" w:rsidRPr="00422DC0" w:rsidRDefault="003A67C1">
      <w:pPr>
        <w:tabs>
          <w:tab w:val="left" w:pos="851"/>
          <w:tab w:val="left" w:pos="1134"/>
        </w:tabs>
        <w:ind w:left="567" w:hanging="141"/>
        <w:jc w:val="both"/>
        <w:rPr>
          <w:rFonts w:cs="Arial"/>
          <w:szCs w:val="22"/>
        </w:rPr>
      </w:pPr>
      <w:r>
        <w:t>— sistemas estacionarios automáticos de extinción de incendios si la sección de contención de incendios es superior a 1 600 m</w:t>
      </w:r>
      <w:r>
        <w:rPr>
          <w:vertAlign w:val="superscript"/>
        </w:rPr>
        <w:t>2</w:t>
      </w:r>
      <w:r>
        <w:t>.</w:t>
      </w:r>
    </w:p>
    <w:p w14:paraId="29A817CD" w14:textId="77777777" w:rsidR="006B4BC5" w:rsidRPr="00422DC0" w:rsidRDefault="006B4BC5">
      <w:pPr>
        <w:tabs>
          <w:tab w:val="left" w:pos="851"/>
          <w:tab w:val="left" w:pos="1134"/>
        </w:tabs>
        <w:ind w:left="567" w:hanging="141"/>
        <w:jc w:val="both"/>
        <w:rPr>
          <w:rFonts w:cs="Arial"/>
          <w:szCs w:val="22"/>
        </w:rPr>
      </w:pPr>
    </w:p>
    <w:p w14:paraId="30A5DE54" w14:textId="77777777" w:rsidR="006110CC" w:rsidRPr="00422DC0" w:rsidRDefault="00A5671A" w:rsidP="006110CC">
      <w:pPr>
        <w:tabs>
          <w:tab w:val="left" w:pos="1134"/>
        </w:tabs>
        <w:ind w:left="426" w:hanging="426"/>
        <w:jc w:val="both"/>
        <w:rPr>
          <w:rFonts w:cs="Arial"/>
          <w:szCs w:val="22"/>
        </w:rPr>
      </w:pPr>
      <w:r>
        <w:t>5.5</w:t>
      </w:r>
      <w:r>
        <w:tab/>
        <w:t xml:space="preserve">Se proporcionará una superficie sin techo y adecuada de 400 m² al aire libre para almacenamiento y para extinguir sustancias en llamas. </w:t>
      </w:r>
    </w:p>
    <w:p w14:paraId="664F0199" w14:textId="77777777" w:rsidR="003A67C1" w:rsidRPr="00422DC0" w:rsidRDefault="003A67C1" w:rsidP="006110CC">
      <w:pPr>
        <w:tabs>
          <w:tab w:val="left" w:pos="851"/>
          <w:tab w:val="left" w:pos="1134"/>
        </w:tabs>
        <w:jc w:val="both"/>
        <w:rPr>
          <w:rFonts w:cs="Arial"/>
          <w:szCs w:val="22"/>
        </w:rPr>
      </w:pPr>
    </w:p>
    <w:p w14:paraId="7FFD368D" w14:textId="77777777" w:rsidR="003A67C1" w:rsidRPr="00422DC0" w:rsidRDefault="00A5671A">
      <w:pPr>
        <w:tabs>
          <w:tab w:val="left" w:pos="851"/>
          <w:tab w:val="left" w:pos="1134"/>
        </w:tabs>
        <w:ind w:left="426" w:hanging="426"/>
        <w:jc w:val="both"/>
        <w:rPr>
          <w:rFonts w:cs="Arial"/>
          <w:szCs w:val="22"/>
        </w:rPr>
      </w:pPr>
      <w:r>
        <w:rPr>
          <w:b/>
        </w:rPr>
        <w:t>6.</w:t>
      </w:r>
      <w:r>
        <w:rPr>
          <w:b/>
        </w:rPr>
        <w:tab/>
        <w:t>Almacenamiento de sustancias en el exterior</w:t>
      </w:r>
    </w:p>
    <w:p w14:paraId="3022B59C" w14:textId="77777777" w:rsidR="003A67C1" w:rsidRPr="00422DC0" w:rsidRDefault="003A67C1">
      <w:pPr>
        <w:tabs>
          <w:tab w:val="left" w:pos="851"/>
          <w:tab w:val="left" w:pos="1134"/>
        </w:tabs>
        <w:ind w:left="426" w:hanging="426"/>
        <w:jc w:val="both"/>
        <w:rPr>
          <w:rFonts w:cs="Arial"/>
          <w:szCs w:val="22"/>
        </w:rPr>
      </w:pPr>
    </w:p>
    <w:p w14:paraId="3E9DFB36" w14:textId="77777777" w:rsidR="003A67C1" w:rsidRPr="00422DC0" w:rsidRDefault="00A5671A">
      <w:pPr>
        <w:tabs>
          <w:tab w:val="left" w:pos="851"/>
          <w:tab w:val="left" w:pos="1134"/>
        </w:tabs>
        <w:ind w:left="426" w:hanging="426"/>
        <w:jc w:val="both"/>
        <w:rPr>
          <w:rFonts w:cs="Arial"/>
          <w:szCs w:val="22"/>
        </w:rPr>
      </w:pPr>
      <w:r>
        <w:t>6.1</w:t>
      </w:r>
      <w:r>
        <w:tab/>
        <w:t>El almacenamiento exterior de sustancias incluirá también el almacenamiento dentro de una sección de almacenamiento con techo si:</w:t>
      </w:r>
    </w:p>
    <w:p w14:paraId="4DBB22C7" w14:textId="77777777" w:rsidR="003A67C1" w:rsidRPr="00422DC0" w:rsidRDefault="003A67C1">
      <w:pPr>
        <w:tabs>
          <w:tab w:val="left" w:pos="851"/>
          <w:tab w:val="left" w:pos="1134"/>
        </w:tabs>
        <w:ind w:left="426" w:hanging="426"/>
        <w:jc w:val="both"/>
        <w:rPr>
          <w:rFonts w:cs="Arial"/>
          <w:szCs w:val="22"/>
        </w:rPr>
      </w:pPr>
    </w:p>
    <w:p w14:paraId="1F32162B" w14:textId="77777777" w:rsidR="003A67C1" w:rsidRPr="00422DC0" w:rsidRDefault="003A67C1">
      <w:pPr>
        <w:tabs>
          <w:tab w:val="left" w:pos="851"/>
          <w:tab w:val="left" w:pos="1134"/>
        </w:tabs>
        <w:ind w:left="567" w:hanging="141"/>
        <w:jc w:val="both"/>
        <w:rPr>
          <w:rFonts w:cs="Arial"/>
          <w:szCs w:val="22"/>
        </w:rPr>
      </w:pPr>
      <w:r>
        <w:t>— la altura de almacenamiento admisible termina al menos 2,5 m por debajo del borde inferior de la parte más baja del techo,</w:t>
      </w:r>
    </w:p>
    <w:p w14:paraId="5F893C59" w14:textId="77777777" w:rsidR="003A67C1" w:rsidRPr="00422DC0" w:rsidRDefault="003A67C1">
      <w:pPr>
        <w:tabs>
          <w:tab w:val="left" w:pos="851"/>
          <w:tab w:val="left" w:pos="1134"/>
        </w:tabs>
        <w:ind w:left="567" w:hanging="141"/>
        <w:jc w:val="both"/>
        <w:rPr>
          <w:rFonts w:cs="Arial"/>
          <w:szCs w:val="22"/>
        </w:rPr>
      </w:pPr>
      <w:r>
        <w:t>— la sección de almacenamiento está completamente abierta en al menos dos lados opuestos, y</w:t>
      </w:r>
    </w:p>
    <w:p w14:paraId="2EDCFC2C" w14:textId="77777777" w:rsidR="003A67C1" w:rsidRPr="00422DC0" w:rsidRDefault="003A67C1">
      <w:pPr>
        <w:tabs>
          <w:tab w:val="left" w:pos="851"/>
          <w:tab w:val="left" w:pos="1134"/>
        </w:tabs>
        <w:ind w:left="567" w:hanging="141"/>
        <w:jc w:val="both"/>
        <w:rPr>
          <w:rFonts w:cs="Arial"/>
          <w:szCs w:val="22"/>
        </w:rPr>
      </w:pPr>
      <w:r>
        <w:t>— los lados restantes de la sección de almacenamiento que no están completamente abiertos tienen una longitud máxima de 45 m.</w:t>
      </w:r>
    </w:p>
    <w:p w14:paraId="6EC2F5A7" w14:textId="77777777" w:rsidR="003A67C1" w:rsidRPr="00422DC0" w:rsidRDefault="003A67C1">
      <w:pPr>
        <w:tabs>
          <w:tab w:val="left" w:pos="1134"/>
        </w:tabs>
        <w:ind w:left="426" w:hanging="426"/>
        <w:jc w:val="both"/>
        <w:rPr>
          <w:rFonts w:cs="Arial"/>
          <w:szCs w:val="22"/>
        </w:rPr>
      </w:pPr>
    </w:p>
    <w:p w14:paraId="4857076C" w14:textId="0E5464A8" w:rsidR="003A67C1" w:rsidRPr="00422DC0" w:rsidRDefault="00A5671A">
      <w:pPr>
        <w:tabs>
          <w:tab w:val="left" w:pos="1134"/>
        </w:tabs>
        <w:ind w:left="426" w:hanging="426"/>
        <w:jc w:val="both"/>
        <w:rPr>
          <w:rFonts w:cs="Arial"/>
          <w:szCs w:val="22"/>
        </w:rPr>
      </w:pPr>
      <w:r>
        <w:t>6.2</w:t>
      </w:r>
      <w:r>
        <w:tab/>
        <w:t>El almacén se dividirá en secciones de almacenamiento de un máximo de 2 000 m</w:t>
      </w:r>
      <w:r>
        <w:rPr>
          <w:vertAlign w:val="superscript"/>
        </w:rPr>
        <w:t>2</w:t>
      </w:r>
      <w:r>
        <w:t>por al menos 10 m de ancho, zonas sin techo libres de carga de fuego (franjas libres) o por paredes resistentes al fuego hechas con materiales de construcción no combustibles. Las paredes deben estar:</w:t>
      </w:r>
    </w:p>
    <w:p w14:paraId="4DC48889" w14:textId="77777777" w:rsidR="003A67C1" w:rsidRPr="00422DC0" w:rsidRDefault="003A67C1">
      <w:pPr>
        <w:tabs>
          <w:tab w:val="left" w:pos="1134"/>
        </w:tabs>
        <w:ind w:left="426" w:hanging="426"/>
        <w:jc w:val="both"/>
        <w:rPr>
          <w:rFonts w:cs="Arial"/>
          <w:szCs w:val="22"/>
        </w:rPr>
      </w:pPr>
    </w:p>
    <w:p w14:paraId="07B6C27E" w14:textId="77777777" w:rsidR="003A67C1" w:rsidRPr="00422DC0" w:rsidRDefault="003A67C1">
      <w:pPr>
        <w:tabs>
          <w:tab w:val="left" w:pos="851"/>
          <w:tab w:val="left" w:pos="1134"/>
        </w:tabs>
        <w:ind w:left="567" w:hanging="141"/>
        <w:jc w:val="both"/>
        <w:rPr>
          <w:rFonts w:cs="Arial"/>
          <w:szCs w:val="22"/>
        </w:rPr>
      </w:pPr>
      <w:r>
        <w:t>— al menos 1 m por encima de la altura de almacenamiento permitida para secciones de almacenamiento sin tejado,</w:t>
      </w:r>
    </w:p>
    <w:p w14:paraId="095023A2" w14:textId="77777777" w:rsidR="003A67C1" w:rsidRPr="00422DC0" w:rsidRDefault="003A67C1">
      <w:pPr>
        <w:tabs>
          <w:tab w:val="left" w:pos="851"/>
          <w:tab w:val="left" w:pos="1134"/>
        </w:tabs>
        <w:ind w:left="567" w:hanging="141"/>
        <w:jc w:val="both"/>
        <w:rPr>
          <w:rFonts w:cs="Arial"/>
          <w:szCs w:val="22"/>
        </w:rPr>
      </w:pPr>
    </w:p>
    <w:p w14:paraId="6273B8BE" w14:textId="299DD13F" w:rsidR="003A67C1" w:rsidRPr="00422DC0" w:rsidRDefault="003A67C1">
      <w:pPr>
        <w:tabs>
          <w:tab w:val="left" w:pos="851"/>
          <w:tab w:val="left" w:pos="1134"/>
        </w:tabs>
        <w:ind w:left="567" w:hanging="141"/>
        <w:jc w:val="both"/>
        <w:rPr>
          <w:rFonts w:cs="Arial"/>
          <w:szCs w:val="22"/>
        </w:rPr>
      </w:pPr>
      <w:r>
        <w:t>— hasta la membrana del techo para secciones de almacenamiento con tejado de acuerdo con la sección 6.1 hecha con materiales de construcción no inflamables,</w:t>
      </w:r>
    </w:p>
    <w:p w14:paraId="0C834863" w14:textId="77777777" w:rsidR="003A67C1" w:rsidRPr="00422DC0" w:rsidRDefault="003A67C1">
      <w:pPr>
        <w:tabs>
          <w:tab w:val="left" w:pos="851"/>
          <w:tab w:val="left" w:pos="1134"/>
        </w:tabs>
        <w:ind w:left="567" w:hanging="141"/>
        <w:jc w:val="both"/>
        <w:rPr>
          <w:rFonts w:cs="Arial"/>
          <w:szCs w:val="22"/>
        </w:rPr>
      </w:pPr>
    </w:p>
    <w:p w14:paraId="237CBF01" w14:textId="40E1B059" w:rsidR="003A67C1" w:rsidRPr="00422DC0" w:rsidRDefault="003A67C1">
      <w:pPr>
        <w:tabs>
          <w:tab w:val="left" w:pos="851"/>
          <w:tab w:val="left" w:pos="1134"/>
        </w:tabs>
        <w:ind w:left="567" w:hanging="141"/>
        <w:jc w:val="both"/>
        <w:rPr>
          <w:rFonts w:cs="Arial"/>
          <w:szCs w:val="22"/>
        </w:rPr>
      </w:pPr>
      <w:r>
        <w:t>— al menos 1 m por encima del techo para secciones de almacenamiento con tejado de acuerdo con la sección 6.1 de materiales de construcción inflamables.</w:t>
      </w:r>
    </w:p>
    <w:p w14:paraId="03B85652" w14:textId="77777777" w:rsidR="003A67C1" w:rsidRPr="00422DC0" w:rsidRDefault="003A67C1">
      <w:pPr>
        <w:tabs>
          <w:tab w:val="left" w:pos="851"/>
          <w:tab w:val="left" w:pos="1134"/>
        </w:tabs>
        <w:ind w:left="426" w:hanging="426"/>
        <w:jc w:val="both"/>
        <w:rPr>
          <w:rFonts w:cs="Arial"/>
          <w:szCs w:val="22"/>
        </w:rPr>
      </w:pPr>
    </w:p>
    <w:p w14:paraId="5354AF82" w14:textId="77777777" w:rsidR="003A67C1" w:rsidRPr="00422DC0" w:rsidRDefault="003A67C1">
      <w:pPr>
        <w:tabs>
          <w:tab w:val="left" w:pos="1134"/>
        </w:tabs>
        <w:ind w:left="426" w:hanging="426"/>
        <w:jc w:val="both"/>
        <w:rPr>
          <w:rFonts w:cs="Arial"/>
          <w:szCs w:val="22"/>
        </w:rPr>
      </w:pPr>
    </w:p>
    <w:p w14:paraId="72DDE8BD" w14:textId="77777777" w:rsidR="003A67C1" w:rsidRPr="00422DC0" w:rsidRDefault="00A5671A">
      <w:pPr>
        <w:tabs>
          <w:tab w:val="left" w:pos="1134"/>
        </w:tabs>
        <w:ind w:left="426" w:hanging="426"/>
        <w:jc w:val="both"/>
        <w:rPr>
          <w:rFonts w:cs="Arial"/>
          <w:szCs w:val="22"/>
        </w:rPr>
      </w:pPr>
      <w:r>
        <w:t>6.3</w:t>
      </w:r>
      <w:r>
        <w:tab/>
        <w:t>Cada sección de almacenamiento debe dividirse en zonas de almacenamiento de un máximo de 400 m</w:t>
      </w:r>
      <w:r>
        <w:rPr>
          <w:vertAlign w:val="superscript"/>
        </w:rPr>
        <w:t>2</w:t>
      </w:r>
      <w:r>
        <w:t xml:space="preserve"> por zonas libres de carga de fuego (franjas libres) que tengan al menos 10 m de ancho o por paredes resistentes al fuego hechas de materiales de construcción no inflamables. Las paredes se construirán al menos 1,0 m por encima de la altura de almacenamiento admisible.</w:t>
      </w:r>
    </w:p>
    <w:p w14:paraId="463684AF" w14:textId="77777777" w:rsidR="003A67C1" w:rsidRPr="00422DC0" w:rsidRDefault="003A67C1">
      <w:pPr>
        <w:tabs>
          <w:tab w:val="left" w:pos="1134"/>
        </w:tabs>
        <w:ind w:left="426" w:hanging="426"/>
        <w:jc w:val="both"/>
        <w:rPr>
          <w:rFonts w:cs="Arial"/>
          <w:szCs w:val="22"/>
        </w:rPr>
      </w:pPr>
    </w:p>
    <w:p w14:paraId="348D0850" w14:textId="77777777" w:rsidR="003A67C1" w:rsidRPr="00422DC0" w:rsidRDefault="00A5671A">
      <w:pPr>
        <w:tabs>
          <w:tab w:val="left" w:pos="1134"/>
        </w:tabs>
        <w:ind w:left="426" w:hanging="426"/>
        <w:jc w:val="both"/>
        <w:rPr>
          <w:rFonts w:cs="Arial"/>
          <w:szCs w:val="22"/>
        </w:rPr>
      </w:pPr>
      <w:r>
        <w:t>6.4</w:t>
      </w:r>
      <w:r>
        <w:tab/>
        <w:t>Las secciones y zonas de almacenamiento no superarán las siguientes profundidades de almacenamiento:</w:t>
      </w:r>
    </w:p>
    <w:p w14:paraId="2184BDA1" w14:textId="77777777" w:rsidR="003A67C1" w:rsidRPr="00422DC0" w:rsidRDefault="003A67C1">
      <w:pPr>
        <w:tabs>
          <w:tab w:val="left" w:pos="1134"/>
        </w:tabs>
        <w:ind w:left="426" w:hanging="426"/>
        <w:jc w:val="both"/>
        <w:rPr>
          <w:rFonts w:cs="Arial"/>
          <w:szCs w:val="22"/>
        </w:rPr>
      </w:pPr>
    </w:p>
    <w:p w14:paraId="7C6B97C9" w14:textId="77777777" w:rsidR="003A67C1" w:rsidRPr="00422DC0" w:rsidRDefault="003A67C1">
      <w:pPr>
        <w:tabs>
          <w:tab w:val="left" w:pos="1008"/>
          <w:tab w:val="left" w:pos="1134"/>
        </w:tabs>
        <w:ind w:left="567" w:hanging="141"/>
        <w:jc w:val="both"/>
        <w:rPr>
          <w:rFonts w:cs="Arial"/>
          <w:szCs w:val="22"/>
        </w:rPr>
      </w:pPr>
      <w:r>
        <w:t>— 40 m si dos lados opuestos son de libre acceso para la lucha contra incendios,</w:t>
      </w:r>
    </w:p>
    <w:p w14:paraId="46AAF31B" w14:textId="77777777" w:rsidR="003A67C1" w:rsidRPr="00422DC0" w:rsidRDefault="003A67C1">
      <w:pPr>
        <w:tabs>
          <w:tab w:val="left" w:pos="1008"/>
          <w:tab w:val="left" w:pos="1134"/>
        </w:tabs>
        <w:ind w:left="567" w:hanging="141"/>
        <w:jc w:val="both"/>
        <w:rPr>
          <w:rFonts w:cs="Arial"/>
          <w:szCs w:val="22"/>
        </w:rPr>
      </w:pPr>
    </w:p>
    <w:p w14:paraId="273D1AAB" w14:textId="77777777" w:rsidR="003A67C1" w:rsidRPr="00422DC0" w:rsidRDefault="003A67C1">
      <w:pPr>
        <w:tabs>
          <w:tab w:val="left" w:pos="1008"/>
          <w:tab w:val="left" w:pos="1134"/>
        </w:tabs>
        <w:ind w:left="567" w:hanging="141"/>
        <w:jc w:val="both"/>
        <w:rPr>
          <w:rFonts w:cs="Arial"/>
          <w:szCs w:val="22"/>
        </w:rPr>
      </w:pPr>
      <w:r>
        <w:t>— 20 m si solo un lado es accesible para la lucha contra incendios.</w:t>
      </w:r>
    </w:p>
    <w:p w14:paraId="6E34CD03" w14:textId="77777777" w:rsidR="003A67C1" w:rsidRPr="00422DC0" w:rsidRDefault="003A67C1">
      <w:pPr>
        <w:tabs>
          <w:tab w:val="left" w:pos="1008"/>
          <w:tab w:val="left" w:pos="1134"/>
        </w:tabs>
        <w:ind w:left="426" w:hanging="426"/>
        <w:jc w:val="both"/>
        <w:rPr>
          <w:rFonts w:cs="Arial"/>
          <w:szCs w:val="22"/>
        </w:rPr>
      </w:pPr>
    </w:p>
    <w:p w14:paraId="7AA9E373" w14:textId="77777777" w:rsidR="003A67C1" w:rsidRPr="00422DC0" w:rsidRDefault="00A5671A">
      <w:pPr>
        <w:tabs>
          <w:tab w:val="left" w:pos="1134"/>
        </w:tabs>
        <w:ind w:left="426" w:hanging="426"/>
        <w:jc w:val="both"/>
        <w:rPr>
          <w:rFonts w:cs="Arial"/>
          <w:szCs w:val="22"/>
        </w:rPr>
      </w:pPr>
      <w:r>
        <w:t>6.5</w:t>
      </w:r>
      <w:r>
        <w:tab/>
        <w:t>Las zonas de almacenamiento al aire libre deben estar al menos a 10 m de distancia de los límites del emplazamiento o tener paredes resistentes al fuego hechas de materiales de construcción incombustibles sin aberturas hasta 1 m por encima de la altura de almacenamiento permitida.</w:t>
      </w:r>
    </w:p>
    <w:p w14:paraId="62879A40" w14:textId="77777777" w:rsidR="00965D53" w:rsidRPr="00422DC0" w:rsidRDefault="00965D53">
      <w:pPr>
        <w:tabs>
          <w:tab w:val="left" w:pos="1134"/>
        </w:tabs>
        <w:ind w:left="426" w:hanging="426"/>
        <w:jc w:val="both"/>
        <w:rPr>
          <w:rFonts w:cs="Arial"/>
          <w:szCs w:val="22"/>
        </w:rPr>
      </w:pPr>
    </w:p>
    <w:p w14:paraId="0735839D" w14:textId="77777777" w:rsidR="00865251" w:rsidRPr="00422DC0" w:rsidRDefault="00A5671A" w:rsidP="00865251">
      <w:pPr>
        <w:tabs>
          <w:tab w:val="left" w:pos="1134"/>
        </w:tabs>
        <w:ind w:left="426" w:hanging="426"/>
        <w:jc w:val="both"/>
        <w:rPr>
          <w:rFonts w:cs="Arial"/>
          <w:szCs w:val="22"/>
        </w:rPr>
      </w:pPr>
      <w:r>
        <w:t>6.6</w:t>
      </w:r>
      <w:r>
        <w:tab/>
        <w:t>A lo largo de al menos un borde de una zona de almacenamiento, se proporcionará una franja adecuada de 10 m de ancho para el desplazamiento y la extinción de materiales en llamas. Si esta franja coincide con una zona libre de incendios de conformidad con el punto 6.3, bastará una anchura total de 15 m. En lugar de una franja adecuada, podrá preverse una zona adecuada de conformidad con el punto 5.5.</w:t>
      </w:r>
    </w:p>
    <w:p w14:paraId="2B06C2E7" w14:textId="6C3C8AA5" w:rsidR="00965D53" w:rsidRDefault="00965D53">
      <w:pPr>
        <w:tabs>
          <w:tab w:val="left" w:pos="1134"/>
        </w:tabs>
        <w:ind w:left="426" w:hanging="426"/>
        <w:jc w:val="both"/>
        <w:rPr>
          <w:rFonts w:cs="Arial"/>
          <w:szCs w:val="22"/>
        </w:rPr>
      </w:pPr>
    </w:p>
    <w:p w14:paraId="699FDB9E" w14:textId="77777777" w:rsidR="00422DC0" w:rsidRPr="00422DC0" w:rsidRDefault="00422DC0">
      <w:pPr>
        <w:tabs>
          <w:tab w:val="left" w:pos="1134"/>
        </w:tabs>
        <w:ind w:left="426" w:hanging="426"/>
        <w:jc w:val="both"/>
        <w:rPr>
          <w:rFonts w:cs="Arial"/>
          <w:szCs w:val="22"/>
        </w:rPr>
      </w:pPr>
    </w:p>
    <w:p w14:paraId="3D6FD97B" w14:textId="77777777" w:rsidR="003A67C1" w:rsidRPr="00422DC0" w:rsidRDefault="003A67C1">
      <w:pPr>
        <w:tabs>
          <w:tab w:val="left" w:pos="1134"/>
        </w:tabs>
        <w:ind w:left="426" w:hanging="426"/>
        <w:jc w:val="both"/>
        <w:rPr>
          <w:rFonts w:cs="Arial"/>
          <w:szCs w:val="22"/>
        </w:rPr>
      </w:pPr>
    </w:p>
    <w:p w14:paraId="06F71B0E" w14:textId="77777777" w:rsidR="003A67C1" w:rsidRPr="00422DC0" w:rsidRDefault="00A5671A">
      <w:pPr>
        <w:tabs>
          <w:tab w:val="left" w:pos="576"/>
          <w:tab w:val="left" w:pos="1134"/>
        </w:tabs>
        <w:ind w:left="426" w:hanging="426"/>
        <w:jc w:val="both"/>
        <w:rPr>
          <w:rFonts w:cs="Arial"/>
          <w:szCs w:val="22"/>
        </w:rPr>
      </w:pPr>
      <w:r>
        <w:rPr>
          <w:b/>
        </w:rPr>
        <w:t>7.</w:t>
      </w:r>
      <w:r>
        <w:rPr>
          <w:b/>
        </w:rPr>
        <w:tab/>
        <w:t>Altura de almacenamiento</w:t>
      </w:r>
    </w:p>
    <w:p w14:paraId="50D5939E" w14:textId="77777777" w:rsidR="003A67C1" w:rsidRPr="00422DC0" w:rsidRDefault="003A67C1">
      <w:pPr>
        <w:tabs>
          <w:tab w:val="left" w:pos="576"/>
          <w:tab w:val="left" w:pos="1134"/>
        </w:tabs>
        <w:ind w:left="426" w:hanging="426"/>
        <w:jc w:val="both"/>
        <w:rPr>
          <w:rFonts w:cs="Arial"/>
          <w:szCs w:val="22"/>
        </w:rPr>
      </w:pPr>
    </w:p>
    <w:p w14:paraId="2C8D02B2" w14:textId="77777777" w:rsidR="003A67C1" w:rsidRPr="00422DC0" w:rsidRDefault="003A67C1">
      <w:pPr>
        <w:tabs>
          <w:tab w:val="left" w:pos="576"/>
          <w:tab w:val="left" w:pos="1134"/>
        </w:tabs>
        <w:ind w:left="426" w:hanging="426"/>
        <w:jc w:val="both"/>
        <w:rPr>
          <w:rFonts w:cs="Arial"/>
          <w:szCs w:val="22"/>
        </w:rPr>
      </w:pPr>
      <w:r>
        <w:tab/>
        <w:t>La altura del material de almacenamiento no excederá de 5 m para el almacenamiento a granel, 4 m para el almacenamiento en bloque.</w:t>
      </w:r>
    </w:p>
    <w:p w14:paraId="38AD2887" w14:textId="77777777" w:rsidR="003A67C1" w:rsidRPr="00422DC0" w:rsidRDefault="003A67C1">
      <w:pPr>
        <w:tabs>
          <w:tab w:val="left" w:pos="576"/>
          <w:tab w:val="left" w:pos="1134"/>
        </w:tabs>
        <w:ind w:left="426" w:hanging="426"/>
        <w:jc w:val="both"/>
        <w:rPr>
          <w:rFonts w:cs="Arial"/>
          <w:szCs w:val="22"/>
        </w:rPr>
      </w:pPr>
    </w:p>
    <w:p w14:paraId="65F88FEB" w14:textId="77777777" w:rsidR="003A67C1" w:rsidRPr="00422DC0" w:rsidRDefault="003A67C1">
      <w:pPr>
        <w:tabs>
          <w:tab w:val="left" w:pos="1134"/>
        </w:tabs>
        <w:ind w:left="426" w:hanging="426"/>
        <w:jc w:val="both"/>
        <w:rPr>
          <w:rFonts w:cs="Arial"/>
          <w:szCs w:val="22"/>
        </w:rPr>
      </w:pPr>
      <w:r>
        <w:tab/>
        <w:t>Las alturas de almacenamiento admisibles deberán ser claramente visibles.</w:t>
      </w:r>
    </w:p>
    <w:p w14:paraId="0BB61226" w14:textId="77777777" w:rsidR="003A67C1" w:rsidRPr="00422DC0" w:rsidRDefault="003A67C1">
      <w:pPr>
        <w:tabs>
          <w:tab w:val="left" w:pos="1134"/>
        </w:tabs>
        <w:ind w:left="426" w:hanging="426"/>
        <w:jc w:val="both"/>
        <w:rPr>
          <w:rFonts w:cs="Arial"/>
          <w:szCs w:val="22"/>
        </w:rPr>
      </w:pPr>
    </w:p>
    <w:p w14:paraId="6E3BF36A" w14:textId="77777777" w:rsidR="003A67C1" w:rsidRPr="00422DC0" w:rsidRDefault="003A67C1">
      <w:pPr>
        <w:tabs>
          <w:tab w:val="left" w:pos="1134"/>
        </w:tabs>
        <w:ind w:left="426" w:hanging="426"/>
        <w:jc w:val="both"/>
        <w:rPr>
          <w:rFonts w:cs="Arial"/>
          <w:szCs w:val="22"/>
        </w:rPr>
      </w:pPr>
    </w:p>
    <w:p w14:paraId="0CF61F99" w14:textId="784D222E" w:rsidR="003A67C1" w:rsidRPr="00422DC0" w:rsidRDefault="003A67C1">
      <w:pPr>
        <w:tabs>
          <w:tab w:val="left" w:pos="1134"/>
        </w:tabs>
        <w:ind w:left="426" w:hanging="426"/>
        <w:jc w:val="both"/>
        <w:rPr>
          <w:rFonts w:cs="Arial"/>
          <w:szCs w:val="22"/>
        </w:rPr>
      </w:pPr>
      <w:r>
        <w:rPr>
          <w:b/>
        </w:rPr>
        <w:t>8.</w:t>
      </w:r>
      <w:r>
        <w:rPr>
          <w:b/>
        </w:rPr>
        <w:tab/>
        <w:t xml:space="preserve">Abastecimiento de agua de extinción </w:t>
      </w:r>
    </w:p>
    <w:p w14:paraId="5926EE3F" w14:textId="77777777" w:rsidR="003A67C1" w:rsidRPr="00422DC0" w:rsidRDefault="003A67C1">
      <w:pPr>
        <w:tabs>
          <w:tab w:val="left" w:pos="1134"/>
        </w:tabs>
        <w:ind w:left="426" w:hanging="426"/>
        <w:jc w:val="both"/>
        <w:rPr>
          <w:rFonts w:cs="Arial"/>
          <w:szCs w:val="22"/>
        </w:rPr>
      </w:pPr>
    </w:p>
    <w:p w14:paraId="458ED388" w14:textId="1AAACB22" w:rsidR="003A67C1" w:rsidRPr="00422DC0" w:rsidRDefault="009D0409" w:rsidP="00326C8B">
      <w:pPr>
        <w:tabs>
          <w:tab w:val="left" w:pos="1134"/>
        </w:tabs>
        <w:ind w:left="450"/>
        <w:jc w:val="both"/>
        <w:rPr>
          <w:rFonts w:cs="Arial"/>
          <w:szCs w:val="22"/>
        </w:rPr>
      </w:pPr>
      <w:r>
        <w:t>Para limitar la propagación del fuego más allá de una zona de almacenamiento, deberá haber una cantidad de agua de extinción de al menos 192 m</w:t>
      </w:r>
      <w:r>
        <w:rPr>
          <w:vertAlign w:val="superscript"/>
        </w:rPr>
        <w:t>3</w:t>
      </w:r>
      <w:r>
        <w:t>/h disponible durante un período de dos horas. En consulta con el departamento de protección contra incendios, se puede requerir una mayor cantidad de agua para la extinción de incendios y un caudal más alto si es necesario. En almacenes con un sistema automático de extinción de incendios, el volumen de agua para trabajos de extinción por parte del servicio de bomberos puede reducirse en consulta con el departamento de protección contra incendios.</w:t>
      </w:r>
    </w:p>
    <w:p w14:paraId="1355F0C9" w14:textId="135C7F24" w:rsidR="00965D53" w:rsidRPr="00422DC0" w:rsidRDefault="00965D53">
      <w:pPr>
        <w:tabs>
          <w:tab w:val="left" w:pos="1134"/>
        </w:tabs>
        <w:ind w:left="426" w:hanging="426"/>
        <w:jc w:val="both"/>
        <w:rPr>
          <w:rFonts w:cs="Arial"/>
          <w:szCs w:val="22"/>
        </w:rPr>
      </w:pPr>
    </w:p>
    <w:p w14:paraId="05A8F222" w14:textId="5E8636D5" w:rsidR="00CA200D" w:rsidRPr="00422DC0" w:rsidRDefault="00CA200D">
      <w:pPr>
        <w:tabs>
          <w:tab w:val="left" w:pos="1134"/>
        </w:tabs>
        <w:ind w:left="426" w:hanging="426"/>
        <w:jc w:val="both"/>
        <w:rPr>
          <w:rFonts w:cs="Arial"/>
          <w:strike/>
          <w:szCs w:val="22"/>
        </w:rPr>
      </w:pPr>
    </w:p>
    <w:p w14:paraId="3D5DA62B" w14:textId="77777777" w:rsidR="003A67C1" w:rsidRPr="00422DC0" w:rsidRDefault="003A67C1">
      <w:pPr>
        <w:tabs>
          <w:tab w:val="left" w:pos="1134"/>
        </w:tabs>
        <w:ind w:left="426" w:hanging="426"/>
        <w:jc w:val="both"/>
        <w:rPr>
          <w:rFonts w:cs="Arial"/>
          <w:szCs w:val="22"/>
        </w:rPr>
      </w:pPr>
      <w:r>
        <w:rPr>
          <w:b/>
        </w:rPr>
        <w:t>9.</w:t>
      </w:r>
      <w:r>
        <w:rPr>
          <w:b/>
        </w:rPr>
        <w:tab/>
        <w:t>Medidas operativas</w:t>
      </w:r>
    </w:p>
    <w:p w14:paraId="4CBC92B7" w14:textId="77777777" w:rsidR="003A67C1" w:rsidRPr="00422DC0" w:rsidRDefault="003A67C1">
      <w:pPr>
        <w:tabs>
          <w:tab w:val="left" w:pos="1134"/>
        </w:tabs>
        <w:ind w:left="426" w:hanging="426"/>
        <w:jc w:val="both"/>
        <w:rPr>
          <w:rFonts w:cs="Arial"/>
          <w:szCs w:val="22"/>
        </w:rPr>
      </w:pPr>
    </w:p>
    <w:p w14:paraId="092E38BC" w14:textId="5DF27067" w:rsidR="00DF79DE" w:rsidRPr="00422DC0" w:rsidRDefault="003A67C1" w:rsidP="00326C8B">
      <w:pPr>
        <w:tabs>
          <w:tab w:val="left" w:pos="1134"/>
        </w:tabs>
        <w:ind w:left="450"/>
        <w:jc w:val="both"/>
        <w:rPr>
          <w:rFonts w:cs="Arial"/>
          <w:szCs w:val="22"/>
        </w:rPr>
      </w:pPr>
      <w:r>
        <w:t>En consulta con el departamento de protección contra incendios, los planes de incendios deben prepararse y ponerse a disposición del servicio de bomberos local.</w:t>
      </w:r>
    </w:p>
    <w:p w14:paraId="4D433AB2" w14:textId="77777777" w:rsidR="00DF79DE" w:rsidRPr="00422DC0" w:rsidRDefault="00DF79DE" w:rsidP="00DF79DE">
      <w:pPr>
        <w:tabs>
          <w:tab w:val="left" w:pos="567"/>
        </w:tabs>
        <w:ind w:left="426" w:hanging="426"/>
        <w:jc w:val="both"/>
        <w:rPr>
          <w:rFonts w:cs="Arial"/>
          <w:szCs w:val="22"/>
        </w:rPr>
      </w:pPr>
    </w:p>
    <w:p w14:paraId="673CA712" w14:textId="77777777" w:rsidR="003A67C1" w:rsidRPr="00422DC0" w:rsidRDefault="003A67C1" w:rsidP="00DF79DE">
      <w:pPr>
        <w:ind w:left="851" w:hanging="284"/>
        <w:rPr>
          <w:rFonts w:cs="Arial"/>
          <w:szCs w:val="22"/>
        </w:rPr>
      </w:pPr>
    </w:p>
    <w:p w14:paraId="1CE23A61" w14:textId="77777777" w:rsidR="003A67C1" w:rsidRPr="00A1584F" w:rsidRDefault="003A67C1">
      <w:pPr>
        <w:rPr>
          <w:rFonts w:cs="Arial"/>
          <w:szCs w:val="22"/>
        </w:rPr>
      </w:pPr>
    </w:p>
    <w:sectPr w:rsidR="003A67C1" w:rsidRPr="00A1584F">
      <w:headerReference w:type="default" r:id="rId7"/>
      <w:headerReference w:type="first" r:id="rId8"/>
      <w:footerReference w:type="first" r:id="rId9"/>
      <w:pgSz w:w="11907" w:h="16840" w:code="9"/>
      <w:pgMar w:top="1134" w:right="851" w:bottom="851" w:left="1134" w:header="567" w:footer="42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885E7" w14:textId="77777777" w:rsidR="002D56D0" w:rsidRDefault="002D56D0">
      <w:r>
        <w:separator/>
      </w:r>
    </w:p>
  </w:endnote>
  <w:endnote w:type="continuationSeparator" w:id="0">
    <w:p w14:paraId="55411E41" w14:textId="77777777" w:rsidR="002D56D0" w:rsidRDefault="002D5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DD1D" w14:textId="335F9458" w:rsidR="003A67C1" w:rsidRDefault="003A67C1">
    <w:pPr>
      <w:pStyle w:val="Footer"/>
      <w:tabs>
        <w:tab w:val="clear" w:pos="4536"/>
        <w:tab w:val="center" w:pos="-3179"/>
        <w:tab w:val="left" w:pos="9072"/>
      </w:tabs>
      <w:rPr>
        <w:sz w:val="12"/>
      </w:rPr>
    </w:pPr>
    <w:r>
      <w:rPr>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8CF97" w14:textId="77777777" w:rsidR="002D56D0" w:rsidRDefault="002D56D0">
      <w:r>
        <w:separator/>
      </w:r>
    </w:p>
  </w:footnote>
  <w:footnote w:type="continuationSeparator" w:id="0">
    <w:p w14:paraId="638E723C" w14:textId="77777777" w:rsidR="002D56D0" w:rsidRDefault="002D56D0">
      <w:r>
        <w:continuationSeparator/>
      </w:r>
    </w:p>
  </w:footnote>
  <w:footnote w:id="1">
    <w:p w14:paraId="40EE6EBA" w14:textId="19CA5F24" w:rsidR="009F36EC" w:rsidRPr="009F36EC" w:rsidRDefault="009F36EC" w:rsidP="009F36EC">
      <w:pPr>
        <w:pStyle w:val="FootnoteText"/>
        <w:ind w:left="142" w:hanging="142"/>
        <w:rPr>
          <w:rFonts w:ascii="Times New Roman" w:hAnsi="Times New Roman"/>
        </w:rPr>
      </w:pPr>
      <w:r>
        <w:rPr>
          <w:rStyle w:val="FootnoteReference"/>
        </w:rPr>
        <w:footnoteRef/>
      </w:r>
      <w:r>
        <w:t xml:space="preserve"> </w:t>
      </w:r>
      <w:r>
        <w:rPr>
          <w:rFonts w:ascii="Times New Roman" w:hAnsi="Times New Roman"/>
        </w:rPr>
        <w:t>Se han cumplido las obligaciones de notificación de conformidad con la Directiva (UE) 2015/1535 del Parlamento Europeo y del Consejo, de 9 de septiembre de 2015, por la que se establece un procedimiento de información en materia de reglamentaciones técnicas y de reglas relativas a los servicios de la sociedad de la información (DO L 241 de 17.9.2015, p. 1).</w:t>
      </w:r>
    </w:p>
    <w:p w14:paraId="161AA333" w14:textId="77777777" w:rsidR="009F36EC" w:rsidRPr="009F36EC" w:rsidRDefault="009F36EC" w:rsidP="009F36EC">
      <w:pPr>
        <w:widowControl w:val="0"/>
        <w:autoSpaceDE w:val="0"/>
        <w:autoSpaceDN w:val="0"/>
        <w:adjustRightInd w:val="0"/>
        <w:rPr>
          <w:rFonts w:ascii="Times New Roman" w:hAnsi="Times New Roman"/>
          <w:sz w:val="20"/>
        </w:rPr>
      </w:pPr>
    </w:p>
    <w:p w14:paraId="73AE2856" w14:textId="0815A1D7" w:rsidR="009F36EC" w:rsidRDefault="009F36E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E832B" w14:textId="484166D2" w:rsidR="003A67C1" w:rsidRDefault="003A67C1">
    <w:pPr>
      <w:pStyle w:val="Header"/>
      <w:jc w:val="cent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023C6C">
      <w:rPr>
        <w:rStyle w:val="PageNumber"/>
      </w:rPr>
      <w:t>3</w:t>
    </w:r>
    <w:r>
      <w:rPr>
        <w:rStyle w:val="PageNumber"/>
      </w:rPr>
      <w:fldChar w:fldCharType="end"/>
    </w:r>
    <w:r>
      <w:rPr>
        <w:rStyle w:val="PageNumber"/>
      </w:rPr>
      <w:t xml:space="preserve"> -</w:t>
    </w:r>
  </w:p>
  <w:p w14:paraId="4DFADCEA" w14:textId="77777777" w:rsidR="003A67C1" w:rsidRDefault="003A67C1">
    <w:pPr>
      <w:pStyle w:val="Header"/>
      <w:rPr>
        <w:rStyle w:val="PageNumber"/>
      </w:rPr>
    </w:pPr>
  </w:p>
  <w:p w14:paraId="2BF9E41C" w14:textId="77777777" w:rsidR="003A67C1" w:rsidRDefault="003A67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83D1C" w14:textId="07C8DFA3" w:rsidR="006A3F2F" w:rsidRPr="006A3F2F" w:rsidRDefault="006A3F2F" w:rsidP="006A3F2F">
    <w:pPr>
      <w:pStyle w:val="Header"/>
      <w:jc w:val="center"/>
      <w:rPr>
        <w:b/>
      </w:rPr>
    </w:pPr>
    <w:r>
      <w:rPr>
        <w:b/>
      </w:rPr>
      <w:t>Proyecto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activeWritingStyle w:appName="MSWord" w:lang="de-DE" w:vendorID="64" w:dllVersion="0" w:nlCheck="1" w:checkStyle="0"/>
  <w:activeWritingStyle w:appName="MSWord" w:lang="es-ES" w:vendorID="64" w:dllVersion="0" w:nlCheck="1" w:checkStyle="0"/>
  <w:proofState w:spelling="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_Type" w:val="Dokument"/>
    <w:docVar w:name="Macro_DIBt" w:val="Dokument"/>
    <w:docVar w:name="Macro_LNX" w:val="Dokument"/>
  </w:docVars>
  <w:rsids>
    <w:rsidRoot w:val="006110CC"/>
    <w:rsid w:val="00023C6C"/>
    <w:rsid w:val="00035157"/>
    <w:rsid w:val="00056889"/>
    <w:rsid w:val="000C2DAA"/>
    <w:rsid w:val="000E05BE"/>
    <w:rsid w:val="000F7109"/>
    <w:rsid w:val="00110088"/>
    <w:rsid w:val="001223EC"/>
    <w:rsid w:val="00125AE5"/>
    <w:rsid w:val="0017111C"/>
    <w:rsid w:val="002414BD"/>
    <w:rsid w:val="0024228C"/>
    <w:rsid w:val="00273B55"/>
    <w:rsid w:val="00275890"/>
    <w:rsid w:val="002D56D0"/>
    <w:rsid w:val="00326C8B"/>
    <w:rsid w:val="00374CC7"/>
    <w:rsid w:val="003913B8"/>
    <w:rsid w:val="003A67C1"/>
    <w:rsid w:val="00412C7A"/>
    <w:rsid w:val="00422DC0"/>
    <w:rsid w:val="00443F91"/>
    <w:rsid w:val="004600B6"/>
    <w:rsid w:val="00505F58"/>
    <w:rsid w:val="00515B8A"/>
    <w:rsid w:val="00535436"/>
    <w:rsid w:val="00553B1A"/>
    <w:rsid w:val="00582011"/>
    <w:rsid w:val="005F4E58"/>
    <w:rsid w:val="006063A7"/>
    <w:rsid w:val="006110CC"/>
    <w:rsid w:val="00616FC5"/>
    <w:rsid w:val="00660B48"/>
    <w:rsid w:val="006631C5"/>
    <w:rsid w:val="006933D4"/>
    <w:rsid w:val="006A3F2F"/>
    <w:rsid w:val="006B4BC5"/>
    <w:rsid w:val="00733FCB"/>
    <w:rsid w:val="00741218"/>
    <w:rsid w:val="008113F4"/>
    <w:rsid w:val="0082200B"/>
    <w:rsid w:val="00865251"/>
    <w:rsid w:val="008A1568"/>
    <w:rsid w:val="008B4E71"/>
    <w:rsid w:val="00932ADB"/>
    <w:rsid w:val="00955CCB"/>
    <w:rsid w:val="00965D53"/>
    <w:rsid w:val="00975558"/>
    <w:rsid w:val="00983501"/>
    <w:rsid w:val="009D0409"/>
    <w:rsid w:val="009F36EC"/>
    <w:rsid w:val="009F67A8"/>
    <w:rsid w:val="00A1584F"/>
    <w:rsid w:val="00A24084"/>
    <w:rsid w:val="00A5671A"/>
    <w:rsid w:val="00AB79D1"/>
    <w:rsid w:val="00AC3B3B"/>
    <w:rsid w:val="00AC4161"/>
    <w:rsid w:val="00AE1715"/>
    <w:rsid w:val="00B3627B"/>
    <w:rsid w:val="00B47968"/>
    <w:rsid w:val="00B56A43"/>
    <w:rsid w:val="00B95B0E"/>
    <w:rsid w:val="00BC1674"/>
    <w:rsid w:val="00BC49B1"/>
    <w:rsid w:val="00C61DA9"/>
    <w:rsid w:val="00C7155E"/>
    <w:rsid w:val="00CA200D"/>
    <w:rsid w:val="00CE6708"/>
    <w:rsid w:val="00CF1E07"/>
    <w:rsid w:val="00D00DCC"/>
    <w:rsid w:val="00DF79DE"/>
    <w:rsid w:val="00E31342"/>
    <w:rsid w:val="00E46E28"/>
    <w:rsid w:val="00E60194"/>
    <w:rsid w:val="00ED1518"/>
    <w:rsid w:val="00F26827"/>
    <w:rsid w:val="00F73447"/>
    <w:rsid w:val="00FD7C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4D25F"/>
  <w15:chartTrackingRefBased/>
  <w15:docId w15:val="{6DE83AE1-CF80-415B-8B70-10D42C63F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DAA"/>
    <w:rPr>
      <w:rFonts w:ascii="Arial" w:hAnsi="Arial"/>
      <w:sz w:val="22"/>
    </w:rPr>
  </w:style>
  <w:style w:type="paragraph" w:styleId="Heading1">
    <w:name w:val="heading 1"/>
    <w:basedOn w:val="Normal"/>
    <w:next w:val="Heading2"/>
    <w:qFormat/>
    <w:pPr>
      <w:keepNext/>
      <w:spacing w:before="240"/>
      <w:ind w:hanging="993"/>
      <w:outlineLvl w:val="0"/>
    </w:pPr>
    <w:rPr>
      <w:kern w:val="28"/>
      <w:sz w:val="28"/>
    </w:rPr>
  </w:style>
  <w:style w:type="paragraph" w:styleId="Heading2">
    <w:name w:val="heading 2"/>
    <w:basedOn w:val="Heading1"/>
    <w:next w:val="Normal"/>
    <w:qFormat/>
    <w:pPr>
      <w:outlineLvl w:val="1"/>
    </w:pPr>
  </w:style>
  <w:style w:type="paragraph" w:styleId="Heading3">
    <w:name w:val="heading 3"/>
    <w:basedOn w:val="Heading2"/>
    <w:next w:val="Normal"/>
    <w:qFormat/>
    <w:pPr>
      <w:keepNext w:val="0"/>
      <w:spacing w:before="120" w:after="60"/>
      <w:ind w:hanging="992"/>
      <w:outlineLvl w:val="2"/>
    </w:pPr>
    <w:rPr>
      <w:sz w:val="24"/>
    </w:rPr>
  </w:style>
  <w:style w:type="paragraph" w:styleId="Heading4">
    <w:name w:val="heading 4"/>
    <w:basedOn w:val="Heading3"/>
    <w:next w:val="Normal"/>
    <w:qFormat/>
    <w:pPr>
      <w:outlineLvl w:val="3"/>
    </w:pPr>
  </w:style>
  <w:style w:type="paragraph" w:styleId="Heading5">
    <w:name w:val="heading 5"/>
    <w:basedOn w:val="Normal"/>
    <w:next w:val="Normal"/>
    <w:qFormat/>
    <w:pPr>
      <w:spacing w:before="240" w:after="60"/>
      <w:outlineLvl w:val="4"/>
    </w:pPr>
  </w:style>
  <w:style w:type="paragraph" w:styleId="Heading6">
    <w:name w:val="heading 6"/>
    <w:basedOn w:val="Normal"/>
    <w:next w:val="Normal"/>
    <w:qFormat/>
    <w:pPr>
      <w:spacing w:before="240" w:after="60"/>
      <w:ind w:left="4248" w:hanging="708"/>
      <w:outlineLvl w:val="5"/>
    </w:pPr>
    <w:rPr>
      <w:i/>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semiHidden/>
    <w:pPr>
      <w:spacing w:before="480" w:after="240"/>
      <w:ind w:right="454"/>
    </w:pPr>
  </w:style>
  <w:style w:type="paragraph" w:customStyle="1" w:styleId="Anschrift">
    <w:name w:val="Anschrift"/>
    <w:basedOn w:val="Normal"/>
    <w:pPr>
      <w:tabs>
        <w:tab w:val="left" w:pos="3260"/>
        <w:tab w:val="left" w:pos="6379"/>
        <w:tab w:val="left" w:pos="7655"/>
      </w:tabs>
    </w:pPr>
    <w:rPr>
      <w:sz w:val="21"/>
    </w:rPr>
  </w:style>
  <w:style w:type="paragraph" w:customStyle="1" w:styleId="Betreff">
    <w:name w:val="Betreff"/>
    <w:basedOn w:val="Normal"/>
    <w:next w:val="Normal"/>
    <w:pPr>
      <w:spacing w:before="240"/>
      <w:ind w:left="851" w:hanging="851"/>
    </w:pPr>
  </w:style>
  <w:style w:type="paragraph" w:customStyle="1" w:styleId="Brief-Absender">
    <w:name w:val="Brief-Absender"/>
    <w:basedOn w:val="Normal"/>
    <w:pPr>
      <w:tabs>
        <w:tab w:val="right" w:pos="9498"/>
      </w:tabs>
      <w:spacing w:before="1500"/>
    </w:pPr>
    <w:rPr>
      <w:sz w:val="12"/>
    </w:rPr>
  </w:style>
  <w:style w:type="paragraph" w:customStyle="1" w:styleId="Brief-Anstaltdes">
    <w:name w:val="Brief-Anstalt des ..."/>
    <w:basedOn w:val="Normal"/>
    <w:pPr>
      <w:tabs>
        <w:tab w:val="right" w:pos="9498"/>
      </w:tabs>
    </w:pPr>
    <w:rPr>
      <w:b/>
      <w:sz w:val="23"/>
    </w:rPr>
  </w:style>
  <w:style w:type="paragraph" w:customStyle="1" w:styleId="Brief-BERLIN">
    <w:name w:val="Brief-BERLIN"/>
    <w:basedOn w:val="Normal"/>
    <w:pPr>
      <w:tabs>
        <w:tab w:val="right" w:pos="9498"/>
      </w:tabs>
      <w:ind w:left="10" w:firstLine="992"/>
    </w:pPr>
    <w:rPr>
      <w:b/>
      <w:sz w:val="54"/>
    </w:rPr>
  </w:style>
  <w:style w:type="paragraph" w:customStyle="1" w:styleId="Brief-DIBt">
    <w:name w:val="Brief-DIBt"/>
    <w:basedOn w:val="Normal"/>
    <w:pPr>
      <w:tabs>
        <w:tab w:val="right" w:pos="9498"/>
      </w:tabs>
      <w:ind w:right="-247"/>
    </w:pPr>
    <w:rPr>
      <w:b/>
      <w:spacing w:val="6"/>
      <w:sz w:val="36"/>
    </w:rPr>
  </w:style>
  <w:style w:type="paragraph" w:customStyle="1" w:styleId="Brief-Fuzeile">
    <w:name w:val="Brief-Fußzeile"/>
    <w:basedOn w:val="Normal"/>
    <w:pPr>
      <w:tabs>
        <w:tab w:val="left" w:pos="2693"/>
        <w:tab w:val="left" w:pos="4536"/>
        <w:tab w:val="left" w:pos="6095"/>
        <w:tab w:val="left" w:pos="7655"/>
        <w:tab w:val="left" w:pos="8363"/>
      </w:tabs>
    </w:pPr>
    <w:rPr>
      <w:sz w:val="12"/>
    </w:rPr>
  </w:style>
  <w:style w:type="paragraph" w:styleId="Header">
    <w:name w:val="header"/>
    <w:basedOn w:val="Normal"/>
    <w:semiHidden/>
    <w:pPr>
      <w:tabs>
        <w:tab w:val="center" w:pos="4536"/>
        <w:tab w:val="right" w:pos="9072"/>
      </w:tabs>
    </w:pPr>
  </w:style>
  <w:style w:type="paragraph" w:customStyle="1" w:styleId="Brief-Text">
    <w:name w:val="Brief-Text"/>
    <w:basedOn w:val="Normal"/>
    <w:pPr>
      <w:jc w:val="both"/>
    </w:pPr>
    <w:rPr>
      <w:sz w:val="24"/>
    </w:rPr>
  </w:style>
  <w:style w:type="paragraph" w:customStyle="1" w:styleId="Brief-Wegengleitender">
    <w:name w:val="Brief-Wegen gleitender ..."/>
    <w:basedOn w:val="Normal"/>
    <w:pPr>
      <w:tabs>
        <w:tab w:val="left" w:pos="572"/>
        <w:tab w:val="left" w:pos="3260"/>
        <w:tab w:val="left" w:pos="6379"/>
        <w:tab w:val="left" w:pos="7655"/>
      </w:tabs>
    </w:pPr>
    <w:rPr>
      <w:sz w:val="14"/>
    </w:rPr>
  </w:style>
  <w:style w:type="paragraph" w:customStyle="1" w:styleId="DIBt-Kopf">
    <w:name w:val="DIBt-Kopf"/>
    <w:basedOn w:val="Normal"/>
    <w:pPr>
      <w:spacing w:before="120" w:after="100"/>
      <w:ind w:right="1"/>
      <w:jc w:val="center"/>
    </w:pPr>
    <w:rPr>
      <w:spacing w:val="-30"/>
      <w:sz w:val="40"/>
    </w:rPr>
  </w:style>
  <w:style w:type="paragraph" w:styleId="Footer">
    <w:name w:val="footer"/>
    <w:basedOn w:val="Normal"/>
    <w:semiHidden/>
    <w:pPr>
      <w:tabs>
        <w:tab w:val="center" w:pos="4536"/>
        <w:tab w:val="right" w:pos="9072"/>
      </w:tabs>
    </w:pPr>
    <w:rPr>
      <w:sz w:val="24"/>
    </w:rPr>
  </w:style>
  <w:style w:type="paragraph" w:customStyle="1" w:styleId="Geschftszeichenzeile">
    <w:name w:val="Geschäftszeichenzeile"/>
    <w:basedOn w:val="Normal"/>
    <w:pPr>
      <w:tabs>
        <w:tab w:val="left" w:pos="3260"/>
        <w:tab w:val="left" w:pos="5812"/>
        <w:tab w:val="left" w:pos="7655"/>
      </w:tabs>
      <w:spacing w:after="240"/>
    </w:pPr>
    <w:rPr>
      <w:sz w:val="12"/>
    </w:rPr>
  </w:style>
  <w:style w:type="character" w:styleId="PageNumber">
    <w:name w:val="page number"/>
    <w:basedOn w:val="DefaultParagraphFont"/>
    <w:semiHidden/>
  </w:style>
  <w:style w:type="paragraph" w:customStyle="1" w:styleId="Ebene5">
    <w:name w:val="Ebene 5"/>
    <w:basedOn w:val="Heading5"/>
    <w:pPr>
      <w:ind w:left="1418" w:hanging="425"/>
      <w:jc w:val="both"/>
      <w:outlineLvl w:val="9"/>
    </w:pPr>
    <w:rPr>
      <w:sz w:val="24"/>
    </w:rPr>
  </w:style>
  <w:style w:type="paragraph" w:styleId="FootnoteText">
    <w:name w:val="footnote text"/>
    <w:basedOn w:val="Normal"/>
    <w:semiHidden/>
    <w:pPr>
      <w:ind w:left="851" w:hanging="851"/>
      <w:jc w:val="both"/>
    </w:pPr>
    <w:rPr>
      <w:sz w:val="18"/>
    </w:rPr>
  </w:style>
  <w:style w:type="character" w:styleId="FootnoteReference">
    <w:name w:val="footnote reference"/>
    <w:semiHidden/>
    <w:rPr>
      <w:rFonts w:ascii="Arial" w:hAnsi="Arial"/>
      <w:noProof w:val="0"/>
      <w:color w:val="auto"/>
      <w:position w:val="6"/>
      <w:sz w:val="18"/>
      <w:u w:val="none"/>
      <w:vertAlign w:val="baseline"/>
      <w:lang w:val="es-ES"/>
    </w:rPr>
  </w:style>
  <w:style w:type="paragraph" w:customStyle="1" w:styleId="berschrift">
    <w:name w:val="Überschrift"/>
    <w:basedOn w:val="Heading1"/>
    <w:next w:val="Normal"/>
    <w:pPr>
      <w:spacing w:before="120" w:after="480"/>
      <w:ind w:firstLine="0"/>
      <w:jc w:val="center"/>
      <w:outlineLvl w:val="9"/>
    </w:pPr>
    <w:rPr>
      <w:caps/>
      <w:kern w:val="0"/>
      <w:sz w:val="32"/>
    </w:rPr>
  </w:style>
  <w:style w:type="paragraph" w:customStyle="1" w:styleId="Ebene6">
    <w:name w:val="Ebene 6"/>
    <w:basedOn w:val="Ebene5"/>
    <w:pPr>
      <w:spacing w:line="288" w:lineRule="exact"/>
      <w:ind w:left="1701"/>
    </w:pPr>
  </w:style>
  <w:style w:type="paragraph" w:customStyle="1" w:styleId="Fuzeile-Titel">
    <w:name w:val="Fußzeile-Titel"/>
    <w:basedOn w:val="Normal"/>
    <w:rPr>
      <w:sz w:val="12"/>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Arial" w:hAnsi="Arial"/>
      <w:sz w:val="22"/>
    </w:rPr>
  </w:style>
  <w:style w:type="paragraph" w:styleId="EndnoteText">
    <w:name w:val="endnote text"/>
    <w:basedOn w:val="Normal"/>
    <w:semiHidden/>
    <w:pPr>
      <w:jc w:val="both"/>
    </w:pPr>
    <w:rPr>
      <w:sz w:val="18"/>
    </w:rPr>
  </w:style>
  <w:style w:type="character" w:styleId="EndnoteReference">
    <w:name w:val="endnote reference"/>
    <w:semiHidden/>
    <w:rPr>
      <w:rFonts w:ascii="Arial" w:hAnsi="Arial"/>
      <w:noProof/>
      <w:color w:val="auto"/>
      <w:position w:val="6"/>
      <w:sz w:val="18"/>
      <w:u w:val="none"/>
      <w:vertAlign w:val="baseline"/>
    </w:rPr>
  </w:style>
  <w:style w:type="paragraph" w:customStyle="1" w:styleId="Funotentext1">
    <w:name w:val="Fußnotentext1"/>
    <w:basedOn w:val="Normal"/>
    <w:pPr>
      <w:ind w:left="851" w:hanging="851"/>
      <w:jc w:val="both"/>
    </w:pPr>
    <w:rPr>
      <w:sz w:val="18"/>
    </w:rPr>
  </w:style>
  <w:style w:type="paragraph" w:customStyle="1" w:styleId="Funotentext2">
    <w:name w:val="Fußnotentext2"/>
    <w:basedOn w:val="Normal"/>
    <w:pPr>
      <w:tabs>
        <w:tab w:val="left" w:pos="567"/>
        <w:tab w:val="left" w:pos="851"/>
        <w:tab w:val="left" w:pos="1134"/>
        <w:tab w:val="left" w:pos="1701"/>
        <w:tab w:val="left" w:pos="2835"/>
      </w:tabs>
      <w:ind w:left="851"/>
      <w:jc w:val="both"/>
    </w:pPr>
    <w:rPr>
      <w:sz w:val="18"/>
    </w:rPr>
  </w:style>
  <w:style w:type="paragraph" w:styleId="BalloonText">
    <w:name w:val="Balloon Text"/>
    <w:basedOn w:val="Normal"/>
    <w:link w:val="BalloonTextChar"/>
    <w:uiPriority w:val="99"/>
    <w:semiHidden/>
    <w:unhideWhenUsed/>
    <w:rsid w:val="006110CC"/>
    <w:rPr>
      <w:rFonts w:ascii="Segoe UI" w:hAnsi="Segoe UI" w:cs="Segoe UI"/>
      <w:sz w:val="18"/>
      <w:szCs w:val="18"/>
    </w:rPr>
  </w:style>
  <w:style w:type="character" w:customStyle="1" w:styleId="BalloonTextChar">
    <w:name w:val="Balloon Text Char"/>
    <w:link w:val="BalloonText"/>
    <w:uiPriority w:val="99"/>
    <w:semiHidden/>
    <w:rsid w:val="006110CC"/>
    <w:rPr>
      <w:rFonts w:ascii="Segoe UI" w:hAnsi="Segoe UI" w:cs="Segoe UI"/>
      <w:sz w:val="18"/>
      <w:szCs w:val="18"/>
    </w:rPr>
  </w:style>
  <w:style w:type="character" w:styleId="CommentReference">
    <w:name w:val="annotation reference"/>
    <w:basedOn w:val="DefaultParagraphFont"/>
    <w:uiPriority w:val="99"/>
    <w:semiHidden/>
    <w:unhideWhenUsed/>
    <w:rsid w:val="00F73447"/>
    <w:rPr>
      <w:sz w:val="16"/>
      <w:szCs w:val="16"/>
    </w:rPr>
  </w:style>
  <w:style w:type="paragraph" w:styleId="CommentText">
    <w:name w:val="annotation text"/>
    <w:basedOn w:val="Normal"/>
    <w:link w:val="CommentTextChar"/>
    <w:uiPriority w:val="99"/>
    <w:unhideWhenUsed/>
    <w:rsid w:val="00F73447"/>
    <w:rPr>
      <w:sz w:val="20"/>
    </w:rPr>
  </w:style>
  <w:style w:type="character" w:customStyle="1" w:styleId="CommentTextChar">
    <w:name w:val="Comment Text Char"/>
    <w:basedOn w:val="DefaultParagraphFont"/>
    <w:link w:val="CommentText"/>
    <w:uiPriority w:val="99"/>
    <w:rsid w:val="00F73447"/>
    <w:rPr>
      <w:rFonts w:ascii="Arial" w:hAnsi="Arial"/>
    </w:rPr>
  </w:style>
  <w:style w:type="paragraph" w:styleId="CommentSubject">
    <w:name w:val="annotation subject"/>
    <w:basedOn w:val="CommentText"/>
    <w:next w:val="CommentText"/>
    <w:link w:val="CommentSubjectChar"/>
    <w:uiPriority w:val="99"/>
    <w:semiHidden/>
    <w:unhideWhenUsed/>
    <w:rsid w:val="00F73447"/>
    <w:rPr>
      <w:b/>
      <w:bCs/>
    </w:rPr>
  </w:style>
  <w:style w:type="character" w:customStyle="1" w:styleId="CommentSubjectChar">
    <w:name w:val="Comment Subject Char"/>
    <w:basedOn w:val="CommentTextChar"/>
    <w:link w:val="CommentSubject"/>
    <w:uiPriority w:val="99"/>
    <w:semiHidden/>
    <w:rsid w:val="00F73447"/>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B4C11-8870-41CF-88B4-21AFC5BD2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1210</Words>
  <Characters>6310</Characters>
  <Application>Microsoft Office Word</Application>
  <DocSecurity>0</DocSecurity>
  <Lines>52</Lines>
  <Paragraphs>15</Paragraphs>
  <ScaleCrop>false</ScaleCrop>
  <HeadingPairs>
    <vt:vector size="2" baseType="variant">
      <vt:variant>
        <vt:lpstr>Titel</vt:lpstr>
      </vt:variant>
      <vt:variant>
        <vt:i4>1</vt:i4>
      </vt:variant>
    </vt:vector>
  </HeadingPairs>
  <TitlesOfParts>
    <vt:vector size="1" baseType="lpstr">
      <vt:lpstr>32984.01</vt:lpstr>
    </vt:vector>
  </TitlesOfParts>
  <Company>DIBt</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32984.01</dc:title>
  <dc:subject/>
  <dc:creator>Frau Elke Schwarzwald</dc:creator>
  <cp:keywords/>
  <dc:description>Datei gedruckt von esw_x000d_Datei erstellt am: 12.03.2001	16:40:00_x000d_Datei-Besitzer: Frau Elke Schwarzwald (Referat P3)</dc:description>
  <cp:lastModifiedBy>Liana Brili</cp:lastModifiedBy>
  <cp:revision>8</cp:revision>
  <cp:lastPrinted>2023-02-27T10:46:00Z</cp:lastPrinted>
  <dcterms:created xsi:type="dcterms:W3CDTF">2023-03-23T12:27:00Z</dcterms:created>
  <dcterms:modified xsi:type="dcterms:W3CDTF">2023-03-30T15:20:00Z</dcterms:modified>
</cp:coreProperties>
</file>