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345"/>
        <w:gridCol w:w="852"/>
        <w:gridCol w:w="1313"/>
      </w:tblGrid>
      <w:tr w:rsidR="005C2641" w:rsidRPr="00C32FE3" w14:paraId="06BA75C1" w14:textId="77777777" w:rsidTr="00C715F8">
        <w:trPr>
          <w:cantSplit/>
          <w:trHeight w:val="281"/>
        </w:trPr>
        <w:tc>
          <w:tcPr>
            <w:tcW w:w="3510" w:type="dxa"/>
            <w:gridSpan w:val="3"/>
          </w:tcPr>
          <w:p w14:paraId="0380FEC5" w14:textId="77777777" w:rsidR="005C2641" w:rsidRPr="00C32FE3" w:rsidRDefault="005C2641" w:rsidP="00C13834">
            <w:pPr>
              <w:pStyle w:val="SNREPUBLIQUE"/>
            </w:pPr>
            <w:r>
              <w:t>REPÚBLICA FRANCESA</w:t>
            </w:r>
          </w:p>
        </w:tc>
      </w:tr>
      <w:tr w:rsidR="005C2641" w:rsidRPr="00C32FE3" w14:paraId="60AB21EC" w14:textId="77777777" w:rsidTr="00C715F8">
        <w:trPr>
          <w:cantSplit/>
          <w:trHeight w:hRule="exact" w:val="111"/>
        </w:trPr>
        <w:tc>
          <w:tcPr>
            <w:tcW w:w="1345" w:type="dxa"/>
          </w:tcPr>
          <w:p w14:paraId="3A442AB4" w14:textId="77777777" w:rsidR="005C2641" w:rsidRPr="00C32FE3" w:rsidRDefault="005C2641" w:rsidP="00C13834"/>
        </w:tc>
        <w:tc>
          <w:tcPr>
            <w:tcW w:w="852" w:type="dxa"/>
            <w:tcBorders>
              <w:bottom w:val="single" w:sz="1" w:space="0" w:color="000000"/>
            </w:tcBorders>
          </w:tcPr>
          <w:p w14:paraId="64272111" w14:textId="77777777" w:rsidR="005C2641" w:rsidRPr="00C32FE3" w:rsidRDefault="005C2641" w:rsidP="00C13834"/>
        </w:tc>
        <w:tc>
          <w:tcPr>
            <w:tcW w:w="1312" w:type="dxa"/>
          </w:tcPr>
          <w:p w14:paraId="4C2C75AC" w14:textId="77777777" w:rsidR="005C2641" w:rsidRPr="00C32FE3" w:rsidRDefault="005C2641" w:rsidP="00C13834"/>
        </w:tc>
      </w:tr>
      <w:tr w:rsidR="005C2641" w:rsidRPr="00C32FE3" w14:paraId="61593BD7" w14:textId="77777777" w:rsidTr="00C715F8">
        <w:trPr>
          <w:cantSplit/>
          <w:trHeight w:val="794"/>
        </w:trPr>
        <w:tc>
          <w:tcPr>
            <w:tcW w:w="3510" w:type="dxa"/>
            <w:gridSpan w:val="3"/>
          </w:tcPr>
          <w:p w14:paraId="20413DCB" w14:textId="77777777" w:rsidR="005C2641" w:rsidRDefault="005C2641" w:rsidP="00C13834">
            <w:pPr>
              <w:pStyle w:val="SNTimbre"/>
            </w:pPr>
            <w:r>
              <w:t>Ministerio de la Transición Ecológica</w:t>
            </w:r>
          </w:p>
          <w:p w14:paraId="01EC4D2C" w14:textId="77777777" w:rsidR="005C2641" w:rsidRPr="00C32FE3" w:rsidRDefault="005C2641" w:rsidP="00C13834">
            <w:pPr>
              <w:pStyle w:val="SNTimbre"/>
            </w:pPr>
            <w:r>
              <w:t>Vivienda</w:t>
            </w:r>
          </w:p>
        </w:tc>
      </w:tr>
      <w:tr w:rsidR="005C2641" w:rsidRPr="00C32FE3" w14:paraId="22B0EA09" w14:textId="77777777" w:rsidTr="00C715F8">
        <w:trPr>
          <w:cantSplit/>
          <w:trHeight w:hRule="exact" w:val="223"/>
        </w:trPr>
        <w:tc>
          <w:tcPr>
            <w:tcW w:w="1345" w:type="dxa"/>
          </w:tcPr>
          <w:p w14:paraId="3759A36A" w14:textId="77777777" w:rsidR="005C2641" w:rsidRPr="00C32FE3" w:rsidRDefault="005C2641" w:rsidP="00C13834"/>
        </w:tc>
        <w:tc>
          <w:tcPr>
            <w:tcW w:w="852" w:type="dxa"/>
            <w:tcBorders>
              <w:bottom w:val="single" w:sz="1" w:space="0" w:color="000000"/>
            </w:tcBorders>
          </w:tcPr>
          <w:p w14:paraId="04DEF11A" w14:textId="77777777" w:rsidR="005C2641" w:rsidRPr="00C32FE3" w:rsidRDefault="005C2641" w:rsidP="00C13834"/>
        </w:tc>
        <w:tc>
          <w:tcPr>
            <w:tcW w:w="1312" w:type="dxa"/>
          </w:tcPr>
          <w:p w14:paraId="77D432E1" w14:textId="77777777" w:rsidR="005C2641" w:rsidRPr="00C32FE3" w:rsidRDefault="005C2641" w:rsidP="00C13834"/>
        </w:tc>
      </w:tr>
      <w:tr w:rsidR="005C2641" w:rsidRPr="00C32FE3" w14:paraId="3B71A753" w14:textId="77777777" w:rsidTr="00C715F8">
        <w:trPr>
          <w:cantSplit/>
          <w:trHeight w:hRule="exact" w:val="223"/>
        </w:trPr>
        <w:tc>
          <w:tcPr>
            <w:tcW w:w="1345" w:type="dxa"/>
          </w:tcPr>
          <w:p w14:paraId="780F1E54" w14:textId="77777777" w:rsidR="005C2641" w:rsidRPr="00C32FE3" w:rsidRDefault="005C2641" w:rsidP="00C13834"/>
        </w:tc>
        <w:tc>
          <w:tcPr>
            <w:tcW w:w="852" w:type="dxa"/>
          </w:tcPr>
          <w:p w14:paraId="770B6C28" w14:textId="77777777" w:rsidR="005C2641" w:rsidRPr="00C32FE3" w:rsidRDefault="005C2641" w:rsidP="00C13834"/>
        </w:tc>
        <w:tc>
          <w:tcPr>
            <w:tcW w:w="1312"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Orden de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relativa a la declaración medioambiental de los productos destinados para su uso en la construcción y a la declaración medioambiental de los productos utilizados para el cálculo del comportamiento medioambiental de los edificios</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Personas a las que afecta:</w:t>
      </w:r>
      <w:r>
        <w:rPr>
          <w:rFonts w:ascii="Times New Roman" w:hAnsi="Times New Roman"/>
          <w:i/>
          <w:sz w:val="24"/>
        </w:rPr>
        <w:t xml:space="preserve"> los declarantes afectados por los productos de construcción y decoración, así como aparatos eléctricos, electrónicos y de climatización utilizados para el cálculo del comportamiento medioambiental de los edificios.</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Objeto:</w:t>
      </w:r>
      <w:r>
        <w:rPr>
          <w:rFonts w:ascii="Times New Roman" w:hAnsi="Times New Roman"/>
          <w:i/>
          <w:sz w:val="24"/>
        </w:rPr>
        <w:t xml:space="preserve"> especificar las modalidades de aplicación de los artículos R. 412-49 a R. 412-57 del Código de Consumo y de los artículos R. 111-20-24 a R. 111-20-30 del Código de la construcción y la vivienda.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Entrada en vigor:</w:t>
      </w:r>
      <w:r>
        <w:rPr>
          <w:rFonts w:ascii="Times New Roman" w:hAnsi="Times New Roman"/>
          <w:i/>
          <w:sz w:val="24"/>
        </w:rPr>
        <w:t xml:space="preserve"> el texto entrará en vigor el 1 de enero de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Nota explicativa:</w:t>
      </w:r>
      <w:r>
        <w:rPr>
          <w:rFonts w:ascii="Times New Roman" w:hAnsi="Times New Roman"/>
          <w:i/>
          <w:sz w:val="24"/>
        </w:rPr>
        <w:t xml:space="preserve"> el objetivo de la Orden consiste en especificar las modalidades de aplicación de los artículos R. 412-49 a R. 412-57 del Código de Consumo y de los artículos R. 111-20-24 a R. 111-20-30 del Código de la construcción y la vivienda.</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La Orden establece:</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el contenido de las declaraciones medioambientales de los productos de construcción y decoración, así como de los aparatos eléctricos, electrónicos y de climatización destinados a su uso en las obras de construcción y las declaraciones medioambientales de los productos de construcción y decoración, así como de los aparatos eléctricos, electrónicos y de climatización utilizados para calcular el comportamiento medioambiental de los edificios,</w:t>
      </w:r>
    </w:p>
    <w:p w14:paraId="25B1EABC" w14:textId="77777777"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los métodos de evaluación y de cálculo de la información incluida en la declaración medioambiental,</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todos los justificantes de la información incluida en la declaración medioambiental que se pondrá a disposición del programa de declaración medioambiental y de las autoridades de control o de sus representantes,</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la dirección de las bases de datos en las que se ponen a disposición del público las declaraciones medioambientales mencionadas en el R. 111-20-25 del Código de la construcción y la vivienda,</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lastRenderedPageBreak/>
        <w:t>— las condiciones para la elaboración de declaraciones medioambientales colectivas sobre productos de construcción o decoración o sobre aparatos por parte de varios declarantes,</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t>— las condiciones para la elaboración de declaraciones personalizables sobre productos de construcción o decoración o sobre aparatos.</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Referencias</w:t>
      </w:r>
      <w:r>
        <w:rPr>
          <w:rFonts w:ascii="Times New Roman" w:hAnsi="Times New Roman"/>
          <w:i/>
          <w:sz w:val="24"/>
        </w:rPr>
        <w:t xml:space="preserve">: los textos creados o modificados por la presente Orden pueden consultarse, en su redacción resultante de esta modificación, en el sitio web </w:t>
      </w:r>
      <w:proofErr w:type="spellStart"/>
      <w:r>
        <w:rPr>
          <w:rFonts w:ascii="Times New Roman" w:hAnsi="Times New Roman"/>
          <w:i/>
          <w:sz w:val="24"/>
        </w:rPr>
        <w:t>Légifrance</w:t>
      </w:r>
      <w:proofErr w:type="spellEnd"/>
      <w:r>
        <w:rPr>
          <w:rFonts w:ascii="Times New Roman" w:hAnsi="Times New Roman"/>
          <w:i/>
          <w:sz w:val="24"/>
        </w:rPr>
        <w:t xml:space="preserv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 xml:space="preserve">La </w:t>
      </w:r>
      <w:proofErr w:type="gramStart"/>
      <w:r>
        <w:rPr>
          <w:rFonts w:ascii="Times New Roman" w:hAnsi="Times New Roman"/>
          <w:sz w:val="24"/>
        </w:rPr>
        <w:t>Ministra</w:t>
      </w:r>
      <w:proofErr w:type="gramEnd"/>
      <w:r>
        <w:rPr>
          <w:rFonts w:ascii="Times New Roman" w:hAnsi="Times New Roman"/>
          <w:sz w:val="24"/>
        </w:rPr>
        <w:t xml:space="preserve"> de la Transición Ecológica y la Ministra delegada de la Ministra de la Transición Ecológica, encargada de la Vivienda,</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Vista la Directiva (UE) 2015/1535 del Parlamento Europeo y del Consejo, de 9 de septiembre de 2015, por la que se establece un procedimiento de información en materia de reglamentaciones técnicas y de reglas relativas a los servicios de la sociedad de la información (versión codificada), en particular la notificación n.º </w:t>
      </w:r>
      <w:r>
        <w:rPr>
          <w:rFonts w:ascii="Times New Roman" w:hAnsi="Times New Roman"/>
          <w:sz w:val="24"/>
          <w:highlight w:val="yellow"/>
          <w:shd w:val="clear" w:color="auto" w:fill="FFFFFF"/>
        </w:rPr>
        <w:t>año/XXX/F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Visto el Código de Consumo, en particular los artículos L. 412-1 y R. 412-49 a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Visto el Código de la construcción y la vivienda, en particular los artículos L. 111-9-2 y R. 111-20-24 a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Vistas las observaciones formuladas durante la consulta pública realizada entre el </w:t>
      </w:r>
      <w:proofErr w:type="gramStart"/>
      <w:r>
        <w:rPr>
          <w:rFonts w:ascii="Times New Roman" w:hAnsi="Times New Roman"/>
          <w:sz w:val="24"/>
          <w:highlight w:val="yellow"/>
        </w:rPr>
        <w:t xml:space="preserve">[...] </w:t>
      </w:r>
      <w:r>
        <w:rPr>
          <w:rFonts w:ascii="Times New Roman" w:hAnsi="Times New Roman"/>
          <w:sz w:val="24"/>
        </w:rPr>
        <w:t xml:space="preserve"> y</w:t>
      </w:r>
      <w:proofErr w:type="gramEnd"/>
      <w:r>
        <w:rPr>
          <w:rFonts w:ascii="Times New Roman" w:hAnsi="Times New Roman"/>
          <w:sz w:val="24"/>
        </w:rPr>
        <w:t xml:space="preserve"> el </w:t>
      </w:r>
      <w:r>
        <w:rPr>
          <w:rFonts w:ascii="Times New Roman" w:hAnsi="Times New Roman"/>
          <w:sz w:val="24"/>
          <w:highlight w:val="yellow"/>
        </w:rPr>
        <w:t>[...]</w:t>
      </w:r>
      <w:r>
        <w:rPr>
          <w:rFonts w:ascii="Times New Roman" w:hAnsi="Times New Roman"/>
          <w:sz w:val="24"/>
        </w:rPr>
        <w:t>, de conformidad con el artículo L. 120-1 del Código del Medio Ambiente;</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Visto el dictamen del Consejo superior de la construcción y la eficiencia energética, de 13 de abril de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Por la presente, ordenan lo siguiente:</w:t>
      </w:r>
    </w:p>
    <w:p w14:paraId="36B5C6AB" w14:textId="5A8F9966" w:rsidR="008F5FB3" w:rsidRPr="005D260E" w:rsidRDefault="008F5FB3" w:rsidP="007F6637">
      <w:pPr>
        <w:pStyle w:val="Titre2FDES"/>
      </w:pPr>
      <w:r>
        <w:t>Artículo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(Definiciones)</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A los efectos de la presente Orden, se aplicarán las siguientes definiciones: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«indicador»: valor cuantificable relacionado con los aspectos medioambientales; </w:t>
      </w:r>
    </w:p>
    <w:p w14:paraId="7CB46E4F" w14:textId="4E4C0FD1" w:rsidR="008F5FB3" w:rsidRPr="005D260E" w:rsidRDefault="00CF19F7" w:rsidP="00CD009F">
      <w:pPr>
        <w:pStyle w:val="NormalWeb"/>
        <w:jc w:val="both"/>
      </w:pPr>
      <w:r>
        <w:t xml:space="preserve">«declarante»: responsable de la introducción en el mercado, de acuerdo con en el artículo R. 412-49 del Código de Consumo, o declarante en el sentido del artículo R. 111-20-24 del Código de la construcción y la vivienda;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«unidad funcional»: rendimiento cuantificado de un sistema de productos destinados a ser utilizados como unidad de referencia en un análisis de la vida útil;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lastRenderedPageBreak/>
        <w:t>«unidad declarada»: cantidad de un aparato, en su caso, de un producto de construcción o decoración, destinado a ser utilizado como unidad de referencia en un análisis de la vida útil, además de la unidad funcional;</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«vida útil de referencia del producto de construcción o decoración o del aparato»: vida útil que puede esperarse de un producto de construcción o decoración o de un aparato con arreglo a un conjunto de condiciones de uso de referencia, que puede servir de base para estimar la vida útil en otras condiciones de uso;</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t>«producto complementario»: término general para cualquier producto que debe estar necesariamente relacionado con el producto de construcción o decoración o el aparato principal durante cada una de las etapas de aplicación y la vida útil en la práctica;</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«declaración personalizable»: declaración medioambiental con normas para adaptar la información mencionada para que corresponda a un producto determinado y a una herramienta informática para aplicar dichas normas;</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«producto»: a efectos de los artículos siguientes, productos de construcción, productos de decoración y aparatos eléctricos, electrónicos y de climatización, tal como se definen en el artículo R. 111-20-24 del Código de la construcción y la vivienda.</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Artículo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(Ámbito de aplicación)</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Las disposiciones de la presente Orden se aplicarán a los productos indicados en el artículo R. 412-50 del Código de Consumo y en el artículo R. 111-20-24 del Código de la construcción y la vivienda.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Artículo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(Contenido de la declaración medioambiental)</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La declaración medioambiental prevista en el artículo R. 412-51 del Código de Consumo y en el artículo R. 111-20-25 del Código de la construcción y la vivienda incluirá la siguiente información: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los valores, para la etapa de producción, la etapa del proceso de construcción, la etapa de utilización, la etapa de final de la vida útil y la suma de estas etapas, de los siguientes indicadores: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aquellos que describen los impactos medioambientales: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calentamiento global (emisiones de gases de efecto invernadero),</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agotamiento de la capa de ozono,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acidificación del suelo y del agua,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eutrofización,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lastRenderedPageBreak/>
        <w:t xml:space="preserve">formación fotoquímica de ozono,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agotamiento de los recursos abióticos – elementos,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agotamiento de los recursos abióticos – combustibles fósiles,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aquellos que describen la utilización de los recursos: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de energía primaria renovable, con exclusión de los recursos energéticos primarios renovables utilizados como materias primas,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de recursos energéticos primarios renovables utilizados como materias primas,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total de recursos energéticos primarios renovables (energía primaria y recursos energéticos primarios utilizados como materias primas),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de energía primaria no renovable, con exclusión de los recursos energéticos primarios no renovables utilizados como materias primas,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de recursos energéticos primarios no renovables utilizados como materias primas,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total de recursos energéticos primarios no renovables (energía primaria y recursos energéticos primarios utilizados como materias primas),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de materia secundaria,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de combustibles secundarios renovables,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de combustibles secundarios no renovables,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utilización neta de agua dulce,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aquellos que describen las categorías de residuos: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residuos peligrosos eliminados,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residuos no peligrosos eliminados,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residuos radiactivos eliminados,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aquellos que describen los flujos salientes: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componentes destinados a la reutilización,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materiales destinados al reciclado,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materiales destinados a la recuperación de energía,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energía suministrada al aire libre;</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a partir del 1 de enero de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la utilización de materiales procedentes de recursos renovables incorporados al producto, expresada a través de un indicador de la cantidad de carbono de la atmósfera almacenada en el producto de construcción o decoración,</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los valores de los indicadores enumerados en el punto 1 para cada una de las subetapas de la etapa de utilización, es decir, las siguientes subetapas: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utilización o aplicación, con exclusión de las necesidades de energía y agua de la etapa de funcionamiento del edificio,</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mantenimiento,</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reparación,</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sustitución,</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rehabilitación,</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utilización de energía durante el uso,</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utilización de agua durante el uso,</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en el caso de declaración medioambiental afectada por los requisitos del artículo 9 de la presente Orden, los rangos de variación (valores máximos y mínimos) de los indicadores de control dispuestos en el artículo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en el caso de las declaraciones medioambientales verificadas a partir del 1 de octubre de 2022:</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la utilización de materiales procedentes de recursos renovables incorporados al producto, expresada a través de un indicador de la cantidad de carbono de la atmósfera almacenada en el aparato,</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los valores de los indicadores sobre los beneficios y gastos relacionados con la valorización al final de la vida útil;</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a partir del 1 de enero de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los valores de los indicadores sobre los beneficios y gastos relacionados con la valorización al final de la vida útil;</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la unidad funcional o la unidad declarada del producto;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la vida útil de referencia del producto;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la descripción de los productos que constituyen la unidad funcional o la unidad declarada (cantidad del producto principal, cantidad de envases, cantidad de productos complementarios relacionados con la aplicación o la vida útil en la práctica);</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el ámbito de aplicación del producto;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la siguiente información sobre el producto objeto de la declaración medioambiental: grupo, descripción o denominación comercial, nombre o designación de los declarantes;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la fecha de la declaración medioambiental;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el certificado de verificación y los datos de contacto del auditor que llevó a cabo la verificación por parte de un tercero independiente según el artículo R. 412-55 del Código de </w:t>
      </w:r>
      <w:r>
        <w:rPr>
          <w:rFonts w:ascii="Times New Roman" w:hAnsi="Times New Roman"/>
          <w:sz w:val="24"/>
        </w:rPr>
        <w:lastRenderedPageBreak/>
        <w:t xml:space="preserve">Consumo y el artículo R. 111-20-27 del Código de la construcción y la vivienda;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los datos de contacto del declarante;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la dirección del sitio web en el que esta información se encuentra disponible de forma gratuita.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Artículo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(Puesta a disposición de justificantes por parte del declarante)</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El declarante mantendrá a disposición del programa de declaración medioambiental y de las autoridades administrativas responsables de los controles, o sus representantes, todos los elementos, o los datos de contacto de las personas físicas o jurídicas que posean dichos elementos, para justificar la información incluida en la declaración medioambiental, en particular: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el origen de las materias primas, los materiales y los componentes del producto,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la identificación de los insumos no incluidos en el inventario de la vida útil de conformidad con la norma de corte,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la masa total de los insumos no incluidos en el inventario de la vida útil debido a la norma de corte,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los resultados de los cálculos del inventario,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los justificantes de la vida útil de referencia del producto,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en caso de que deban utilizarse datos genéricos procedentes de bases de datos públicas o privadas, la documentación relativa a la representatividad tecnológica, geográfica y temporal de los datos genéricos utilizados, las referencias de las bases de datos de las que proceden y las referencias de los módulos de datos utilizados,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los escenarios en los que se basa el inventario de la vida útil,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los lugares de producción cubiertos por la declaración medioambiental,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la producción de cada sitio, expresada con la unidad de cantidad definida en la unidad funcional,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cuando se utilice un método de muestreo, la prueba de que la muestra utilizada es representativa, en particular desde el punto de vista geográfico, temporal y tecnológico, de la producción del producto,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los elementos constitutivos del marco de validez de las declaraciones medioambientales afectadas por los requisitos del artículo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lastRenderedPageBreak/>
        <w:t>los elementos constitutivos de la declaración personalizable según el artículo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Artículo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(Unidades)</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Los formatos de las unidades funcionales para cada categoría de productos de construcción o decoración se definen en el anexo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Los formatos de las unidades funcionales o de las unidades declaradas para los aparatos se definen en el anexo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Artículo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(Métodos de evaluación y de cálculo)</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Los métodos de evaluación y de cálculo de la información prevista en el artículo 3 y, en particular, los indicadores estarán sujetos a las siguientes condiciones:</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no implicarán la omisión de procesos que representen un total superior al 5 % del valor de cada uno de los elementos de información mencionados,</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no darán lugar a la atribución al producto objeto de la declaración medioambiental de los beneficios asignados a otros productos, en el cálculo de la información mencionada, con excepción de los indicadores relativos a los beneficios y gastos asociados a la valorización al final de su vida útil,</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cumplirán la norma NF EN 15804+A1:2014-04 o la norma </w:t>
      </w:r>
      <w:r>
        <w:rPr>
          <w:rFonts w:ascii="Times New Roman" w:hAnsi="Times New Roman"/>
          <w:sz w:val="24"/>
          <w:shd w:val="clear" w:color="auto" w:fill="FFFFFF"/>
        </w:rPr>
        <w:t>XP C08-100-1:2016-12 o la norma EN 50693:2019-08, o cualquier norma equivalente,</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 ajustarán al método de cálculo de la evaluación de los beneficios y gastos asociados a la valorización al final de su vida útil, tal como se define en el anexo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Además, en el caso de las declaraciones medioambientales verificadas a partir del 1 de octubre de 2022, cuando la declaración medioambiental abarque distintos modos de instalación del producto objeto de esta, los métodos de evaluación y de cálculo de la información mencionada respetarán las siguientes normas:</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se evaluarán los siguientes indicadores de control para cada uno de estos modos de instalación: </w:t>
      </w:r>
      <w:r>
        <w:rPr>
          <w:rFonts w:ascii="Times New Roman" w:hAnsi="Times New Roman"/>
          <w:snapToGrid w:val="0"/>
          <w:sz w:val="24"/>
        </w:rPr>
        <w:t>calentamiento global total, utilización total de la energía primaria no renovable, residuos no peligrosos eliminados,</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para cada uno de estos indicadores de control, el valor máximo obtenido para la suma de las etapas a las que se refiere el artículo 3 se comparará con la media de los valores obtenidos (es decir, el impacto medio de los distintos modos de instalación). Si el valor máximo para uno de estos indicadores es superior a 1,1 veces el valor medio, deberá notificarse el valor máximo (es decir, el impacto máximo entre los distintos modos de instalación) para cada uno de los indicadores enumerados en la declaración medioambiental. De lo contrario, podrá indicarse el valor medio para cada indicador.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Artículo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(Registro en las bases de datos)</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El declarante deberá facilitar la declaración medioambiental verificada en las bases de datos indicadas en el acuerdo firmado entre el Ministro de Construcción y la persona jurídica que </w:t>
      </w:r>
      <w:r>
        <w:rPr>
          <w:rFonts w:ascii="Times New Roman" w:hAnsi="Times New Roman"/>
          <w:sz w:val="24"/>
        </w:rPr>
        <w:lastRenderedPageBreak/>
        <w:t>represente el programa de declaración medioambiental.</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sz w:val="24"/>
        </w:rPr>
        <w:t>La dirección de las bases de datos estarán</w:t>
      </w:r>
      <w:proofErr w:type="gramEnd"/>
      <w:r>
        <w:rPr>
          <w:rFonts w:ascii="Times New Roman" w:hAnsi="Times New Roman"/>
          <w:sz w:val="24"/>
        </w:rPr>
        <w:t xml:space="preserve"> disponibles en el sitio web del Ministro de Construcción.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Artículo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(Actualización de la declaración medioambiental)</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La declaración medioambiental se actualizará con cada cambio significativo del producto, cuando sea necesario para reflejar la evolución tecnológica u otras circunstancias que puedan afectar al contenido o a la exactitud de la declaración medioambiental y, como mínimo, cada cinco años.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Artículo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(Datos medioambientales colectivos)</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La declaración medioambiental podrá basarse en una declaración medioambiental colectiva de productos similares de varios declarantes: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esta declaración medioambiental colectiva cumplirá las siguientes condiciones: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 referirá a un «producto estándar»,</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 establecerá en las condiciones contempladas en los artículos anteriores,</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deberá garantizarse la homogeneidad de los parámetros que influyen considerablemente en el valor de cada indicador; a tal fin, la declaración medioambiental colectiva deberá contener un marco de validez, tal como se define en el anexo IV, que recoja la siguiente información:</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la identificación de los parámetros influyentes, especificando si se completan con datos genéricos o específicos,</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los períodos de validez de estos parámetros;</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el declarante que haya presentado la declaración medioambiental colectiva será el responsable de la información que contiene, incluida, en su caso, una lista de los productos en cuestión y las condiciones en las que los productos pueden estar vinculados a ella;</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los declarantes de los productos cubiertos por la dicha declaración medioambiental colectiva cumplirán las siguientes condiciones: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serán los responsables de la información que transmiten al declarante mencionado,</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respetarán el marco de validez de la declaración medioambiental colectiva,</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proporcionarán un certificado que indique el cumplimiento del marco de validez de la declaración medioambiental colectiva,</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mantendrán a disposición de las autoridades de inspección los justificantes del cumplimiento del marco de validez;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la verificación por parte de un tercero independiente de según el artículo R. 412-55 del Código de Consumo y el artículo R. 111-20-27 del Código de la construcción y la vivienda para los productos relacionados con la declaración medioambiental colectiva consistirá en una verificación por parte de un tercero independiente de la declaración medioambiental colectiva;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los indicadores de control que se considerarán serán, como mínimo:</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calentamiento global total,</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utilización total de energía primaria no renovable,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residuos no peligrosos eliminados;</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las declaraciones medioambientales colectivas deberán cumplir los siguientes requisitos:</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cuando el valor máximo de cada indicador de control, obtenido para la suma de las etapas mencionadas en el artículo 3 y mediante el cálculo de la variabilidad descrita en el anexo IV, sea inferior o igual al valor medio del indicador multiplicado por un valor límite, los valores de los indicadores podrán calcularse con los valores medios de los parámetros sensibles. De lo contrario, deberá declararse el umbral superior (valor máximo que puede alcanzar el indicador).</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En el caso de las declaraciones medioambientales colectivas hechas a partir del 1 de octubre de 2022, el valor límite mencionado será 1,4 y el cálculo de la variabilidad mencionada cubrirá al menos los parámetros sensibles relativos a:</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la composición del producto: cantidad y tipo de materiales,</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las cantidades de envases,</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los procesos de fabricación distintos de la extracción y transformación de las materias primas (etapas A2 y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En el caso de las declaraciones medioambientales colectivas hechas a partir del 1 de octubre de 2022, el valor límite mencionado será 1,3 y el cálculo de la variabilidad mencionada cubrirá al menos los parámetros sensibles relativos a:</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la composición del producto: cantidad y tipo de materiales,</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las cantidades de envases,</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los procesos de fabricación distintos de la extracción y transformación de las materias primas (etapas A2 y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el transporte al emplazamiento (etapa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Artículo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lastRenderedPageBreak/>
        <w:t>(Datos medioambientales de gama)</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La declaración medioambiental podrá basarse en productos similares del mismo declarante. Estas declaraciones medioambientales deberán cumplir los requisitos para las declaraciones medioambientales colectivas establecidos en el artículo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Artículo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(Datos medioambientales personalizables)</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La declaración medioambiental podrá basarse en una declaración personalizable.</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Esta declaración personalizable cumplirá las siguientes condiciones: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 referirá a un «producto estándar»,</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se establecerá en las condiciones contempladas en los artículos anteriores,</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incluirá un conjunto de normas de cálculo para adaptar, sobre la base de parámetros modificables, la información mencionada en ella, para que corresponda a un producto similar al producto estándar, pero que difiere en tamaño, composición o determinados procesos de la vida útil,</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el valor de los parámetros modificables mencionados deberá poder ser verificable tras la entrega de un edificio,</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incluirá un marco de validez que defina los valores que pueden adoptar los parámetros modificables mencionados y las características que debe cumplir el producto similar indicado.</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Toda declaración personalizable verificada a partir del 1 de octubre de 2022 irá acompañada de una herramienta informática de cálculo para la aplicación de las citadas normas de cálculo y para la exportación de la información exigida en el artículo 3, junto con la lista de los parámetros modificables mencionados y sus valores. Toda esta información se exportará como archivo informático según el formato definido en el sitio web del Ministerio de Construcción.</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La verificación por parte de un tercero independiente según el artículo R. 412-55 del Código de Consumo y a que se refiere el artículo R. 111-20-27 del Código de la construcción y la vivienda también cubrirá, en el caso de una declaración personalizable, las normas de cálculo previstas en el presente artículo y la herramienta informática de cálculo indicada en el párrafo anterior.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Artículo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(Certificación)</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 xml:space="preserve">Se considerará que la certificación de las características medioambientales de acuerdo con el artículo R. 412-53 del Código de Consumo es conforme si tiene en cuenta todos los requisitos de la norma NF EN ISO 14024:2018-03. Esta certificación de productos de construcción o decoración o de aparatos será expedida por un organismo acreditado a tal efecto por el Comité </w:t>
      </w:r>
      <w:r>
        <w:rPr>
          <w:rFonts w:ascii="Times New Roman" w:hAnsi="Times New Roman"/>
          <w:sz w:val="24"/>
        </w:rPr>
        <w:lastRenderedPageBreak/>
        <w:t>francés de acreditación (COFRAC) o por otro organismo de acreditación signatario de acuerdos multilaterales de reconocimiento mutuo.</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Este artículo no se aplicará a las declaraciones medioambientales utilizadas para el cálculo del comportamiento medioambiental de los edificios.</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Artículo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Queda derogada la Orden, de 23 de diciembre de 2013, relativa a la declaración medioambiental de los productos de construcción y decoración destinados a su uso en las obras de construcción.</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Queda derogada la Orden, de 31 de agosto de 2015, relativa a la declaración medioambiental de los aparatos eléctricos, electrónicos y de climatización destinados a su uso en las obras de construcción.</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Artículo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El director de Vivienda, Desarrollo Urbano y Paisajes será el responsable de la ejecución de la presente Orden, que se publicará en el Boletín Oficial de la República Francesa.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La </w:t>
      </w:r>
      <w:proofErr w:type="gramStart"/>
      <w:r>
        <w:rPr>
          <w:rFonts w:ascii="Times New Roman" w:hAnsi="Times New Roman"/>
          <w:sz w:val="24"/>
        </w:rPr>
        <w:t>Ministra</w:t>
      </w:r>
      <w:proofErr w:type="gramEnd"/>
      <w:r>
        <w:rPr>
          <w:rFonts w:ascii="Times New Roman" w:hAnsi="Times New Roman"/>
          <w:sz w:val="24"/>
        </w:rPr>
        <w:t xml:space="preserve"> delegada de la Ministra de la Transición Ecológica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encargada de la Vivienda</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En nombre y por delegación de la </w:t>
      </w:r>
      <w:proofErr w:type="gramStart"/>
      <w:r>
        <w:rPr>
          <w:rFonts w:ascii="Times New Roman" w:hAnsi="Times New Roman"/>
          <w:sz w:val="24"/>
        </w:rPr>
        <w:t>Ministra</w:t>
      </w:r>
      <w:proofErr w:type="gramEnd"/>
      <w:r>
        <w:rPr>
          <w:rFonts w:ascii="Times New Roman" w:hAnsi="Times New Roman"/>
          <w:sz w:val="24"/>
        </w:rPr>
        <w:t>: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 Director de Vivienda, Desarrollo Urbano y Paisajes,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 xml:space="preserve">La </w:t>
      </w:r>
      <w:proofErr w:type="gramStart"/>
      <w:r>
        <w:rPr>
          <w:rFonts w:ascii="Times New Roman" w:hAnsi="Times New Roman"/>
          <w:sz w:val="24"/>
        </w:rPr>
        <w:t>Ministra</w:t>
      </w:r>
      <w:proofErr w:type="gramEnd"/>
      <w:r>
        <w:rPr>
          <w:rFonts w:ascii="Times New Roman" w:hAnsi="Times New Roman"/>
          <w:sz w:val="24"/>
        </w:rPr>
        <w:t xml:space="preserve"> de la Transición Ecológica,</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 xml:space="preserve">En nombre y por delegación de la </w:t>
      </w:r>
      <w:proofErr w:type="gramStart"/>
      <w:r>
        <w:rPr>
          <w:rFonts w:ascii="Times New Roman" w:hAnsi="Times New Roman"/>
          <w:sz w:val="24"/>
        </w:rPr>
        <w:t>Ministra</w:t>
      </w:r>
      <w:proofErr w:type="gramEnd"/>
      <w:r>
        <w:rPr>
          <w:rFonts w:ascii="Times New Roman" w:hAnsi="Times New Roman"/>
          <w:sz w:val="24"/>
        </w:rPr>
        <w:t>:</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El Director de Vivienda, Desarrollo Urbano y Paisajes,</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4A1A9D13" w14:textId="14EFD117"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Anexos</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Anexo I</w:t>
      </w:r>
    </w:p>
    <w:p w14:paraId="6761F1F1" w14:textId="57464D42" w:rsidR="001308A1" w:rsidRPr="005D260E" w:rsidRDefault="00C51AA3" w:rsidP="00F76954">
      <w:pPr>
        <w:pStyle w:val="Titre2FDES"/>
        <w:jc w:val="left"/>
      </w:pPr>
      <w:r>
        <w:t>Formatos de unidades funcionales para cada categoría de productos de construcción o decoración.</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N.º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FUNCIÓN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CATEGORÍA: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FORMATO DE UNIDAD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funcional en unidades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del sistema internacional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Carreteras, redes diversas (incluidas las redes interiores)</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Tanques y depósitos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Una unidad de un volumen determinado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Redes de evacuación y saneamiento (aguas de lluvia y aguas residuales)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medio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Redes de abastecimiento de agua (interior y exterior)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medio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Redes de suministro de gas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medio</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Sistema de drenaje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medio</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Carreteras y revestimientos exteriores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superficie para un uso determinado (terraza exterior, carreteras de baja circulación, aparcamientos, etc.)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Vallado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de vallado</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Mangas/ductos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Estructura, albañilería, trabajos estructurales, carpintería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Bloques cerámicos y tuberías de chimenea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del conducto de sección interior determinado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Soleras/soleras flotantes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para un espesor determinado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Armazones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de superficie cubierta o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Arriostramientos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arriostramientos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Losas y </w:t>
            </w:r>
            <w:proofErr w:type="spellStart"/>
            <w:r>
              <w:rPr>
                <w:rFonts w:ascii="Times New Roman" w:hAnsi="Times New Roman"/>
                <w:sz w:val="24"/>
              </w:rPr>
              <w:t>prelosas</w:t>
            </w:r>
            <w:proofErr w:type="spellEnd"/>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Elementos portantes horizontales (vigas, viguetas, bovedillas, forjados, dinteles)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del elemento portante (especificar el alcance y la sección) o m² (para el elemento de superficie)</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Elementos portantes verticales (postes/columnas/pilares)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del elemento (especificar la sección)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Escaleras (interiores y exteriores)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Una unidad para una elevación de altura determinada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Cimientos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r>
              <w:rPr>
                <w:rFonts w:ascii="Times New Roman" w:hAnsi="Times New Roman"/>
                <w:sz w:val="24"/>
                <w:vertAlign w:val="superscript"/>
              </w:rPr>
              <w:t>3</w:t>
            </w:r>
            <w:r>
              <w:rPr>
                <w:rFonts w:ascii="Times New Roman" w:hAnsi="Times New Roman"/>
                <w:sz w:val="24"/>
              </w:rPr>
              <w:t xml:space="preserve">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Pequeños elementos de albañilería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(especificar la resistencia térmica)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Suelos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suelo (especificar la carga soportada)</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Paredes (elementos arquitectónicos)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(especificar el espesor)</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Fachadas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Revestimiento (recubrimientos, aislamiento, chapado)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fachada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Muros cortina y claraboyas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fachada (especificar el porcentaje de superficie opaca)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Superficie exterior de fachadas (incluidos los sistemas compuestos de aislamiento térmico exterior)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fachada (especificar la resistencia térmica si procede)</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Tejados/impermeabilización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Elementos de cubierta hechos con elementos grandes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Elementos de cubierta hechos con elementos pequeños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Productos de impermeabilización y sellado para muros enterrados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Productos para </w:t>
            </w:r>
            <w:proofErr w:type="gramStart"/>
            <w:r>
              <w:rPr>
                <w:rFonts w:ascii="Times New Roman" w:hAnsi="Times New Roman"/>
                <w:sz w:val="24"/>
              </w:rPr>
              <w:t>el la</w:t>
            </w:r>
            <w:proofErr w:type="gramEnd"/>
            <w:r>
              <w:rPr>
                <w:rFonts w:ascii="Times New Roman" w:hAnsi="Times New Roman"/>
                <w:sz w:val="24"/>
              </w:rPr>
              <w:t xml:space="preserve"> impermeabilización de tejados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Elementos de tejados verdes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(especificar el tipo de vegetación soportada y, en su caso, las características térmicas)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Carpintería interior y exterior, cierres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Ventanas, ventanas francesas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carpintería (superficie abierta antes de la instalación) (especificar el valor </w:t>
            </w:r>
            <w:proofErr w:type="spellStart"/>
            <w:r>
              <w:rPr>
                <w:rFonts w:ascii="Times New Roman" w:hAnsi="Times New Roman"/>
                <w:sz w:val="24"/>
              </w:rPr>
              <w:t>Uw</w:t>
            </w:r>
            <w:proofErr w:type="spellEnd"/>
            <w:r>
              <w:rPr>
                <w:rFonts w:ascii="Times New Roman" w:hAnsi="Times New Roman"/>
                <w:sz w:val="24"/>
              </w:rPr>
              <w:t>, el factor solar, la clasificación aire-</w:t>
            </w:r>
            <w:proofErr w:type="gramStart"/>
            <w:r>
              <w:rPr>
                <w:rFonts w:ascii="Times New Roman" w:hAnsi="Times New Roman"/>
                <w:sz w:val="24"/>
              </w:rPr>
              <w:t>agua-viento</w:t>
            </w:r>
            <w:proofErr w:type="gramEnd"/>
            <w:r>
              <w:rPr>
                <w:rFonts w:ascii="Times New Roman" w:hAnsi="Times New Roman"/>
                <w:sz w:val="24"/>
              </w:rPr>
              <w:t xml:space="preserve"> y la transmisión de la luz)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Barandillas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de barandillas</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Puertas (interiores, exteriores, portales, etc.) </w:t>
            </w:r>
          </w:p>
          <w:p w14:paraId="49074EDD" w14:textId="1FC62C2F" w:rsidR="00F301F5" w:rsidRPr="00EC789A" w:rsidRDefault="00F301F5" w:rsidP="00F301F5">
            <w:pPr>
              <w:widowControl w:val="0"/>
              <w:autoSpaceDE w:val="0"/>
              <w:autoSpaceDN w:val="0"/>
              <w:adjustRightInd w:val="0"/>
              <w:spacing w:after="0" w:line="240" w:lineRule="auto"/>
              <w:rPr>
                <w:rFonts w:ascii="Times New Roman" w:hAnsi="Times New Roman" w:cs="Times New Roman"/>
                <w:sz w:val="24"/>
                <w:szCs w:val="24"/>
                <w:lang w:val="fr-FR"/>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(superficie abierta antes de la instalación)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Persianas, persianas enrollables, toldos, parasoles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superficie opaca/protegida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Ventanas de techo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carpintería (superficie abierta antes de la instalación) (especificar el valor </w:t>
            </w:r>
            <w:proofErr w:type="spellStart"/>
            <w:r>
              <w:rPr>
                <w:rFonts w:ascii="Times New Roman" w:hAnsi="Times New Roman"/>
                <w:sz w:val="24"/>
              </w:rPr>
              <w:t>Uw</w:t>
            </w:r>
            <w:proofErr w:type="spellEnd"/>
            <w:r>
              <w:rPr>
                <w:rFonts w:ascii="Times New Roman" w:hAnsi="Times New Roman"/>
                <w:sz w:val="24"/>
              </w:rPr>
              <w:t>, el factor solar, la clasificación aire-</w:t>
            </w:r>
            <w:proofErr w:type="gramStart"/>
            <w:r>
              <w:rPr>
                <w:rFonts w:ascii="Times New Roman" w:hAnsi="Times New Roman"/>
                <w:sz w:val="24"/>
              </w:rPr>
              <w:t>agua-viento</w:t>
            </w:r>
            <w:proofErr w:type="gramEnd"/>
            <w:r>
              <w:rPr>
                <w:rFonts w:ascii="Times New Roman" w:hAnsi="Times New Roman"/>
                <w:sz w:val="24"/>
              </w:rPr>
              <w:t xml:space="preserve"> y la transmisión de la luz)</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Paneles sándwich, paneles de tejado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aislamiento (especificar la resistencia térmica)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Sistemas de revestimiento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aislamiento (especificar la resistencia térmica)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Aislamiento adicional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aislamiento (especificar la resistencia térmica)</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Bovedillas, forjados aislantes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aislamiento (especificar la resistencia térmica)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 térmico y acústico para muros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aislamiento (especificar la resistencia térmica y acústica)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 térmico y acústico para áticos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aislamiento (especificar la resistencia térmica y acústica)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Aislamiento térmico y acústico, a </w:t>
            </w:r>
            <w:r>
              <w:rPr>
                <w:rFonts w:ascii="Times New Roman" w:hAnsi="Times New Roman"/>
                <w:sz w:val="24"/>
              </w:rPr>
              <w:lastRenderedPageBreak/>
              <w:t>granel</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de aislamiento (especificar la </w:t>
            </w:r>
            <w:r>
              <w:rPr>
                <w:rFonts w:ascii="Times New Roman" w:hAnsi="Times New Roman"/>
                <w:sz w:val="24"/>
              </w:rPr>
              <w:lastRenderedPageBreak/>
              <w:t xml:space="preserve">resistencia térmica y acústica)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 térmico y acústico para tejados de terraza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aislamiento (especificar la resistencia térmica y acústica)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 térmico y acústico bajo soleras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aislamiento (especificar la resistencia térmica y acústica)</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 distribuido no portante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aislamiento (especificar la resistencia térmica y acústica, si procede)</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 térmico y acústico para muros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aislamiento (especificar la resistencia térmica y acústica)</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 acústico para tabiques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aislamiento (especificar la resistencia térmica y acústica)</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 térmico y acústico bajo losas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aislamiento (especificar la resistencia térmica y acústica)</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Aislamiento bajo pavimentación y losas de suelo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aislamiento (especificar la resistencia térmica y acústica)</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Tabiques, techos suspendidos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Tabiquería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tabiquería (especificar un comportamiento acústico, si procede)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Techos suspendidos, techos tensados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techo suspendido (especificar el comportamiento acústico)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Revestimientos de suelos y paredes, pinturas, productos de decoración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Pinturas, tintes y barnices, revestimientos de pintura (excepto </w:t>
            </w:r>
            <w:proofErr w:type="spellStart"/>
            <w:r>
              <w:rPr>
                <w:rFonts w:ascii="Times New Roman" w:hAnsi="Times New Roman"/>
                <w:sz w:val="24"/>
              </w:rPr>
              <w:t>saturadores</w:t>
            </w:r>
            <w:proofErr w:type="spellEnd"/>
            <w:r>
              <w:rPr>
                <w:rFonts w:ascii="Times New Roman" w:hAnsi="Times New Roman"/>
                <w:sz w:val="24"/>
              </w:rPr>
              <w:t xml:space="preserv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superficie cubierta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Zócalos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 zócalos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Revestimientos de muros y techos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revestimiento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Revestimientos de suelos duros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revestimiento (especificar la clase de uso o la clasificación de la certificación UPEC para la resistencia al desgaste, la resistencia a la perforación, la resistencia al agua y la resistencia a los agentes químicos, o equivalentes)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Revestimientos de suelo blandos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revestimiento (especificar la clase de uso o la clasificación de la certificación UPEC para la resistencia al desgaste, la resistencia a la perforación, la resistencia al agua y la resistencia a los agentes químicos, o equivalentes)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Productos acústicos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revestimiento (especificar la clase de uso o la clasificación de la certificación UPEC para la resistencia al desgaste, la resistencia a la perforación, la resistencia al agua y la resistencia a los agentes químicos, o equivalentes)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Saturadores</w:t>
            </w:r>
            <w:proofErr w:type="spellEnd"/>
            <w:r>
              <w:rPr>
                <w:rFonts w:ascii="Times New Roman" w:hAnsi="Times New Roman"/>
                <w:sz w:val="24"/>
              </w:rPr>
              <w:t xml:space="preserv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superficie cubierta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Productos de preparación y aplicación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Pegamentos de carpintería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la densidad)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Reparaciones e instalación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la densidad)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Suelos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pegamento al suelo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Morteros para albañilería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la densidad)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Embaldosado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embaldosados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Decoración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la densidad)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Selladores y espumas de poliuretano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(especificar la masa lineal)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Química de la construcción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la densidad)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Productos para hormigón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la densidad)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Resinas sintéticas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(especificar la densidad)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Varios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Equipamiento sanitario y de baño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Grifería y columnas de ducha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 (especificar el tipo)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Bañera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 (especificar el volumen de capacidad en litro y forma)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Plato de ducha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 (especificar las dimensiones: anchura y longitud)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Fregadero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 (especificar las dimensiones: anchura, longitud y número de senos)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Lavabo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 (especificar las dimensiones: anchura, longitud y número de senos)</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Inodoro – Taza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 (especificar las dimensiones: anchura y longitud)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Varios</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Otros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Varios</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Anexo II</w:t>
      </w:r>
    </w:p>
    <w:p w14:paraId="1E7210AD" w14:textId="4609938E" w:rsidR="001308A1" w:rsidRPr="005D260E" w:rsidRDefault="00C51AA3" w:rsidP="007F6637">
      <w:pPr>
        <w:pStyle w:val="Titre2FDES"/>
      </w:pPr>
      <w:r>
        <w:t>Formatos de unidades funcionales o unidades declaradas para los aparatos.</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N.º</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Función</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Categoría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 funcional</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 declarada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Grupo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Solución</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Aparatos de instalación para las redes eléctricas y de comunicación</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≤63 amperios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Accesorios de pared</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Automatismos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Sensores de movimiento</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Termostatos</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Variadores</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Cajas de aparatos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 paredes de yeso</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 albañilería</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Controles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Pulsadores</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Otros: VMC, persianas enrollables, etc.</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Placas y soportes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Subconjunto de aparatos de pared</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Tomas de corriente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Tomas de corriente de baja tensión</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Tomas de corriente de alta tensión</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Tomas de corriente varias (TV, altavoz, informática, etc.)</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Señalización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Salida de audio: altavoz</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Salida de audio: campanas y timbres</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Indicadores luminosos</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Mandos a distancia, obturadores, abrazaderas</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Aparatos modulares para espacios cerrados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Aparatos de protección general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Conexiones</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Disyuntores</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Disyuntores de conexión</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Interruptores/aisladores</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Inversores de la fuente</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Relés diferenciales</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Protección contra rayos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Pararrayos</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Pararrayos de telecomunicaciones</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Protección de la línea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Disyuntores</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Disyuntores de división</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Disyuntores de motor</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Fusibles</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Protección de línea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Bloques diferenciales</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Disyuntores diferenciales</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 diferenciales</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Gestión de la iluminación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 crepusculares</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Gestión solar</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Variadores</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Gestión de la energía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Cobertizos de carga</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Gestores de energía</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Gestión de persianas y contraventanas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Gestión de persianas y contraventanas</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Gestión del tiempo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 horarios</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Temporizadores</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Relés de temporizador</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Gestión térmica (calefacción, ventilación)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Termostatos</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Medición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Contadores de energía</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Sensores de lluvia, solares, etc.</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Voltímetros, amperímetros</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Dispositivos de control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Pulsadores</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Contactores</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 inversores, conmutadores, etc.</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 a distancia</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Dispositivos de señalización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Campanas y timbres</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Indicadores luminosos</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Domótica y sistemas de comunicación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Redes multimedia y VDI (voz, datos e imágenes)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Equipamiento modular para domótica</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Aparatos terminales para domótica</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Distribuidores de señalización/detección</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Puntos de acceso de wifi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Espacios cerrados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Armarios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Armarios de poliéster</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Armarios metálicos</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Conexiones</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Aparatos para armarios</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Cajas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Tapas de terminales</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Cajas empotradas</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Cajas impermeables</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Cajas montadas en superficie</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Cajas VDI</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Caja de conexión</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Otros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Escritorios, gestión térmica de los espacios cerrados</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Soluciones de enrutamiento de cables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Sistemas de enrutamiento de cables y bastidores de cables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Rutas de cables de alambre</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Bandejas de cable de losas</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Bastidores de cable</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Sistemas de canalización y </w:t>
            </w:r>
            <w:r>
              <w:rPr>
                <w:rFonts w:ascii="Times New Roman" w:hAnsi="Times New Roman"/>
                <w:sz w:val="24"/>
              </w:rPr>
              <w:lastRenderedPageBreak/>
              <w:t>conductos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Conductos</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Conductos perfilados</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Tubos y conductos rígidos</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Canalización de suministro</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Canalización de suelo</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Canalización de instalación</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Molduras y zócalos</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Otros productos puntuales para el enrutamiento de cables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Conducto de alojamiento técnico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Canalización de suelo</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Cajas divisoras y columnas verticales de instalación</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Enrutamiento de cables para armarios</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Otros y accesorios</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Otros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Conexión/empalme (fuera del espacio cerrado)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Bloques de empalme</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Conectores</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Tomas de corriente industriales</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Suministro eléctrico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Transformadores</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Fuentes centrales</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Aparatos eléctricos móviles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Lámpara portátil</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Regletas, adaptadores, otros</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Motorización de la apertura de solapas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Motorización de la apertura de puertas, portones, etc.</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Motorización de persianas enrollables</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Alambres y cables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Redes eléctricas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Cables de tensión media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Cables de baja tensión &lt;1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Accesorios de red eléctrica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Transferencia de energía y datos dentro del edificio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Alambres y cables de energía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Cables de comunicación de cobre y fibra óptica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Accesorios dentro del edificio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Otros alambres y cables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Sin aislamiento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Cables de calefacción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Seguridad de las personas y control del </w:t>
            </w:r>
            <w:r>
              <w:rPr>
                <w:rFonts w:ascii="Times New Roman" w:hAnsi="Times New Roman"/>
                <w:sz w:val="24"/>
              </w:rPr>
              <w:lastRenderedPageBreak/>
              <w:t>acceso</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Detección y control del acceso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de detección de intrusos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Aparatos de detección de intrusos</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Aparatos de control </w:t>
            </w:r>
            <w:r>
              <w:rPr>
                <w:rFonts w:ascii="Times New Roman" w:hAnsi="Times New Roman"/>
                <w:sz w:val="24"/>
              </w:rPr>
              <w:lastRenderedPageBreak/>
              <w:t>(teclado, mando a distancia, etc.)</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Centrales de alarma</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Aparatos de señalización (sirena, transmisor, etc.)</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Sistemas de control del acceso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Porteros con audio</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Porteros con vídeos</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Videovigilancia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de videovigilancia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Aparatos de captura de imágenes (cámaras)</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Aparatos de gestión de imágenes</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Interconexiones</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Seguridad del edificio</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de iluminación de seguridad</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Entorno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autónomas de iluminación de emergencia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para fuente central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de faros</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Evacuación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autónomas de iluminación de emergencia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independientes de iluminación residencial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 de doble función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para fuente central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(dispositivo de iluminación)</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(dispositivo de identificación mejorado)</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w:t>
            </w:r>
            <w:proofErr w:type="gramStart"/>
            <w:r>
              <w:rPr>
                <w:rFonts w:ascii="Times New Roman" w:hAnsi="Times New Roman"/>
                <w:sz w:val="24"/>
              </w:rPr>
              <w:t>B.R</w:t>
            </w:r>
            <w:proofErr w:type="gramEnd"/>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Iluminación de emergencia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independientes de iluminación residencial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 de doble función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autónomas de intervención portátiles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Suministro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Fuente central para la instalación de iluminación de emergencia</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Seguridad contra incendios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Seguridad contra incendios y alarma técnica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Detectores de humo/alarmas independientes</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Alarmas técnicas y detectores (inundación, gas, etc.)</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Detectores autónomos de monóxido de carbono</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Alarmas técnicas y detectores</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Aparatos de climatización</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Calefacción o refrigeración o producción de agua caliente sanitaria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Caldera (solo calefacción)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Caldera de gas</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Caldera de fuel</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Caldera híbrida</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Caldera de biomasa</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Caldera mixta (calefacción y agua caliente sanitaria)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Caldera de gas</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Caldera de fuel</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Aparatos independientes de biomasa</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Bomba de calor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Bomba de calor de compresión eléctrica</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Bomba de calor híbrida</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Bomba de circulación de agua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Radiador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Radiador toallero</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Calefacción eléctrica directa a través de una unidad fija visible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Convector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Radiante</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Radiador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Aparatos con función secundaria como radiador toallero</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Producción de agua caliente sanitaria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Calentador de agua de almacenamiento individual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Calentador de agua eléctrico</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Calentador de agua termodinámico</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Calentador de agua de gas</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Calentador de agua solar individual</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Unidades terminales de confort</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sz w:val="24"/>
              </w:rPr>
              <w:t>Ventiloconvectores</w:t>
            </w:r>
            <w:proofErr w:type="spellEnd"/>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Ventiloconvectores</w:t>
            </w:r>
            <w:proofErr w:type="spellEnd"/>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r>
              <w:rPr>
                <w:rFonts w:ascii="Times New Roman" w:hAnsi="Times New Roman"/>
                <w:sz w:val="24"/>
                <w:vertAlign w:val="superscript"/>
              </w:rPr>
              <w:t>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Vigas climáticas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Vigas climáticas pasivas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Vigas climáticas activas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Radiadores dinámicos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Radiadores dinámicos</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Conductos y accesorios de red</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de conducto</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Conductos flexibles</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Conductos rígidos</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Codos y accesorios</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Difusión de aire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r>
              <w:rPr>
                <w:rFonts w:ascii="Times New Roman" w:hAnsi="Times New Roman"/>
                <w:sz w:val="24"/>
                <w:vertAlign w:val="superscript"/>
              </w:rPr>
              <w:t>3</w:t>
            </w:r>
            <w:r>
              <w:rPr>
                <w:rFonts w:ascii="Times New Roman" w:hAnsi="Times New Roman"/>
                <w:sz w:val="24"/>
              </w:rPr>
              <w:t>/h</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dm²</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Terminales pasivos</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Difusores</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Entradas de aire</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Aberturas de extracción e insuflación</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Tratamiento del aire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r>
              <w:rPr>
                <w:rFonts w:ascii="Times New Roman" w:hAnsi="Times New Roman"/>
                <w:sz w:val="24"/>
                <w:vertAlign w:val="superscript"/>
              </w:rPr>
              <w:t>3</w:t>
            </w:r>
            <w:r>
              <w:rPr>
                <w:rFonts w:ascii="Times New Roman" w:hAnsi="Times New Roman"/>
                <w:sz w:val="24"/>
              </w:rPr>
              <w:t>/h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 de tratamiento del aire</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 de doble flujo</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Filtración de aire</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Caja de ventilación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r>
              <w:rPr>
                <w:rFonts w:ascii="Times New Roman" w:hAnsi="Times New Roman"/>
                <w:sz w:val="24"/>
                <w:vertAlign w:val="superscript"/>
              </w:rPr>
              <w:t>3</w:t>
            </w:r>
            <w:r>
              <w:rPr>
                <w:rFonts w:ascii="Times New Roman" w:hAnsi="Times New Roman"/>
                <w:sz w:val="24"/>
              </w:rPr>
              <w:t>/h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VMC de flujo simple</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VMC de flujo doble</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Caja de ventilación</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Refrigeración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 de producción de agua helada</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Torre de refrigeración</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Aerorefrigerantes</w:t>
            </w:r>
            <w:proofErr w:type="spellEnd"/>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Producción local de electricidad</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Generador de electricidad</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Módulos fotovoltaicos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Silicio cristalino (monocristalino o policristalino)</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Capas finas</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Aerogeneradores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Horizontal</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Vertical</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Conversión y regulación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Inversores síncronos</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Inversores autónomos</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Convertidor de CC/CC</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Convertidor de CA/CC</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Regulación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Controlador de carga</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Almacenamiento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Batería electroquímica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Plomo-ácido</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Litio- ion</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Otros</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Supervisión</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Supervisión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Aparatos de supervisión</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Aparatos de iluminación</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Aparatos para iluminación de interiores y fuentes de alimentación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Iluminación empotrada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empotrada interior lineal para iluminación comercial</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empotrada interior no lineal para iluminación comercial</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empotrada interior para iluminación de acento (puntos)</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Iluminación montada en superficie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de techo, accesorios lineales suspendidos interiores para iluminación terciaria o industrial</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Iluminación funcional interior lineal de pared </w:t>
            </w:r>
            <w:r>
              <w:rPr>
                <w:rFonts w:ascii="Times New Roman" w:hAnsi="Times New Roman"/>
                <w:sz w:val="24"/>
              </w:rPr>
              <w:lastRenderedPageBreak/>
              <w:t>montada en superficie</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de techo, iluminación de pared montada en superficie, accesorios decorativos suspendidos interiores</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Ojos de buey interiores</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Tiras de iluminación interior (sin dispositivos ópticos, a diferencia de los productos lineales)</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Focos interiores, montados en pared o en carril o suspendidos, para iluminación con acento</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Accesorios de iluminación interior impermeables</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Barras y tiras flexibles LED (incluida la fuente de alimentación)</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Accesorios suspendidos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Accesorios industriales</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Estructuras continuas en línea para iluminación terciaria o industrial</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Soportes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Rieles de suministro de focos</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Aparatos para iluminación de exteriores y fuentes de alimentación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Focos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Focos para deportes y espacios grandes</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Focos exteriores para iluminación decorativa</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Accesorios de iluminación para alumbrado exterior, distintos de los focos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Accesorios de iluminación para iluminación decorativa</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Accesorios de iluminación para iluminación funcional</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por períodos</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Focos empotrados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Focos exteriores para empotrar en suelos o paredes</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Iluminación empotrada para balizamiento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exterior de balizamiento para empotrar en el suelo o en las paredes</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Postes y columnas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Postes exteriores decorativos</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Columnas luminosas exteriores decorativas</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Accesorios de iluminación impermeables IP &gt; </w:t>
            </w:r>
            <w:r>
              <w:rPr>
                <w:rFonts w:ascii="Times New Roman" w:hAnsi="Times New Roman"/>
                <w:sz w:val="24"/>
              </w:rPr>
              <w:lastRenderedPageBreak/>
              <w:t>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Iluminación de pared montadas en superficie y pórticos impermeables</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Iluminación empotrada sumergible para piscinas o fuentes</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Focos sumergibles para piscinas o fuentes</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Mástiles y soportes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Mástiles</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Palos</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Varios soportes para accesorios de iluminación exterior</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Otros</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Varios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Anexo III</w:t>
      </w:r>
    </w:p>
    <w:p w14:paraId="67517A54" w14:textId="77777777" w:rsidR="00C51AA3" w:rsidRPr="005D260E" w:rsidRDefault="003C68D4" w:rsidP="008837F2">
      <w:pPr>
        <w:pStyle w:val="Titre2FDES"/>
        <w:jc w:val="left"/>
      </w:pPr>
      <w:r>
        <w:t xml:space="preserve">Cálculo de los beneficios y gastos asociados a la valorización al final de su vida útil.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La visualización de un valor positivo indica un gasto neto y un valor negativo indica un beneficio neto.</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En el caso de la valorización de materiales, para un determinado flujo de residuos valorizados (y, por lo tanto, un material lambda concreto), se aplicará la siguiente fórmula: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ChargeNetRecycl</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 xml:space="preserve">)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donde: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MSval</w:t>
      </w:r>
      <w:proofErr w:type="spellEnd"/>
      <w:r>
        <w:rPr>
          <w:rFonts w:ascii="Times New Roman" w:hAnsi="Times New Roman"/>
          <w:sz w:val="24"/>
        </w:rPr>
        <w:t xml:space="preserve"> = masa (kg) de materia secundaria efectivamente recuperada de la masa de las existencias recogidas (componentes lambda del material del flujo «materiales destinados al reciclado»;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IVval</w:t>
      </w:r>
      <w:proofErr w:type="spellEnd"/>
      <w:r>
        <w:rPr>
          <w:rFonts w:ascii="Times New Roman" w:hAnsi="Times New Roman"/>
          <w:sz w:val="24"/>
        </w:rPr>
        <w:t xml:space="preserve"> = inventario de producción (por kg) del material (o de la mezcla) para el que se sustituye la materia secundaria lambda valorizada en el sistema posterior que lo utiliza (no se trata del inventario de producción del producto posterior, sino del inventario de producción que constituye este producto posterior);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ISval</w:t>
      </w:r>
      <w:proofErr w:type="spellEnd"/>
      <w:r>
        <w:rPr>
          <w:rFonts w:ascii="Times New Roman" w:hAnsi="Times New Roman"/>
          <w:sz w:val="24"/>
        </w:rPr>
        <w:t xml:space="preserve"> = inventario de producción (por kg) de materia secundaria listo para su uso en el sistema posterior a partir de las existencias;</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masa (kg) de materia secundaria incorporada al producto objeto de la declaración en la fabricación (componentes lambda del material del flujo «utilización de materia secundaria»;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inventario de producción (por kg) de material virgen utilizado para producir el producto objeto de la declaración, a falta de valorización del material;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inventario de producción (por kg) de materia secundaria listo para su uso para la producción del producto objeto de la declaración.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En el caso de una recuperación de energía, para un determinado flujo de residuos valorizados, se aplicará siguiente la fórmula: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ChargeNetValoNRJ</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PCISval</w:t>
      </w:r>
      <w:proofErr w:type="spellEnd"/>
      <w:r>
        <w:rPr>
          <w:rFonts w:ascii="Times New Roman" w:hAnsi="Times New Roman"/>
          <w:sz w:val="24"/>
        </w:rPr>
        <w:t xml:space="preserve"> x </w:t>
      </w:r>
      <w:proofErr w:type="spellStart"/>
      <w:r>
        <w:rPr>
          <w:rFonts w:ascii="Times New Roman" w:hAnsi="Times New Roman"/>
          <w:sz w:val="24"/>
        </w:rPr>
        <w:t>REval</w:t>
      </w:r>
      <w:proofErr w:type="spellEnd"/>
      <w:r>
        <w:rPr>
          <w:rFonts w:ascii="Times New Roman" w:hAnsi="Times New Roman"/>
          <w:sz w:val="24"/>
        </w:rPr>
        <w:t xml:space="preserve"> x </w:t>
      </w:r>
      <w:proofErr w:type="spellStart"/>
      <w:r>
        <w:rPr>
          <w:rFonts w:ascii="Times New Roman" w:hAnsi="Times New Roman"/>
          <w:sz w:val="24"/>
        </w:rPr>
        <w:t>IVval</w:t>
      </w:r>
      <w:proofErr w:type="spellEnd"/>
      <w:r>
        <w:rPr>
          <w:rFonts w:ascii="Times New Roman" w:hAnsi="Times New Roman"/>
          <w:sz w:val="24"/>
        </w:rPr>
        <w:t xml:space="preserve">),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donde: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MSval</w:t>
      </w:r>
      <w:proofErr w:type="spellEnd"/>
      <w:r>
        <w:rPr>
          <w:rFonts w:ascii="Times New Roman" w:hAnsi="Times New Roman"/>
          <w:sz w:val="24"/>
        </w:rPr>
        <w:t xml:space="preserve"> = masa (en kg) de la materia secundaria efectivamente recuperada de la masa de existencias acumulada (componentes lambda del material de flujo «materiales destinados a la recuperación de energía»;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IVval</w:t>
      </w:r>
      <w:proofErr w:type="spellEnd"/>
      <w:r>
        <w:rPr>
          <w:rFonts w:ascii="Times New Roman" w:hAnsi="Times New Roman"/>
          <w:sz w:val="24"/>
        </w:rPr>
        <w:t xml:space="preserve"> = inventario de producción (por kg) de la energía para el que se sustituye la energía recuperada mediante la recuperación de energía de la materia secundaria en el sistema posterior (es decir, no se trata del inventario de producción del sistema posterior al que contribuirá la materia secundaria, sino del inventario de producción de energía consumida por el sistema posterior, expresado en MJ suministrados);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ISval</w:t>
      </w:r>
      <w:proofErr w:type="spellEnd"/>
      <w:r>
        <w:rPr>
          <w:rFonts w:ascii="Times New Roman" w:hAnsi="Times New Roman"/>
          <w:sz w:val="24"/>
        </w:rPr>
        <w:t xml:space="preserve"> = inventario (por kg) de la recuperación de energía de la materia secundaria procedente de las existencias, para el que el flujo de referencia es la cantidad de materia secundaria valorizada;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PCISval</w:t>
      </w:r>
      <w:proofErr w:type="spellEnd"/>
      <w:r>
        <w:rPr>
          <w:rFonts w:ascii="Times New Roman" w:hAnsi="Times New Roman"/>
          <w:sz w:val="24"/>
        </w:rPr>
        <w:t xml:space="preserve"> = PCI (MJ/kg) de la materia secundaria recuperada;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REval</w:t>
      </w:r>
      <w:proofErr w:type="spellEnd"/>
      <w:r>
        <w:rPr>
          <w:rFonts w:ascii="Times New Roman" w:hAnsi="Times New Roman"/>
          <w:sz w:val="24"/>
        </w:rPr>
        <w:t xml:space="preserve"> = rendimiento energético de la instalación de recuperación de energía de la materia secundaria recuperada;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 beneficio global para el producto declarado se obtendrá como la suma de todos los beneficios calculados para cada uno de los materiales/flujos.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Anexo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Marco para la validez de las declaraciones medioambientales colectivas de los productos</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Homogeneidad</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El análisis de la vida útil implicará una gran cantidad de datos para numerosos escenarios. Algunos datos se recopilarán </w:t>
      </w:r>
      <w:r>
        <w:rPr>
          <w:rFonts w:ascii="Times New Roman" w:hAnsi="Times New Roman"/>
          <w:i/>
          <w:iCs/>
          <w:sz w:val="24"/>
        </w:rPr>
        <w:t>in situ</w:t>
      </w:r>
      <w:r>
        <w:rPr>
          <w:rFonts w:ascii="Times New Roman" w:hAnsi="Times New Roman"/>
          <w:sz w:val="24"/>
        </w:rPr>
        <w:t>, algunos se calcularán y otros se estimarán. Los datos utilizados en un análisis de la vida útil serán, por lo tanto, datos con un cierto nivel de incertidumbre. De este modo, el resultado de un análisis de la vida útil será más o menos sensible a las variaciones de los datos de entrada.</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El artículo 9 de la Orden exige que los impactos medioambientales de los declarantes que utilizan la misma declaración medioambiental colectiva sean homogéneos. Así pues, una declaración medioambiental colectiva abarcará los productos homogéneos desde el punto de vista medioambiental si es posible garantizar que todos los productos cubiertos declaren impactos medioambientales por debajo de un valor límite cuando cumplan el marco de validez asociado a esa declaración medioambiental colectiva.</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Se acepta que esta homogeneidad solo deba demostrarse para determinados indicadores de control.</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En el caso de los indicadores derivados de un análisis de la vida útil, la demostración de la homogeneidad se realizará mediante un estudio de sensibilidad de los parámetros inciertos y los parámetros que varían de un declarante a otro. Se recomienda encarecidamente que este estudio se lleve a cabo en una fase muy temprana del proceso del análisis de la vida útil y que la declaración medioambiental colectiva se base en dicho estudio.</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Estudio de sensibilidad</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Un estudio de sensibilidad del análisis de la vida útil deberá incluir las siguientes etapas:</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selección de los indicadores de control;</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identificación de los parámetros sensibles: estudio de los contribuidores para identificar los parámetros de entrada que más contribuyen a explicar el valor de los indicadores de control (resultados del análisis de la vida útil);</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determinación de los rangos de variación de los parámetros sensibles (límites de intervalo y posiblemente distribución estadística);</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simulaciones parametrizadas basadas en las etapas de las letras b) y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El estudio de sensibilidad podrá ser iterativo. El resultado del estudio de sensibilidad deberá ser:</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a) una lista de factores que influyen en los resultados del análisis de la vida útil (parámetros sensibles) y sus dominios de variación autorizados (esta lista constituye el dominio de la validez);</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para cada indicador de control, un rango de variación probable (intervalo de confianza del 95 %) de los valores de indicadores, obtenidos por las simulaciones parametrizadas.</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Etapa 1: selección de los indicadores de control</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La selección de los indicadores de control deberá ser razonable. Podrán elegirse caso por caso entre los mencionados en el artículo 3 de la Orden. Su selección deberá estar justificada. Deberán estudiarse, como mínimo, los siguientes indicadores:</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calentamiento global,</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utilización de energía primaria no renovable, con exclusión de los recursos energéticos primarios no renovables utilizados como materias primas,</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residuos no peligrosos eliminados.</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Etapa 2: identificación de los parámetros sensibles</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Deberá realizarse un análisis de los parámetros sensibles para cada indicador de control. Con este fin, se propone que, como enfoque inicial, los impactos se dividan en función de los procesos incluidos en la vida útil. Este análisis deberá basarse en el escenario de referencia descrito en el estudio de sensibilidad.</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Se recomienda tener en cuenta todos los procesos con una contribución de aspecto superior al 5 % en el escenario de referencia. A continuación, deberán identificarse los parámetros (entrada o salida del proceso, parámetro interior de modelización del proceso) del modelo de análisis de la vida útil que cambian esta contribución. Estos son los parámetros que se consideran sensibles.</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Al final de este estudio, el declarante tendrá una lista de los procesos que más contribuyen a los indicadores de control a lo largo de toda la vida útil y una lista de parámetros sensibles.</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Etapa 3: determinación de los rangos de variación de los parámetros sensibles</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Esta etapa consiste en definir el rango de variación de cada parámetro sensible. Este rango deberá proponerse, como mínimo, en forma de intervalos. Si se conoce, podrá preverse una ley para la distribución del parámetro en el intervalo definido anteriormente.</w:t>
      </w:r>
      <w:r>
        <w:rPr>
          <w:rFonts w:ascii="Times New Roman" w:hAnsi="Times New Roman"/>
          <w:sz w:val="24"/>
        </w:rPr>
        <w:br/>
        <w:t>Después de esta etapa, cada parámetro sensible se asociará con un rango de variación.</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Etapa 4: cálculo de la variabilidad de los indicadores</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Sobre la base de las etapas 2 y 3, esta etapa consistirá en utilizar un método matemático adecuado para determinar los rangos de variación de los indicadores (valores máximos, valores medios y valores mínimos) al someter el modelo de análisis de la vida útil a variaciones en parámetros sensibles.</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El resultado de la etapa 4 es un conjunto de rangos de valores tomados por cada uno de los indicadores cubiertos por el estudio de sensibilidad.</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El cálculo de la variabilidad de los indicadores cubrirá al menos los parámetros sensibles relacionados con los elementos previstos en el artículo 9 de la presente Orden.</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Las etapas 3 y 4 podrán realizarse por iteración para adaptar el rango de parámetros sensibles a las condiciones de homogeneidad requeridas.</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Informe del estudio de sensibilidad</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El informe deberá incluir los elementos correspondientes a las cuatro etapas del estudio de sensibilidad y el resultado final del estudio de sensibilidad, incluido el dominio de la validez de la declaración medioambiental colectiva y los rangos de variación de los indicadores de control.</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Estudio de sensibilidad y valores medioambientales declarados</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Los resultados del estudio de sensibilidad condicionarán los valores medioambientales comunicados en la declaración medioambiental colectiva, tal como se especifica en el artículo 9 de esta Orden.</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Cuando el valor máximo (o máximo al 95 % de confianza, si se utiliza un enfoque estadístico) del rango de variación de cada indicador del impacto medioambiental sea</w:t>
      </w:r>
      <w:r>
        <w:rPr>
          <w:rFonts w:ascii="Times New Roman" w:hAnsi="Times New Roman"/>
          <w:sz w:val="24"/>
        </w:rPr>
        <w:t xml:space="preserve"> inferior o igual al valor medio del indicador multiplicado por un valor límite (especificado en el artículo 9 de esta Orden)</w:t>
      </w:r>
      <w:r>
        <w:rPr>
          <w:rFonts w:ascii="Times New Roman" w:hAnsi="Times New Roman"/>
          <w:sz w:val="24"/>
          <w:shd w:val="clear" w:color="auto" w:fill="FFFFFF"/>
        </w:rPr>
        <w:t>, los valores de los indicadores del impacto medioambiental declarados se calcularán con los valores medios de los parámetros sensibles.</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En caso contrario, es decir, si al menos uno de los indicadores del impacto medioambiental tiene un valor máximo superior al </w:t>
      </w:r>
      <w:r>
        <w:rPr>
          <w:rFonts w:ascii="Times New Roman" w:hAnsi="Times New Roman"/>
          <w:sz w:val="24"/>
        </w:rPr>
        <w:t xml:space="preserve"> valor medio del indicador multiplicado por un valor límite (especificado en el artículo 9 de esta Orden)</w:t>
      </w:r>
      <w:r>
        <w:rPr>
          <w:rFonts w:ascii="Times New Roman" w:hAnsi="Times New Roman"/>
          <w:sz w:val="24"/>
          <w:shd w:val="clear" w:color="auto" w:fill="FFFFFF"/>
        </w:rPr>
        <w:t>, deberá declararse el límite superior. Este límite superior corresponderá al valor de los indicadores obtenidos cuando se utilizan los valores máximos (o los valores máximos con una probabilidad del 95 %, si se utiliza un enfoque estadístico) de los parámetros sensibles.</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Identificación precisa de los productos objeto de una declaración</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Para determinar si es probable que un producto esté cubierto por una declaración medioambiental colectiva, será necesario determinar si el producto es similar al producto estándar cubierto y si el declarante de dicho producto está autorizado a utilizar esta declaración medioambiental colectiva.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Identificación del producto estándar</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El producto estándar deberá definirse y describirse correctamente para facilitar la conciliación entre la descripción de un producto y la del producto estándar. La descripción del producto estándar deberá incluir, como mínimo, lo siguiente:</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una lista de los principales componentes o los materiales predominantes;</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información sobre la funcionalidad o el nivel de rendimiento.</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Esta identificación deberá ser suficiente para averiguar de manera rápida e inequívoca si un producto concreto puede estar cubierto por la declaración colectiva.</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Identificación de los declarantes que pueden utilizar la declaración medioambiental colectiva</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Dado que la declaración medioambiental colectiva es propiedad y responsabilidad de una colectividad, esta podrá decidir que solo determinados declarantes pueden utilizar la declaración medioambiental colectiva.</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Deberá facilitarse una lista de los declarantes autorizados a utilizar una declaración medioambiental colectiva:</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en forma de una lista exhaustiva de nombres, o</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en forma de condición de pertenencia a una colectividad (asociación, sindicato, signatarios de una carta de buenas prácticas, etc.). En este caso, la lista de miembros de esa colectividad deberá estar a disposición del público.</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Contenido del marco de validez</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El marco de validez contendrá, como mínimo:</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la identificación del producto estándar (obligatorio),</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los productos cubiertos por la declaración medioambiental colectiva,</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la identificación de los declarantes que pueden utilizar la declaración medioambiental colectiva,</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el informe del estudio de sensibilidad, con el rango de validez y la prueba de que los valores declarados de los indicadores son homogéneos.</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Utilización del marco de validez</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Para que un declarante pueda utilizar una declaración medioambiental colectiva para su producto, deberá justificar que:</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su producto es conforme al «producto estándar» objeto de la declaración medioambiental colectiva,</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figura en la lista de declarantes autorizados para la declaración medioambiental colectiva en cuestión,</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cumple el rango de validez de la declaración medioambiental colectiva en cuestión.</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620F" w14:textId="77777777" w:rsidR="00EC6619" w:rsidRDefault="00EC6619" w:rsidP="00F76954">
      <w:pPr>
        <w:spacing w:after="0" w:line="240" w:lineRule="auto"/>
      </w:pPr>
      <w:r>
        <w:separator/>
      </w:r>
    </w:p>
  </w:endnote>
  <w:endnote w:type="continuationSeparator" w:id="0">
    <w:p w14:paraId="68047C7C" w14:textId="77777777" w:rsidR="00EC6619" w:rsidRDefault="00EC6619"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Página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de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DA46" w14:textId="77777777" w:rsidR="00EC6619" w:rsidRDefault="00EC6619" w:rsidP="00F76954">
      <w:pPr>
        <w:spacing w:after="0" w:line="240" w:lineRule="auto"/>
      </w:pPr>
      <w:r>
        <w:separator/>
      </w:r>
    </w:p>
  </w:footnote>
  <w:footnote w:type="continuationSeparator" w:id="0">
    <w:p w14:paraId="056460B2" w14:textId="77777777" w:rsidR="00EC6619" w:rsidRDefault="00EC6619"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9"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0"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3"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6"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0"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1"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4"/>
  </w:num>
  <w:num w:numId="6">
    <w:abstractNumId w:val="56"/>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6"/>
  </w:num>
  <w:num w:numId="14">
    <w:abstractNumId w:val="17"/>
  </w:num>
  <w:num w:numId="15">
    <w:abstractNumId w:val="66"/>
  </w:num>
  <w:num w:numId="16">
    <w:abstractNumId w:val="26"/>
  </w:num>
  <w:num w:numId="17">
    <w:abstractNumId w:val="47"/>
  </w:num>
  <w:num w:numId="18">
    <w:abstractNumId w:val="29"/>
  </w:num>
  <w:num w:numId="19">
    <w:abstractNumId w:val="30"/>
  </w:num>
  <w:num w:numId="20">
    <w:abstractNumId w:val="37"/>
  </w:num>
  <w:num w:numId="21">
    <w:abstractNumId w:val="12"/>
  </w:num>
  <w:num w:numId="22">
    <w:abstractNumId w:val="43"/>
  </w:num>
  <w:num w:numId="23">
    <w:abstractNumId w:val="23"/>
  </w:num>
  <w:num w:numId="24">
    <w:abstractNumId w:val="39"/>
  </w:num>
  <w:num w:numId="25">
    <w:abstractNumId w:val="63"/>
  </w:num>
  <w:num w:numId="26">
    <w:abstractNumId w:val="65"/>
  </w:num>
  <w:num w:numId="27">
    <w:abstractNumId w:val="50"/>
  </w:num>
  <w:num w:numId="28">
    <w:abstractNumId w:val="57"/>
  </w:num>
  <w:num w:numId="29">
    <w:abstractNumId w:val="9"/>
  </w:num>
  <w:num w:numId="30">
    <w:abstractNumId w:val="45"/>
  </w:num>
  <w:num w:numId="31">
    <w:abstractNumId w:val="42"/>
  </w:num>
  <w:num w:numId="32">
    <w:abstractNumId w:val="59"/>
  </w:num>
  <w:num w:numId="33">
    <w:abstractNumId w:val="52"/>
  </w:num>
  <w:num w:numId="34">
    <w:abstractNumId w:val="55"/>
  </w:num>
  <w:num w:numId="35">
    <w:abstractNumId w:val="31"/>
  </w:num>
  <w:num w:numId="36">
    <w:abstractNumId w:val="13"/>
  </w:num>
  <w:num w:numId="37">
    <w:abstractNumId w:val="48"/>
  </w:num>
  <w:num w:numId="38">
    <w:abstractNumId w:val="11"/>
  </w:num>
  <w:num w:numId="39">
    <w:abstractNumId w:val="60"/>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0"/>
  </w:num>
  <w:num w:numId="51">
    <w:abstractNumId w:val="62"/>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49"/>
  </w:num>
  <w:num w:numId="59">
    <w:abstractNumId w:val="20"/>
  </w:num>
  <w:num w:numId="60">
    <w:abstractNumId w:val="10"/>
  </w:num>
  <w:num w:numId="61">
    <w:abstractNumId w:val="41"/>
  </w:num>
  <w:num w:numId="62">
    <w:abstractNumId w:val="16"/>
  </w:num>
  <w:num w:numId="63">
    <w:abstractNumId w:val="24"/>
  </w:num>
  <w:num w:numId="64">
    <w:abstractNumId w:val="16"/>
  </w:num>
  <w:num w:numId="65">
    <w:abstractNumId w:val="61"/>
  </w:num>
  <w:num w:numId="66">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8"/>
  </w:num>
  <w:num w:numId="69">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1"/>
  </w:num>
  <w:num w:numId="72">
    <w:abstractNumId w:val="64"/>
  </w:num>
  <w:num w:numId="73">
    <w:abstractNumId w:val="53"/>
  </w:num>
  <w:num w:numId="74">
    <w:abstractNumId w:val="21"/>
  </w:num>
  <w:num w:numId="75">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15F8"/>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6619"/>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es-ES"/>
    </w:rPr>
  </w:style>
  <w:style w:type="character" w:styleId="FootnoteReference">
    <w:name w:val="footnote reference"/>
    <w:uiPriority w:val="99"/>
    <w:semiHidden/>
    <w:rsid w:val="003D011E"/>
    <w:rPr>
      <w:noProof/>
      <w:position w:val="6"/>
      <w:sz w:val="18"/>
      <w:vertAlign w:val="baseline"/>
      <w:lang w:val="es-ES"/>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es-ES"/>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es-ES"/>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es-ES"/>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es-ES"/>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es-ES"/>
    </w:rPr>
  </w:style>
  <w:style w:type="character" w:styleId="PageNumber">
    <w:name w:val="page number"/>
    <w:uiPriority w:val="99"/>
    <w:rsid w:val="003D011E"/>
    <w:rPr>
      <w:noProof/>
      <w:lang w:val="es-ES"/>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es-ES"/>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7998</Words>
  <Characters>45591</Characters>
  <Application>Microsoft Office Word</Application>
  <DocSecurity>0</DocSecurity>
  <Lines>379</Lines>
  <Paragraphs>106</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Dimitra Loupi</cp:lastModifiedBy>
  <cp:revision>15</cp:revision>
  <dcterms:created xsi:type="dcterms:W3CDTF">2021-04-28T07:24:00Z</dcterms:created>
  <dcterms:modified xsi:type="dcterms:W3CDTF">2021-05-12T13:33:00Z</dcterms:modified>
</cp:coreProperties>
</file>