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545" w:rsidRDefault="00D90545" w:rsidP="00D90545">
      <w:pPr>
        <w:jc w:val="center"/>
        <w:rPr>
          <w:rFonts w:ascii="Calibri" w:eastAsia="Calibri" w:hAnsi="Calibri" w:cs="Times New Roman"/>
          <w:b/>
          <w:sz w:val="32"/>
          <w:szCs w:val="32"/>
        </w:rPr>
      </w:pPr>
    </w:p>
    <w:p w:rsidR="00D90545" w:rsidRPr="00D90545" w:rsidRDefault="00D90545" w:rsidP="00D90545">
      <w:pPr>
        <w:jc w:val="center"/>
        <w:rPr>
          <w:rFonts w:ascii="Lato" w:eastAsia="Calibri" w:hAnsi="Lato" w:cs="Arial"/>
          <w:b/>
          <w:sz w:val="40"/>
          <w:szCs w:val="40"/>
        </w:rPr>
      </w:pPr>
      <w:r w:rsidRPr="00D90545">
        <w:rPr>
          <w:rFonts w:ascii="Lato" w:eastAsia="Calibri" w:hAnsi="Lato" w:cs="Arial"/>
          <w:b/>
          <w:sz w:val="40"/>
          <w:szCs w:val="40"/>
        </w:rPr>
        <w:t>Regulatory Impact Analysis (RIA)</w:t>
      </w:r>
    </w:p>
    <w:p w:rsidR="00D90545" w:rsidRPr="00D90545" w:rsidRDefault="00D90545" w:rsidP="00D90545">
      <w:pPr>
        <w:jc w:val="center"/>
        <w:rPr>
          <w:rFonts w:ascii="Lato" w:eastAsia="Calibri" w:hAnsi="Lato" w:cs="Arial"/>
          <w:b/>
          <w:sz w:val="40"/>
          <w:szCs w:val="40"/>
        </w:rPr>
      </w:pPr>
    </w:p>
    <w:p w:rsidR="00D90545" w:rsidRPr="00D90545" w:rsidRDefault="00D90545" w:rsidP="00D90545">
      <w:pPr>
        <w:jc w:val="center"/>
        <w:rPr>
          <w:rFonts w:ascii="Lato" w:eastAsia="Calibri" w:hAnsi="Lato" w:cs="Arial"/>
          <w:b/>
          <w:sz w:val="40"/>
          <w:szCs w:val="40"/>
        </w:rPr>
      </w:pPr>
    </w:p>
    <w:p w:rsidR="00D90545" w:rsidRPr="00D90545" w:rsidRDefault="00D90545" w:rsidP="00D90545">
      <w:pPr>
        <w:jc w:val="center"/>
        <w:rPr>
          <w:rFonts w:ascii="Lato" w:eastAsia="Calibri" w:hAnsi="Lato" w:cs="Arial"/>
          <w:b/>
          <w:sz w:val="40"/>
          <w:szCs w:val="40"/>
        </w:rPr>
      </w:pPr>
      <w:r w:rsidRPr="00D90545">
        <w:rPr>
          <w:rFonts w:ascii="Lato" w:eastAsia="Calibri" w:hAnsi="Lato" w:cs="Arial"/>
          <w:b/>
          <w:sz w:val="40"/>
          <w:szCs w:val="40"/>
        </w:rPr>
        <w:t>Transposition of Article 8 of Directive 2014/61/EU</w:t>
      </w:r>
    </w:p>
    <w:p w:rsidR="00D90545" w:rsidRPr="00D90545" w:rsidRDefault="00D90545" w:rsidP="00D90545">
      <w:pPr>
        <w:jc w:val="center"/>
        <w:rPr>
          <w:rFonts w:ascii="Lato" w:eastAsia="Calibri" w:hAnsi="Lato" w:cs="Arial"/>
          <w:b/>
          <w:sz w:val="40"/>
          <w:szCs w:val="40"/>
        </w:rPr>
      </w:pPr>
      <w:r w:rsidRPr="00D90545">
        <w:rPr>
          <w:rFonts w:ascii="Lato" w:eastAsia="Calibri" w:hAnsi="Lato" w:cs="Arial"/>
          <w:b/>
          <w:sz w:val="40"/>
          <w:szCs w:val="40"/>
        </w:rPr>
        <w:t>via</w:t>
      </w:r>
    </w:p>
    <w:p w:rsidR="00D90545" w:rsidRDefault="00D90545" w:rsidP="00D90545">
      <w:pPr>
        <w:spacing w:before="100" w:beforeAutospacing="1" w:after="100" w:afterAutospacing="1"/>
        <w:ind w:left="74" w:right="465"/>
        <w:jc w:val="center"/>
        <w:rPr>
          <w:rFonts w:ascii="Lato" w:eastAsia="Times New Roman" w:hAnsi="Lato" w:cs="Times New Roman"/>
          <w:b/>
          <w:sz w:val="40"/>
          <w:szCs w:val="40"/>
          <w:lang w:val="en-US"/>
        </w:rPr>
        <w:sectPr w:rsidR="00D90545">
          <w:footerReference w:type="default" r:id="rId13"/>
          <w:pgSz w:w="11906" w:h="16838"/>
          <w:pgMar w:top="1440" w:right="1440" w:bottom="1440" w:left="1440" w:header="708" w:footer="708" w:gutter="0"/>
          <w:cols w:space="708"/>
          <w:docGrid w:linePitch="360"/>
        </w:sectPr>
      </w:pPr>
      <w:r w:rsidRPr="00D90545">
        <w:rPr>
          <w:rFonts w:ascii="Lato" w:eastAsia="Times New Roman" w:hAnsi="Lato" w:cs="Times New Roman"/>
          <w:b/>
          <w:sz w:val="40"/>
          <w:szCs w:val="40"/>
          <w:lang w:val="en-US"/>
        </w:rPr>
        <w:t xml:space="preserve">European Union (In-Building </w:t>
      </w:r>
      <w:r w:rsidRPr="00D90545">
        <w:rPr>
          <w:rFonts w:ascii="Lato" w:hAnsi="Lato" w:cs="Arial"/>
          <w:b/>
          <w:sz w:val="40"/>
          <w:szCs w:val="40"/>
          <w:lang w:val="en-US"/>
        </w:rPr>
        <w:t>Physical Infrastructure for High-Speed Electronic Communications) Regulations</w:t>
      </w:r>
      <w:r w:rsidRPr="00D90545">
        <w:rPr>
          <w:rFonts w:ascii="Lato" w:eastAsia="Times New Roman" w:hAnsi="Lato" w:cs="Times New Roman"/>
          <w:b/>
          <w:sz w:val="40"/>
          <w:szCs w:val="40"/>
          <w:lang w:val="en-US"/>
        </w:rPr>
        <w:t xml:space="preserve"> 2023</w:t>
      </w:r>
    </w:p>
    <w:p w:rsidR="00D90545" w:rsidRDefault="00D90545" w:rsidP="00390CB0">
      <w:pPr>
        <w:spacing w:before="100" w:beforeAutospacing="1" w:after="100" w:afterAutospacing="1"/>
        <w:ind w:left="74" w:right="465"/>
        <w:rPr>
          <w:rFonts w:ascii="Lato" w:eastAsia="Times New Roman" w:hAnsi="Lato" w:cs="Times New Roman"/>
          <w:b/>
          <w:sz w:val="40"/>
          <w:szCs w:val="40"/>
          <w:lang w:val="en-US"/>
        </w:rPr>
      </w:pPr>
      <w:r>
        <w:rPr>
          <w:rFonts w:ascii="Lato" w:eastAsia="Times New Roman" w:hAnsi="Lato" w:cs="Times New Roman"/>
          <w:b/>
          <w:sz w:val="40"/>
          <w:szCs w:val="40"/>
          <w:lang w:val="en-US"/>
        </w:rPr>
        <w:t>Contents</w:t>
      </w:r>
    </w:p>
    <w:tbl>
      <w:tblPr>
        <w:tblStyle w:val="TableGrid"/>
        <w:tblW w:w="0" w:type="auto"/>
        <w:tblInd w:w="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
        <w:gridCol w:w="6918"/>
        <w:gridCol w:w="1163"/>
      </w:tblGrid>
      <w:tr w:rsidR="00D90545" w:rsidRPr="00636F2E" w:rsidTr="00115778">
        <w:tc>
          <w:tcPr>
            <w:tcW w:w="861" w:type="dxa"/>
          </w:tcPr>
          <w:p w:rsidR="00D90545" w:rsidRPr="00636F2E" w:rsidRDefault="00D90545" w:rsidP="00D90545">
            <w:pPr>
              <w:spacing w:before="100" w:beforeAutospacing="1" w:after="100" w:afterAutospacing="1"/>
              <w:ind w:right="465"/>
              <w:rPr>
                <w:rFonts w:ascii="Lato" w:eastAsia="Times New Roman" w:hAnsi="Lato" w:cs="Times New Roman"/>
                <w:lang w:val="en-US"/>
              </w:rPr>
            </w:pPr>
          </w:p>
        </w:tc>
        <w:tc>
          <w:tcPr>
            <w:tcW w:w="6918" w:type="dxa"/>
          </w:tcPr>
          <w:p w:rsidR="00D90545" w:rsidRPr="00636F2E" w:rsidRDefault="00D90545" w:rsidP="00D90545">
            <w:pPr>
              <w:spacing w:before="100" w:beforeAutospacing="1" w:after="100" w:afterAutospacing="1"/>
              <w:ind w:right="465"/>
              <w:rPr>
                <w:rFonts w:ascii="Lato" w:eastAsia="Times New Roman" w:hAnsi="Lato" w:cs="Times New Roman"/>
                <w:lang w:val="en-US"/>
              </w:rPr>
            </w:pPr>
          </w:p>
        </w:tc>
        <w:tc>
          <w:tcPr>
            <w:tcW w:w="1163" w:type="dxa"/>
          </w:tcPr>
          <w:p w:rsidR="00D90545" w:rsidRPr="00636F2E" w:rsidRDefault="00D90545" w:rsidP="00115778">
            <w:pPr>
              <w:spacing w:before="100" w:beforeAutospacing="1" w:after="100" w:afterAutospacing="1"/>
              <w:ind w:right="465"/>
              <w:jc w:val="right"/>
              <w:rPr>
                <w:rFonts w:ascii="Lato" w:eastAsia="Times New Roman" w:hAnsi="Lato" w:cs="Times New Roman"/>
                <w:b/>
                <w:lang w:val="en-US"/>
              </w:rPr>
            </w:pPr>
            <w:r w:rsidRPr="00636F2E">
              <w:rPr>
                <w:rFonts w:ascii="Lato" w:eastAsia="Times New Roman" w:hAnsi="Lato" w:cs="Times New Roman"/>
                <w:b/>
                <w:lang w:val="en-US"/>
              </w:rPr>
              <w:t>Page</w:t>
            </w:r>
          </w:p>
        </w:tc>
      </w:tr>
      <w:tr w:rsidR="00D90545" w:rsidRPr="00636F2E" w:rsidTr="00115778">
        <w:tc>
          <w:tcPr>
            <w:tcW w:w="861" w:type="dxa"/>
          </w:tcPr>
          <w:p w:rsidR="00D90545" w:rsidRPr="00636F2E" w:rsidRDefault="00D90545" w:rsidP="00636F2E">
            <w:pPr>
              <w:spacing w:before="100" w:beforeAutospacing="1" w:after="100" w:afterAutospacing="1" w:line="240" w:lineRule="auto"/>
              <w:ind w:right="465"/>
              <w:rPr>
                <w:rFonts w:ascii="Lato" w:eastAsia="Times New Roman" w:hAnsi="Lato" w:cs="Times New Roman"/>
                <w:lang w:val="en-US"/>
              </w:rPr>
            </w:pPr>
            <w:r w:rsidRPr="00636F2E">
              <w:rPr>
                <w:rFonts w:ascii="Lato" w:eastAsia="Times New Roman" w:hAnsi="Lato" w:cs="Times New Roman"/>
                <w:lang w:val="en-US"/>
              </w:rPr>
              <w:t>1.</w:t>
            </w:r>
          </w:p>
        </w:tc>
        <w:tc>
          <w:tcPr>
            <w:tcW w:w="6918" w:type="dxa"/>
          </w:tcPr>
          <w:p w:rsidR="00D90545" w:rsidRPr="00636F2E" w:rsidRDefault="00D90545" w:rsidP="00636F2E">
            <w:pPr>
              <w:spacing w:before="100" w:beforeAutospacing="1" w:after="100" w:afterAutospacing="1" w:line="240" w:lineRule="auto"/>
              <w:ind w:right="465"/>
              <w:rPr>
                <w:rFonts w:ascii="Lato" w:eastAsia="Times New Roman" w:hAnsi="Lato" w:cs="Times New Roman"/>
                <w:lang w:val="en-US"/>
              </w:rPr>
            </w:pPr>
            <w:r w:rsidRPr="00636F2E">
              <w:rPr>
                <w:rFonts w:ascii="Lato" w:eastAsia="Times New Roman" w:hAnsi="Lato" w:cs="Times New Roman"/>
                <w:lang w:val="en-US"/>
              </w:rPr>
              <w:t>Introduction</w:t>
            </w:r>
          </w:p>
        </w:tc>
        <w:tc>
          <w:tcPr>
            <w:tcW w:w="1163" w:type="dxa"/>
          </w:tcPr>
          <w:p w:rsidR="00D90545" w:rsidRPr="00636F2E" w:rsidRDefault="004E56C1" w:rsidP="00CA46D2">
            <w:pPr>
              <w:spacing w:line="240" w:lineRule="auto"/>
              <w:jc w:val="center"/>
              <w:rPr>
                <w:rFonts w:ascii="Lato" w:eastAsia="Times New Roman" w:hAnsi="Lato" w:cs="Times New Roman"/>
                <w:lang w:val="en-US"/>
              </w:rPr>
            </w:pPr>
            <w:r>
              <w:rPr>
                <w:rFonts w:ascii="Lato" w:hAnsi="Lato"/>
              </w:rPr>
              <w:t>1</w:t>
            </w:r>
          </w:p>
        </w:tc>
      </w:tr>
      <w:tr w:rsidR="00251D58" w:rsidRPr="00636F2E" w:rsidTr="00115778">
        <w:tc>
          <w:tcPr>
            <w:tcW w:w="861"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eastAsia="Times New Roman" w:hAnsi="Lato" w:cs="Times New Roman"/>
                <w:lang w:val="en-US"/>
              </w:rPr>
              <w:t>2.</w:t>
            </w:r>
          </w:p>
        </w:tc>
        <w:tc>
          <w:tcPr>
            <w:tcW w:w="6918"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hAnsi="Lato" w:cs="Arial"/>
              </w:rPr>
              <w:t>Overview of Directive 2014/61/EU</w:t>
            </w:r>
          </w:p>
        </w:tc>
        <w:tc>
          <w:tcPr>
            <w:tcW w:w="1163" w:type="dxa"/>
          </w:tcPr>
          <w:p w:rsidR="00251D58" w:rsidRPr="00636F2E" w:rsidRDefault="004E56C1" w:rsidP="00CA46D2">
            <w:pPr>
              <w:spacing w:line="240" w:lineRule="auto"/>
              <w:jc w:val="center"/>
              <w:rPr>
                <w:rFonts w:ascii="Lato" w:hAnsi="Lato"/>
              </w:rPr>
            </w:pPr>
            <w:r>
              <w:rPr>
                <w:rFonts w:ascii="Lato" w:eastAsia="Times New Roman" w:hAnsi="Lato" w:cs="Times New Roman"/>
                <w:lang w:val="en-US"/>
              </w:rPr>
              <w:t>1</w:t>
            </w:r>
          </w:p>
        </w:tc>
      </w:tr>
      <w:tr w:rsidR="00251D58" w:rsidRPr="00636F2E" w:rsidTr="00115778">
        <w:tc>
          <w:tcPr>
            <w:tcW w:w="861"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eastAsia="Times New Roman" w:hAnsi="Lato" w:cs="Times New Roman"/>
                <w:lang w:val="en-US"/>
              </w:rPr>
              <w:t>3.</w:t>
            </w:r>
          </w:p>
        </w:tc>
        <w:tc>
          <w:tcPr>
            <w:tcW w:w="6918"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hAnsi="Lato" w:cs="Arial"/>
              </w:rPr>
              <w:t>Regulatory Context</w:t>
            </w:r>
          </w:p>
        </w:tc>
        <w:tc>
          <w:tcPr>
            <w:tcW w:w="1163" w:type="dxa"/>
          </w:tcPr>
          <w:p w:rsidR="00251D58" w:rsidRPr="00636F2E" w:rsidRDefault="004E56C1" w:rsidP="00CA46D2">
            <w:pPr>
              <w:spacing w:line="240" w:lineRule="auto"/>
              <w:jc w:val="center"/>
              <w:rPr>
                <w:rFonts w:ascii="Lato" w:hAnsi="Lato"/>
              </w:rPr>
            </w:pPr>
            <w:r>
              <w:rPr>
                <w:rFonts w:ascii="Lato" w:eastAsia="Times New Roman" w:hAnsi="Lato" w:cs="Times New Roman"/>
                <w:lang w:val="en-US"/>
              </w:rPr>
              <w:t>2</w:t>
            </w:r>
          </w:p>
        </w:tc>
      </w:tr>
      <w:tr w:rsidR="00251D58" w:rsidRPr="00636F2E" w:rsidTr="00115778">
        <w:tc>
          <w:tcPr>
            <w:tcW w:w="861"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eastAsia="Times New Roman" w:hAnsi="Lato" w:cs="Times New Roman"/>
                <w:lang w:val="en-US"/>
              </w:rPr>
              <w:t>4.</w:t>
            </w:r>
          </w:p>
        </w:tc>
        <w:tc>
          <w:tcPr>
            <w:tcW w:w="6918"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hAnsi="Lato" w:cs="Arial"/>
              </w:rPr>
              <w:t>Impact of proposals</w:t>
            </w:r>
          </w:p>
        </w:tc>
        <w:tc>
          <w:tcPr>
            <w:tcW w:w="1163" w:type="dxa"/>
          </w:tcPr>
          <w:p w:rsidR="00251D58" w:rsidRPr="00636F2E" w:rsidRDefault="004E56C1" w:rsidP="00CA46D2">
            <w:pPr>
              <w:spacing w:line="240" w:lineRule="auto"/>
              <w:jc w:val="center"/>
              <w:rPr>
                <w:rFonts w:ascii="Lato" w:hAnsi="Lato"/>
              </w:rPr>
            </w:pPr>
            <w:r>
              <w:rPr>
                <w:rFonts w:ascii="Lato" w:eastAsia="Times New Roman" w:hAnsi="Lato" w:cs="Times New Roman"/>
                <w:lang w:val="en-US"/>
              </w:rPr>
              <w:t>2</w:t>
            </w:r>
          </w:p>
        </w:tc>
      </w:tr>
      <w:tr w:rsidR="00251D58" w:rsidRPr="00636F2E" w:rsidTr="00115778">
        <w:tc>
          <w:tcPr>
            <w:tcW w:w="861"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eastAsia="Times New Roman" w:hAnsi="Lato" w:cs="Times New Roman"/>
                <w:lang w:val="en-US"/>
              </w:rPr>
              <w:t>5.</w:t>
            </w:r>
          </w:p>
        </w:tc>
        <w:tc>
          <w:tcPr>
            <w:tcW w:w="6918" w:type="dxa"/>
          </w:tcPr>
          <w:p w:rsidR="00251D58" w:rsidRPr="00636F2E" w:rsidRDefault="004E56C1" w:rsidP="00636F2E">
            <w:pPr>
              <w:spacing w:before="100" w:beforeAutospacing="1" w:after="100" w:afterAutospacing="1" w:line="240" w:lineRule="auto"/>
              <w:ind w:right="465"/>
              <w:rPr>
                <w:rFonts w:ascii="Lato" w:eastAsia="Times New Roman" w:hAnsi="Lato" w:cs="Times New Roman"/>
                <w:lang w:val="en-US"/>
              </w:rPr>
            </w:pPr>
            <w:r>
              <w:rPr>
                <w:rFonts w:ascii="Lato" w:hAnsi="Lato" w:cs="Arial"/>
              </w:rPr>
              <w:t>Other Impacts</w:t>
            </w:r>
          </w:p>
        </w:tc>
        <w:tc>
          <w:tcPr>
            <w:tcW w:w="1163" w:type="dxa"/>
          </w:tcPr>
          <w:p w:rsidR="00251D58" w:rsidRPr="00636F2E" w:rsidRDefault="004E56C1" w:rsidP="00CA46D2">
            <w:pPr>
              <w:spacing w:line="240" w:lineRule="auto"/>
              <w:jc w:val="center"/>
              <w:rPr>
                <w:rFonts w:ascii="Lato" w:hAnsi="Lato"/>
              </w:rPr>
            </w:pPr>
            <w:r>
              <w:rPr>
                <w:rFonts w:ascii="Lato" w:eastAsia="Times New Roman" w:hAnsi="Lato" w:cs="Times New Roman"/>
                <w:lang w:val="en-US"/>
              </w:rPr>
              <w:t>3</w:t>
            </w:r>
          </w:p>
        </w:tc>
      </w:tr>
      <w:tr w:rsidR="00251D58" w:rsidRPr="00636F2E" w:rsidTr="00115778">
        <w:tc>
          <w:tcPr>
            <w:tcW w:w="861"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eastAsia="Times New Roman" w:hAnsi="Lato" w:cs="Times New Roman"/>
                <w:lang w:val="en-US"/>
              </w:rPr>
              <w:t>6.</w:t>
            </w:r>
          </w:p>
        </w:tc>
        <w:tc>
          <w:tcPr>
            <w:tcW w:w="6918" w:type="dxa"/>
          </w:tcPr>
          <w:p w:rsidR="00251D58" w:rsidRPr="00636F2E" w:rsidRDefault="004E56C1" w:rsidP="00636F2E">
            <w:pPr>
              <w:spacing w:before="100" w:beforeAutospacing="1" w:after="100" w:afterAutospacing="1" w:line="240" w:lineRule="auto"/>
              <w:ind w:right="465"/>
              <w:rPr>
                <w:rFonts w:ascii="Lato" w:eastAsia="Times New Roman" w:hAnsi="Lato" w:cs="Times New Roman"/>
                <w:lang w:val="en-US"/>
              </w:rPr>
            </w:pPr>
            <w:r>
              <w:rPr>
                <w:rFonts w:ascii="Lato" w:hAnsi="Lato" w:cs="Arial"/>
              </w:rPr>
              <w:t>Policy Options</w:t>
            </w:r>
          </w:p>
        </w:tc>
        <w:tc>
          <w:tcPr>
            <w:tcW w:w="1163" w:type="dxa"/>
          </w:tcPr>
          <w:p w:rsidR="00251D58" w:rsidRPr="00636F2E" w:rsidRDefault="004E56C1" w:rsidP="00CA46D2">
            <w:pPr>
              <w:spacing w:line="240" w:lineRule="auto"/>
              <w:jc w:val="center"/>
              <w:rPr>
                <w:rFonts w:ascii="Lato" w:hAnsi="Lato"/>
              </w:rPr>
            </w:pPr>
            <w:r>
              <w:rPr>
                <w:rFonts w:ascii="Lato" w:eastAsia="Times New Roman" w:hAnsi="Lato" w:cs="Times New Roman"/>
                <w:lang w:val="en-US"/>
              </w:rPr>
              <w:t>4</w:t>
            </w:r>
          </w:p>
        </w:tc>
      </w:tr>
      <w:tr w:rsidR="00251D58" w:rsidRPr="00636F2E" w:rsidTr="00115778">
        <w:tc>
          <w:tcPr>
            <w:tcW w:w="861" w:type="dxa"/>
          </w:tcPr>
          <w:p w:rsidR="00251D58" w:rsidRPr="00636F2E" w:rsidRDefault="00251D58" w:rsidP="00636F2E">
            <w:pPr>
              <w:spacing w:before="100" w:beforeAutospacing="1" w:after="100" w:afterAutospacing="1" w:line="240" w:lineRule="auto"/>
              <w:ind w:right="465"/>
              <w:rPr>
                <w:rFonts w:ascii="Lato" w:eastAsia="Times New Roman" w:hAnsi="Lato" w:cs="Times New Roman"/>
                <w:lang w:val="en-US"/>
              </w:rPr>
            </w:pPr>
            <w:r w:rsidRPr="00636F2E">
              <w:rPr>
                <w:rFonts w:ascii="Lato" w:eastAsia="Times New Roman" w:hAnsi="Lato" w:cs="Times New Roman"/>
                <w:lang w:val="en-US"/>
              </w:rPr>
              <w:t>7.</w:t>
            </w:r>
          </w:p>
        </w:tc>
        <w:tc>
          <w:tcPr>
            <w:tcW w:w="6918" w:type="dxa"/>
          </w:tcPr>
          <w:p w:rsidR="00251D58" w:rsidRPr="00636F2E" w:rsidRDefault="004E56C1" w:rsidP="00636F2E">
            <w:pPr>
              <w:spacing w:before="100" w:beforeAutospacing="1" w:after="100" w:afterAutospacing="1" w:line="240" w:lineRule="auto"/>
              <w:ind w:right="465"/>
              <w:rPr>
                <w:rFonts w:ascii="Lato" w:eastAsia="Times New Roman" w:hAnsi="Lato" w:cs="Times New Roman"/>
                <w:lang w:val="en-US"/>
              </w:rPr>
            </w:pPr>
            <w:r>
              <w:rPr>
                <w:rFonts w:ascii="Lato" w:hAnsi="Lato" w:cs="Arial"/>
              </w:rPr>
              <w:t xml:space="preserve">Benefits and Costs </w:t>
            </w:r>
            <w:r w:rsidR="00251D58" w:rsidRPr="00636F2E">
              <w:rPr>
                <w:rFonts w:ascii="Lato" w:hAnsi="Lato" w:cs="Arial"/>
              </w:rPr>
              <w:tab/>
            </w:r>
          </w:p>
        </w:tc>
        <w:tc>
          <w:tcPr>
            <w:tcW w:w="1163" w:type="dxa"/>
          </w:tcPr>
          <w:p w:rsidR="00251D58" w:rsidRPr="00636F2E" w:rsidRDefault="004E56C1" w:rsidP="00CA46D2">
            <w:pPr>
              <w:spacing w:line="240" w:lineRule="auto"/>
              <w:jc w:val="center"/>
              <w:rPr>
                <w:rFonts w:ascii="Lato" w:hAnsi="Lato"/>
              </w:rPr>
            </w:pPr>
            <w:r>
              <w:rPr>
                <w:rFonts w:ascii="Lato" w:eastAsia="Times New Roman" w:hAnsi="Lato" w:cs="Times New Roman"/>
                <w:lang w:val="en-US"/>
              </w:rPr>
              <w:t>5</w:t>
            </w:r>
          </w:p>
        </w:tc>
      </w:tr>
      <w:tr w:rsidR="004E56C1" w:rsidRPr="00636F2E" w:rsidTr="00115778">
        <w:tc>
          <w:tcPr>
            <w:tcW w:w="861" w:type="dxa"/>
          </w:tcPr>
          <w:p w:rsidR="004E56C1" w:rsidRPr="00636F2E" w:rsidRDefault="004E56C1" w:rsidP="00636F2E">
            <w:pPr>
              <w:spacing w:before="100" w:beforeAutospacing="1" w:after="100" w:afterAutospacing="1" w:line="240" w:lineRule="auto"/>
              <w:ind w:right="465"/>
              <w:rPr>
                <w:rFonts w:ascii="Lato" w:eastAsia="Times New Roman" w:hAnsi="Lato" w:cs="Times New Roman"/>
                <w:lang w:val="en-US"/>
              </w:rPr>
            </w:pPr>
            <w:r>
              <w:rPr>
                <w:rFonts w:ascii="Lato" w:eastAsia="Times New Roman" w:hAnsi="Lato" w:cs="Times New Roman"/>
                <w:lang w:val="en-US"/>
              </w:rPr>
              <w:t>8.</w:t>
            </w:r>
          </w:p>
        </w:tc>
        <w:tc>
          <w:tcPr>
            <w:tcW w:w="6918" w:type="dxa"/>
          </w:tcPr>
          <w:p w:rsidR="004E56C1" w:rsidRDefault="004E56C1" w:rsidP="00636F2E">
            <w:pPr>
              <w:spacing w:before="100" w:beforeAutospacing="1" w:after="100" w:afterAutospacing="1" w:line="240" w:lineRule="auto"/>
              <w:ind w:right="465"/>
              <w:rPr>
                <w:rFonts w:ascii="Lato" w:hAnsi="Lato" w:cs="Arial"/>
              </w:rPr>
            </w:pPr>
            <w:r>
              <w:rPr>
                <w:rFonts w:ascii="Lato" w:hAnsi="Lato" w:cs="Arial"/>
              </w:rPr>
              <w:t>Recommendation</w:t>
            </w:r>
          </w:p>
        </w:tc>
        <w:tc>
          <w:tcPr>
            <w:tcW w:w="1163" w:type="dxa"/>
          </w:tcPr>
          <w:p w:rsidR="004E56C1" w:rsidRDefault="00260C68" w:rsidP="00CA46D2">
            <w:pPr>
              <w:spacing w:line="240" w:lineRule="auto"/>
              <w:jc w:val="center"/>
              <w:rPr>
                <w:rFonts w:ascii="Lato" w:eastAsia="Times New Roman" w:hAnsi="Lato" w:cs="Times New Roman"/>
                <w:lang w:val="en-US"/>
              </w:rPr>
            </w:pPr>
            <w:r>
              <w:rPr>
                <w:rFonts w:ascii="Lato" w:eastAsia="Times New Roman" w:hAnsi="Lato" w:cs="Times New Roman"/>
                <w:lang w:val="en-US"/>
              </w:rPr>
              <w:t>7</w:t>
            </w:r>
          </w:p>
        </w:tc>
      </w:tr>
    </w:tbl>
    <w:p w:rsidR="00D90545" w:rsidRDefault="00D90545" w:rsidP="00D90545">
      <w:pPr>
        <w:spacing w:before="100" w:beforeAutospacing="1" w:after="100" w:afterAutospacing="1"/>
        <w:ind w:left="74" w:right="465"/>
        <w:rPr>
          <w:rFonts w:ascii="Lato" w:eastAsia="Times New Roman" w:hAnsi="Lato" w:cs="Times New Roman"/>
          <w:b/>
          <w:sz w:val="40"/>
          <w:szCs w:val="40"/>
          <w:lang w:val="en-US"/>
        </w:rPr>
      </w:pPr>
    </w:p>
    <w:p w:rsidR="008F5A6F" w:rsidRDefault="008F5A6F" w:rsidP="00D90545">
      <w:pPr>
        <w:spacing w:before="100" w:beforeAutospacing="1" w:after="100" w:afterAutospacing="1"/>
        <w:ind w:left="74" w:right="465"/>
        <w:jc w:val="center"/>
        <w:rPr>
          <w:rFonts w:ascii="Lato" w:eastAsia="Times New Roman" w:hAnsi="Lato" w:cs="Times New Roman"/>
          <w:b/>
          <w:sz w:val="40"/>
          <w:szCs w:val="40"/>
          <w:lang w:val="en-US"/>
        </w:rPr>
        <w:sectPr w:rsidR="008F5A6F">
          <w:pgSz w:w="11906" w:h="16838"/>
          <w:pgMar w:top="1440" w:right="1440" w:bottom="1440" w:left="1440" w:header="708" w:footer="708" w:gutter="0"/>
          <w:cols w:space="708"/>
          <w:docGrid w:linePitch="360"/>
        </w:sectPr>
      </w:pPr>
    </w:p>
    <w:p w:rsidR="00D90545" w:rsidRPr="008F5A6F" w:rsidRDefault="008F5A6F" w:rsidP="008F5A6F">
      <w:pPr>
        <w:pStyle w:val="ListParagraph"/>
        <w:numPr>
          <w:ilvl w:val="0"/>
          <w:numId w:val="1"/>
        </w:numPr>
        <w:spacing w:before="100" w:beforeAutospacing="1" w:after="100" w:afterAutospacing="1"/>
        <w:ind w:right="465"/>
        <w:rPr>
          <w:rFonts w:ascii="Lato" w:eastAsia="Times New Roman" w:hAnsi="Lato" w:cs="Times New Roman"/>
          <w:b/>
          <w:sz w:val="24"/>
          <w:szCs w:val="24"/>
          <w:lang w:val="en-US"/>
        </w:rPr>
      </w:pPr>
      <w:r w:rsidRPr="008F5A6F">
        <w:rPr>
          <w:rFonts w:ascii="Lato" w:eastAsia="Times New Roman" w:hAnsi="Lato" w:cs="Times New Roman"/>
          <w:b/>
          <w:sz w:val="24"/>
          <w:szCs w:val="24"/>
          <w:lang w:val="en-US"/>
        </w:rPr>
        <w:t xml:space="preserve">Introduction </w:t>
      </w:r>
    </w:p>
    <w:p w:rsidR="008F5A6F" w:rsidRDefault="00107D6D" w:rsidP="00DA0919">
      <w:pPr>
        <w:rPr>
          <w:rFonts w:ascii="Lato" w:hAnsi="Lato" w:cs="Arial"/>
        </w:rPr>
      </w:pPr>
      <w:r>
        <w:rPr>
          <w:rFonts w:ascii="Lato" w:hAnsi="Lato" w:cs="Arial"/>
        </w:rPr>
        <w:t xml:space="preserve">This Regulation proposes </w:t>
      </w:r>
      <w:r w:rsidR="008F5A6F">
        <w:rPr>
          <w:rFonts w:ascii="Lato" w:hAnsi="Lato" w:cs="Arial"/>
        </w:rPr>
        <w:t>to</w:t>
      </w:r>
      <w:r w:rsidR="008F5A6F" w:rsidRPr="008F5A6F">
        <w:rPr>
          <w:rFonts w:ascii="Lato" w:hAnsi="Lato" w:cs="Arial"/>
        </w:rPr>
        <w:t xml:space="preserve"> transpose Article</w:t>
      </w:r>
      <w:r w:rsidR="002B0F9C">
        <w:rPr>
          <w:rFonts w:ascii="Lato" w:hAnsi="Lato" w:cs="Arial"/>
        </w:rPr>
        <w:t>s</w:t>
      </w:r>
      <w:r w:rsidR="008F5A6F" w:rsidRPr="008F5A6F">
        <w:rPr>
          <w:rFonts w:ascii="Lato" w:hAnsi="Lato" w:cs="Arial"/>
        </w:rPr>
        <w:t xml:space="preserve"> 8</w:t>
      </w:r>
      <w:r w:rsidR="002B0F9C">
        <w:rPr>
          <w:rFonts w:ascii="Lato" w:hAnsi="Lato" w:cs="Arial"/>
        </w:rPr>
        <w:t>(1) and 8(2)</w:t>
      </w:r>
      <w:r w:rsidR="008F5A6F" w:rsidRPr="008F5A6F">
        <w:rPr>
          <w:rFonts w:ascii="Lato" w:hAnsi="Lato" w:cs="Arial"/>
        </w:rPr>
        <w:t xml:space="preserve"> of </w:t>
      </w:r>
      <w:r w:rsidR="008F5A6F" w:rsidRPr="002F5471">
        <w:rPr>
          <w:rFonts w:ascii="Lato" w:hAnsi="Lato" w:cs="Arial"/>
          <w:i/>
        </w:rPr>
        <w:t>‘Directive 2014/61/EU OF THE EUROPEAN PARLIAMENT AND OF THE COUNCIL of 15 May 2014 on measures to reduce the cost of deploying high-speed electronic communications networks’</w:t>
      </w:r>
      <w:r w:rsidR="008F5A6F" w:rsidRPr="008F5A6F">
        <w:rPr>
          <w:rStyle w:val="FootnoteReference"/>
          <w:rFonts w:ascii="Lato" w:hAnsi="Lato" w:cs="Arial"/>
          <w:i/>
        </w:rPr>
        <w:footnoteReference w:id="1"/>
      </w:r>
      <w:r w:rsidR="008F5A6F" w:rsidRPr="008F5A6F">
        <w:rPr>
          <w:rFonts w:ascii="Lato" w:hAnsi="Lato" w:cs="Arial"/>
        </w:rPr>
        <w:t>.</w:t>
      </w:r>
    </w:p>
    <w:p w:rsidR="00DD2877" w:rsidRDefault="00DD2877" w:rsidP="00DD2877">
      <w:pPr>
        <w:rPr>
          <w:rFonts w:ascii="Lato" w:hAnsi="Lato" w:cs="Arial"/>
        </w:rPr>
      </w:pPr>
      <w:r w:rsidRPr="00DD2877">
        <w:rPr>
          <w:rFonts w:ascii="Lato" w:hAnsi="Lato" w:cs="Arial"/>
        </w:rPr>
        <w:t>Article</w:t>
      </w:r>
      <w:r w:rsidR="002B0F9C">
        <w:rPr>
          <w:rFonts w:ascii="Lato" w:hAnsi="Lato" w:cs="Arial"/>
        </w:rPr>
        <w:t>s</w:t>
      </w:r>
      <w:r w:rsidRPr="00DD2877">
        <w:rPr>
          <w:rFonts w:ascii="Lato" w:hAnsi="Lato" w:cs="Arial"/>
        </w:rPr>
        <w:t xml:space="preserve"> 8</w:t>
      </w:r>
      <w:r w:rsidR="002B0F9C">
        <w:rPr>
          <w:rFonts w:ascii="Lato" w:hAnsi="Lato" w:cs="Arial"/>
        </w:rPr>
        <w:t>(1) and 8(2)</w:t>
      </w:r>
      <w:r w:rsidRPr="00DD2877">
        <w:rPr>
          <w:rFonts w:ascii="Lato" w:hAnsi="Lato" w:cs="Arial"/>
        </w:rPr>
        <w:t xml:space="preserve"> of </w:t>
      </w:r>
      <w:r w:rsidRPr="00DD2877">
        <w:rPr>
          <w:rFonts w:ascii="Lato" w:hAnsi="Lato" w:cs="Arial"/>
          <w:i/>
        </w:rPr>
        <w:t xml:space="preserve">Directive 2014/61/EU </w:t>
      </w:r>
      <w:r w:rsidRPr="00DD2877">
        <w:rPr>
          <w:rFonts w:ascii="Lato" w:hAnsi="Lato" w:cs="Arial"/>
        </w:rPr>
        <w:t xml:space="preserve">require Member States to ensure that new buildings and </w:t>
      </w:r>
      <w:r>
        <w:rPr>
          <w:rFonts w:ascii="Lato" w:hAnsi="Lato" w:cs="Arial"/>
        </w:rPr>
        <w:t>buil</w:t>
      </w:r>
      <w:r w:rsidRPr="00DD2877">
        <w:rPr>
          <w:rFonts w:ascii="Lato" w:hAnsi="Lato" w:cs="Arial"/>
        </w:rPr>
        <w:t>d</w:t>
      </w:r>
      <w:r>
        <w:rPr>
          <w:rFonts w:ascii="Lato" w:hAnsi="Lato" w:cs="Arial"/>
        </w:rPr>
        <w:t>i</w:t>
      </w:r>
      <w:r w:rsidRPr="00DD2877">
        <w:rPr>
          <w:rFonts w:ascii="Lato" w:hAnsi="Lato" w:cs="Arial"/>
        </w:rPr>
        <w:t xml:space="preserve">ngs undergoing major renovation works </w:t>
      </w:r>
      <w:r w:rsidRPr="00DD2877">
        <w:rPr>
          <w:rFonts w:ascii="Lato" w:hAnsi="Lato"/>
        </w:rPr>
        <w:t xml:space="preserve">(‘major renovation works’ as defined by </w:t>
      </w:r>
      <w:r w:rsidRPr="00B53A20">
        <w:rPr>
          <w:rFonts w:ascii="Lato" w:hAnsi="Lato" w:cs="Arial"/>
          <w:i/>
        </w:rPr>
        <w:t>Directive 2014/61/EU</w:t>
      </w:r>
      <w:r w:rsidRPr="00DD2877">
        <w:rPr>
          <w:rFonts w:ascii="Lato" w:hAnsi="Lato" w:cs="Arial"/>
        </w:rPr>
        <w:t xml:space="preserve">) are </w:t>
      </w:r>
      <w:r>
        <w:rPr>
          <w:rFonts w:ascii="Lato" w:hAnsi="Lato" w:cs="Arial"/>
        </w:rPr>
        <w:t xml:space="preserve">equipped </w:t>
      </w:r>
      <w:r w:rsidRPr="00DD2877">
        <w:rPr>
          <w:rFonts w:ascii="Lato" w:hAnsi="Lato" w:cs="Arial"/>
        </w:rPr>
        <w:t xml:space="preserve">with </w:t>
      </w:r>
      <w:r>
        <w:rPr>
          <w:rFonts w:ascii="Lato" w:hAnsi="Lato" w:cs="Arial"/>
        </w:rPr>
        <w:t>a high-speed-ready</w:t>
      </w:r>
      <w:r w:rsidRPr="00DD2877">
        <w:rPr>
          <w:rFonts w:ascii="Lato" w:hAnsi="Lato" w:cs="Arial"/>
        </w:rPr>
        <w:t xml:space="preserve"> in-building </w:t>
      </w:r>
      <w:r>
        <w:rPr>
          <w:rFonts w:ascii="Lato" w:hAnsi="Lato" w:cs="Arial"/>
        </w:rPr>
        <w:t xml:space="preserve">physical </w:t>
      </w:r>
      <w:r w:rsidRPr="00DD2877">
        <w:rPr>
          <w:rFonts w:ascii="Lato" w:hAnsi="Lato" w:cs="Arial"/>
        </w:rPr>
        <w:t>infrastructure to facilitate the future installation of cables or wireless devices capable of delivering broadband speeds greater than 30 Mbps</w:t>
      </w:r>
      <w:r>
        <w:rPr>
          <w:rFonts w:ascii="Lato" w:hAnsi="Lato" w:cs="Arial"/>
        </w:rPr>
        <w:t>.</w:t>
      </w:r>
    </w:p>
    <w:p w:rsidR="00F30498" w:rsidRDefault="00DD2877" w:rsidP="00F30498">
      <w:pPr>
        <w:rPr>
          <w:rFonts w:ascii="Lato" w:hAnsi="Lato" w:cs="Arial"/>
        </w:rPr>
      </w:pPr>
      <w:r w:rsidRPr="00DD2877">
        <w:rPr>
          <w:rFonts w:ascii="Lato" w:hAnsi="Lato" w:cs="Arial"/>
        </w:rPr>
        <w:t>The purpose of this RIA is to consider in detail the impacts, costs and benefits of the proposed introduction of</w:t>
      </w:r>
      <w:r>
        <w:rPr>
          <w:rFonts w:ascii="Lato" w:hAnsi="Lato" w:cs="Arial"/>
        </w:rPr>
        <w:t xml:space="preserve"> the </w:t>
      </w:r>
      <w:r w:rsidRPr="00DD2877">
        <w:rPr>
          <w:rFonts w:ascii="Lato" w:hAnsi="Lato" w:cs="Arial"/>
        </w:rPr>
        <w:t>European Union (In-Building Physical Infrastructure for High-Speed Electronic Communications) Regulations 2023</w:t>
      </w:r>
      <w:r>
        <w:rPr>
          <w:rFonts w:ascii="Lato" w:hAnsi="Lato" w:cs="Arial"/>
        </w:rPr>
        <w:t>.</w:t>
      </w:r>
    </w:p>
    <w:p w:rsidR="00474737" w:rsidRDefault="00F30498">
      <w:pPr>
        <w:rPr>
          <w:rFonts w:ascii="Lato" w:hAnsi="Lato" w:cs="Arial"/>
        </w:rPr>
      </w:pPr>
      <w:r w:rsidRPr="00F30498">
        <w:rPr>
          <w:rFonts w:ascii="Lato" w:hAnsi="Lato" w:cs="Arial"/>
        </w:rPr>
        <w:t xml:space="preserve">This RIA, together with draft copies of the proposed </w:t>
      </w:r>
      <w:r w:rsidRPr="00DD2877">
        <w:rPr>
          <w:rFonts w:ascii="Lato" w:hAnsi="Lato" w:cs="Arial"/>
        </w:rPr>
        <w:t>European Union (In-Building Physical Infrastructure for High-Speed Electronic Communications) Regulations 2023</w:t>
      </w:r>
      <w:r>
        <w:rPr>
          <w:rFonts w:ascii="Lato" w:hAnsi="Lato" w:cs="Arial"/>
        </w:rPr>
        <w:t xml:space="preserve"> </w:t>
      </w:r>
      <w:r w:rsidRPr="00F30498">
        <w:rPr>
          <w:rFonts w:ascii="Lato" w:hAnsi="Lato" w:cs="Arial"/>
        </w:rPr>
        <w:t xml:space="preserve">and </w:t>
      </w:r>
      <w:r w:rsidR="00C957E9">
        <w:rPr>
          <w:rFonts w:ascii="Lato" w:hAnsi="Lato" w:cs="Arial"/>
        </w:rPr>
        <w:t>associated Technical Guidance</w:t>
      </w:r>
      <w:r w:rsidRPr="00F30498">
        <w:rPr>
          <w:rFonts w:ascii="Lato" w:hAnsi="Lato" w:cs="Arial"/>
        </w:rPr>
        <w:t xml:space="preserve">, will form the basis for a comprehensive </w:t>
      </w:r>
      <w:r w:rsidR="00107D6D">
        <w:rPr>
          <w:rFonts w:ascii="Lato" w:hAnsi="Lato" w:cs="Arial"/>
        </w:rPr>
        <w:t xml:space="preserve">six week </w:t>
      </w:r>
      <w:r w:rsidRPr="00F30498">
        <w:rPr>
          <w:rFonts w:ascii="Lato" w:hAnsi="Lato" w:cs="Arial"/>
        </w:rPr>
        <w:t xml:space="preserve">public consultation process. It is intended that this process, taking due account of submissions received, will enable the Department to recommend a final set of regulations to the Minister for Housing, Local Government </w:t>
      </w:r>
      <w:r w:rsidR="00C957E9">
        <w:rPr>
          <w:rFonts w:ascii="Lato" w:hAnsi="Lato" w:cs="Arial"/>
        </w:rPr>
        <w:t>and Heritage for signature in Q</w:t>
      </w:r>
      <w:r w:rsidRPr="00F30498">
        <w:rPr>
          <w:rFonts w:ascii="Lato" w:hAnsi="Lato" w:cs="Arial"/>
        </w:rPr>
        <w:t>2 of</w:t>
      </w:r>
      <w:r w:rsidR="00C957E9" w:rsidRPr="009E0FC2">
        <w:rPr>
          <w:rFonts w:ascii="Lato" w:hAnsi="Lato" w:cs="Arial"/>
        </w:rPr>
        <w:t xml:space="preserve"> 2023</w:t>
      </w:r>
      <w:r w:rsidRPr="009E0FC2">
        <w:rPr>
          <w:rFonts w:ascii="Lato" w:hAnsi="Lato" w:cs="Arial"/>
        </w:rPr>
        <w:t>.</w:t>
      </w:r>
    </w:p>
    <w:p w:rsidR="009E0FC2" w:rsidRDefault="009E0FC2">
      <w:pPr>
        <w:rPr>
          <w:rFonts w:ascii="Lato" w:hAnsi="Lato" w:cs="Arial"/>
        </w:rPr>
      </w:pPr>
    </w:p>
    <w:p w:rsidR="009E0FC2" w:rsidRDefault="009E0FC2" w:rsidP="009E0FC2">
      <w:pPr>
        <w:pStyle w:val="ListParagraph"/>
        <w:numPr>
          <w:ilvl w:val="0"/>
          <w:numId w:val="1"/>
        </w:numPr>
        <w:spacing w:before="100" w:beforeAutospacing="1" w:after="100" w:afterAutospacing="1"/>
        <w:ind w:right="465"/>
        <w:rPr>
          <w:rFonts w:ascii="Lato" w:eastAsia="Times New Roman" w:hAnsi="Lato" w:cs="Times New Roman"/>
          <w:b/>
          <w:sz w:val="24"/>
          <w:szCs w:val="24"/>
          <w:lang w:val="en-US"/>
        </w:rPr>
      </w:pPr>
      <w:r w:rsidRPr="009E0FC2">
        <w:rPr>
          <w:rFonts w:ascii="Lato" w:eastAsia="Times New Roman" w:hAnsi="Lato" w:cs="Times New Roman"/>
          <w:b/>
          <w:sz w:val="24"/>
          <w:szCs w:val="24"/>
          <w:lang w:val="en-US"/>
        </w:rPr>
        <w:t>Overview of Directive 2014/61/EU</w:t>
      </w:r>
    </w:p>
    <w:p w:rsidR="00F73F3E" w:rsidRPr="004A7DA5" w:rsidRDefault="003B3A17" w:rsidP="00F73F3E">
      <w:pPr>
        <w:rPr>
          <w:rFonts w:ascii="Lato" w:hAnsi="Lato" w:cs="Arial"/>
          <w:strike/>
        </w:rPr>
      </w:pPr>
      <w:r w:rsidRPr="003B3A17">
        <w:rPr>
          <w:rFonts w:ascii="Lato" w:hAnsi="Lato" w:cs="Arial"/>
          <w:i/>
        </w:rPr>
        <w:t>‘Directive 2014/61/EU OF THE EUROPEAN PARLIAMENT AND OF THE COUNCIL of 15 May 2014 on measures to reduce the cost of deploying high-speed electronic communications networks’</w:t>
      </w:r>
      <w:r w:rsidRPr="003B3A17">
        <w:rPr>
          <w:rFonts w:ascii="Lato" w:hAnsi="Lato" w:cs="Arial"/>
        </w:rPr>
        <w:t xml:space="preserve"> requires that</w:t>
      </w:r>
      <w:r w:rsidR="00E102A0">
        <w:rPr>
          <w:rFonts w:ascii="Lato" w:hAnsi="Lato" w:cs="Arial"/>
        </w:rPr>
        <w:t xml:space="preserve"> its</w:t>
      </w:r>
      <w:r w:rsidRPr="003B3A17">
        <w:rPr>
          <w:rFonts w:ascii="Lato" w:hAnsi="Lato" w:cs="Arial"/>
        </w:rPr>
        <w:t xml:space="preserve"> provisions </w:t>
      </w:r>
      <w:r w:rsidR="00E102A0">
        <w:rPr>
          <w:rFonts w:ascii="Lato" w:hAnsi="Lato" w:cs="Arial"/>
        </w:rPr>
        <w:t xml:space="preserve">are </w:t>
      </w:r>
      <w:r w:rsidRPr="003B3A17">
        <w:rPr>
          <w:rFonts w:ascii="Lato" w:hAnsi="Lato" w:cs="Arial"/>
        </w:rPr>
        <w:t>implemented in</w:t>
      </w:r>
      <w:r w:rsidR="00E102A0">
        <w:rPr>
          <w:rFonts w:ascii="Lato" w:hAnsi="Lato" w:cs="Arial"/>
        </w:rPr>
        <w:t>to</w:t>
      </w:r>
      <w:r w:rsidRPr="003B3A17">
        <w:rPr>
          <w:rFonts w:ascii="Lato" w:hAnsi="Lato" w:cs="Arial"/>
        </w:rPr>
        <w:t xml:space="preserve"> national law</w:t>
      </w:r>
      <w:r w:rsidR="00107D6D">
        <w:rPr>
          <w:rFonts w:ascii="Lato" w:hAnsi="Lato" w:cs="Arial"/>
        </w:rPr>
        <w:t>.</w:t>
      </w:r>
      <w:r w:rsidR="00F84CAC">
        <w:rPr>
          <w:rFonts w:ascii="Lato" w:hAnsi="Lato" w:cs="Arial"/>
        </w:rPr>
        <w:t xml:space="preserve"> </w:t>
      </w:r>
      <w:r w:rsidRPr="003B3A17">
        <w:rPr>
          <w:rFonts w:ascii="Lato" w:hAnsi="Lato" w:cs="Arial"/>
        </w:rPr>
        <w:t xml:space="preserve">For the purpose of the Directive, high-speed electronic communications network means an electronic communication network which is capable of delivering broadband access services at speeds </w:t>
      </w:r>
      <w:r w:rsidRPr="00291429">
        <w:rPr>
          <w:rFonts w:ascii="Lato" w:hAnsi="Lato" w:cs="Arial"/>
        </w:rPr>
        <w:t>of at least 30 Mbps.</w:t>
      </w:r>
    </w:p>
    <w:p w:rsidR="00F1195C" w:rsidRDefault="00F55E8A" w:rsidP="00F55E8A">
      <w:pPr>
        <w:rPr>
          <w:rFonts w:ascii="Lato" w:eastAsia="Calibri" w:hAnsi="Lato" w:cs="Arial"/>
        </w:rPr>
      </w:pPr>
      <w:r w:rsidRPr="004A7DA5">
        <w:rPr>
          <w:rFonts w:ascii="Lato" w:hAnsi="Lato" w:cs="Arial"/>
          <w:b/>
          <w:i/>
        </w:rPr>
        <w:t xml:space="preserve">Directive 2014/61/EU </w:t>
      </w:r>
      <w:r w:rsidRPr="004A7DA5">
        <w:rPr>
          <w:rFonts w:ascii="Lato" w:hAnsi="Lato" w:cs="Arial"/>
          <w:b/>
        </w:rPr>
        <w:t>has already been transposed into Irish law</w:t>
      </w:r>
      <w:r w:rsidRPr="004A7DA5">
        <w:rPr>
          <w:rStyle w:val="FootnoteReference"/>
          <w:rFonts w:ascii="Lato" w:hAnsi="Lato" w:cs="Arial"/>
          <w:b/>
        </w:rPr>
        <w:footnoteReference w:id="2"/>
      </w:r>
      <w:r w:rsidRPr="004A7DA5">
        <w:rPr>
          <w:rFonts w:ascii="Lato" w:hAnsi="Lato" w:cs="Arial"/>
          <w:b/>
        </w:rPr>
        <w:t>, with the exception of Article</w:t>
      </w:r>
      <w:r w:rsidR="00F84CAC">
        <w:rPr>
          <w:rFonts w:ascii="Lato" w:hAnsi="Lato" w:cs="Arial"/>
          <w:b/>
        </w:rPr>
        <w:t>s</w:t>
      </w:r>
      <w:r w:rsidRPr="004A7DA5">
        <w:rPr>
          <w:rFonts w:ascii="Lato" w:hAnsi="Lato" w:cs="Arial"/>
          <w:b/>
        </w:rPr>
        <w:t xml:space="preserve"> 8</w:t>
      </w:r>
      <w:r w:rsidR="00291429">
        <w:rPr>
          <w:rFonts w:ascii="Lato" w:hAnsi="Lato" w:cs="Arial"/>
          <w:b/>
        </w:rPr>
        <w:t>(1) and 8(2)</w:t>
      </w:r>
      <w:r w:rsidRPr="004A7DA5">
        <w:rPr>
          <w:rFonts w:ascii="Lato" w:hAnsi="Lato" w:cs="Arial"/>
          <w:b/>
        </w:rPr>
        <w:t>. The transposition of Article</w:t>
      </w:r>
      <w:r w:rsidR="00BA5007">
        <w:rPr>
          <w:rFonts w:ascii="Lato" w:hAnsi="Lato" w:cs="Arial"/>
          <w:b/>
        </w:rPr>
        <w:t>s</w:t>
      </w:r>
      <w:r w:rsidRPr="004A7DA5">
        <w:rPr>
          <w:rFonts w:ascii="Lato" w:hAnsi="Lato" w:cs="Arial"/>
          <w:b/>
        </w:rPr>
        <w:t xml:space="preserve"> 8</w:t>
      </w:r>
      <w:r w:rsidR="00F84CAC">
        <w:rPr>
          <w:rFonts w:ascii="Lato" w:hAnsi="Lato" w:cs="Arial"/>
          <w:b/>
        </w:rPr>
        <w:t>(1) and 8(2)</w:t>
      </w:r>
      <w:r w:rsidRPr="004A7DA5">
        <w:rPr>
          <w:rFonts w:ascii="Lato" w:hAnsi="Lato" w:cs="Arial"/>
          <w:b/>
        </w:rPr>
        <w:t xml:space="preserve"> is a requirement under EU law and is an integral component of the </w:t>
      </w:r>
      <w:r w:rsidRPr="004A7DA5">
        <w:rPr>
          <w:rFonts w:ascii="Lato" w:eastAsia="Calibri" w:hAnsi="Lato" w:cs="Arial"/>
          <w:b/>
          <w:lang w:val="ga-IE"/>
        </w:rPr>
        <w:t>EU’s Digital Single Market strategy</w:t>
      </w:r>
      <w:r w:rsidR="00F1195C" w:rsidRPr="004A7DA5">
        <w:rPr>
          <w:rFonts w:ascii="Lato" w:eastAsia="Calibri" w:hAnsi="Lato" w:cs="Arial"/>
          <w:b/>
        </w:rPr>
        <w:t xml:space="preserve">. </w:t>
      </w:r>
      <w:r w:rsidRPr="004A7DA5">
        <w:rPr>
          <w:rFonts w:ascii="Lato" w:eastAsia="Calibri" w:hAnsi="Lato" w:cs="Arial"/>
          <w:b/>
        </w:rPr>
        <w:t>See link</w:t>
      </w:r>
      <w:r w:rsidR="00F1195C" w:rsidRPr="004A7DA5">
        <w:rPr>
          <w:rFonts w:ascii="Lato" w:eastAsia="Calibri" w:hAnsi="Lato" w:cs="Arial"/>
          <w:b/>
        </w:rPr>
        <w:t xml:space="preserve"> below</w:t>
      </w:r>
      <w:r w:rsidRPr="00F55E8A">
        <w:rPr>
          <w:rFonts w:ascii="Lato" w:eastAsia="Calibri" w:hAnsi="Lato" w:cs="Arial"/>
        </w:rPr>
        <w:t xml:space="preserve">: </w:t>
      </w:r>
    </w:p>
    <w:p w:rsidR="00F55E8A" w:rsidRDefault="00BE2E52" w:rsidP="00F55E8A">
      <w:pPr>
        <w:rPr>
          <w:rFonts w:ascii="Lato" w:eastAsia="Calibri" w:hAnsi="Lato" w:cs="Arial"/>
        </w:rPr>
      </w:pPr>
      <w:hyperlink r:id="rId14" w:history="1">
        <w:r w:rsidR="00F55E8A" w:rsidRPr="00F55E8A">
          <w:rPr>
            <w:rFonts w:ascii="Lato" w:eastAsia="Calibri" w:hAnsi="Lato" w:cs="Arial"/>
            <w:color w:val="0000FF"/>
            <w:u w:val="single"/>
            <w:lang w:val="ga-IE"/>
          </w:rPr>
          <w:t>https://ec.europa.eu/commission/priorities/digital-single-market_en</w:t>
        </w:r>
      </w:hyperlink>
    </w:p>
    <w:p w:rsidR="00FE7E4F" w:rsidRPr="004A7DA5" w:rsidRDefault="00FE7E4F" w:rsidP="00F55E8A">
      <w:pPr>
        <w:rPr>
          <w:rFonts w:ascii="Lato" w:eastAsia="Calibri" w:hAnsi="Lato" w:cs="Arial"/>
          <w:strike/>
        </w:rPr>
      </w:pPr>
    </w:p>
    <w:p w:rsidR="001B2A8E" w:rsidRPr="00291429" w:rsidRDefault="00F13662" w:rsidP="004A7DA5">
      <w:pPr>
        <w:rPr>
          <w:rFonts w:ascii="Lato" w:hAnsi="Lato" w:cs="Arial"/>
        </w:rPr>
      </w:pPr>
      <w:r w:rsidRPr="00291429">
        <w:rPr>
          <w:rFonts w:ascii="Lato" w:hAnsi="Lato" w:cs="Arial"/>
        </w:rPr>
        <w:t>Article</w:t>
      </w:r>
      <w:r w:rsidR="00291429">
        <w:rPr>
          <w:rFonts w:ascii="Lato" w:hAnsi="Lato" w:cs="Arial"/>
        </w:rPr>
        <w:t>s</w:t>
      </w:r>
      <w:r w:rsidRPr="00291429">
        <w:rPr>
          <w:rFonts w:ascii="Lato" w:hAnsi="Lato" w:cs="Arial"/>
        </w:rPr>
        <w:t xml:space="preserve"> 8</w:t>
      </w:r>
      <w:r w:rsidR="00291429">
        <w:rPr>
          <w:rFonts w:ascii="Lato" w:hAnsi="Lato" w:cs="Arial"/>
        </w:rPr>
        <w:t>(1) and 8(2)</w:t>
      </w:r>
      <w:r w:rsidRPr="00291429">
        <w:rPr>
          <w:rFonts w:ascii="Lato" w:hAnsi="Lato" w:cs="Arial"/>
        </w:rPr>
        <w:t xml:space="preserve"> of </w:t>
      </w:r>
      <w:r w:rsidRPr="00291429">
        <w:rPr>
          <w:rFonts w:ascii="Lato" w:hAnsi="Lato" w:cs="Arial"/>
          <w:i/>
        </w:rPr>
        <w:t>Directive 2014/61/EU</w:t>
      </w:r>
      <w:r w:rsidRPr="00291429">
        <w:rPr>
          <w:rFonts w:ascii="Lato" w:hAnsi="Lato" w:cs="Arial"/>
        </w:rPr>
        <w:t xml:space="preserve"> oblige Member States to ensure that all newly constructed buildings and buildings undergoing major renovation works, for which applications for building permits have been submitted, are equipped with high-speed-ready in-building physical infrastructure.</w:t>
      </w:r>
    </w:p>
    <w:p w:rsidR="001B2A8E" w:rsidRPr="00291429" w:rsidRDefault="001B2A8E" w:rsidP="001B2A8E">
      <w:pPr>
        <w:ind w:left="74"/>
        <w:rPr>
          <w:rFonts w:ascii="Lato" w:hAnsi="Lato" w:cs="Arial"/>
        </w:rPr>
      </w:pPr>
    </w:p>
    <w:p w:rsidR="00DE2F3B" w:rsidRPr="00291429" w:rsidRDefault="00DE2F3B" w:rsidP="00DA0919">
      <w:pPr>
        <w:rPr>
          <w:rFonts w:ascii="Lato" w:hAnsi="Lato" w:cs="Arial"/>
        </w:rPr>
      </w:pPr>
      <w:r w:rsidRPr="00291429">
        <w:rPr>
          <w:rFonts w:ascii="Lato" w:hAnsi="Lato" w:cs="Arial"/>
        </w:rPr>
        <w:t>Article</w:t>
      </w:r>
      <w:r w:rsidR="00291429">
        <w:rPr>
          <w:rFonts w:ascii="Lato" w:hAnsi="Lato" w:cs="Arial"/>
        </w:rPr>
        <w:t>s</w:t>
      </w:r>
      <w:r w:rsidRPr="00291429">
        <w:rPr>
          <w:rFonts w:ascii="Lato" w:hAnsi="Lato" w:cs="Arial"/>
        </w:rPr>
        <w:t xml:space="preserve"> 8</w:t>
      </w:r>
      <w:r w:rsidR="00291429">
        <w:rPr>
          <w:rFonts w:ascii="Lato" w:hAnsi="Lato" w:cs="Arial"/>
        </w:rPr>
        <w:t>(1) and 8(2)</w:t>
      </w:r>
      <w:r w:rsidRPr="00291429">
        <w:rPr>
          <w:rFonts w:ascii="Lato" w:hAnsi="Lato" w:cs="Arial"/>
        </w:rPr>
        <w:t xml:space="preserve"> provide</w:t>
      </w:r>
      <w:r w:rsidR="00147EBE" w:rsidRPr="00291429">
        <w:rPr>
          <w:rFonts w:ascii="Lato" w:hAnsi="Lato" w:cs="Arial"/>
        </w:rPr>
        <w:t xml:space="preserve"> that</w:t>
      </w:r>
      <w:r w:rsidRPr="00291429">
        <w:rPr>
          <w:rFonts w:ascii="Lato" w:hAnsi="Lato" w:cs="Arial"/>
        </w:rPr>
        <w:t>:</w:t>
      </w:r>
    </w:p>
    <w:p w:rsidR="00DE2F3B" w:rsidRPr="00291429" w:rsidRDefault="00B53A20" w:rsidP="00DE2F3B">
      <w:pPr>
        <w:ind w:left="720"/>
        <w:rPr>
          <w:rFonts w:ascii="Lato" w:hAnsi="Lato" w:cs="Arial"/>
        </w:rPr>
      </w:pPr>
      <w:r>
        <w:rPr>
          <w:rFonts w:ascii="Lato" w:hAnsi="Lato" w:cs="Arial"/>
        </w:rPr>
        <w:t>Article 8(</w:t>
      </w:r>
      <w:r w:rsidR="00DE2F3B" w:rsidRPr="00291429">
        <w:rPr>
          <w:rFonts w:ascii="Lato" w:hAnsi="Lato" w:cs="Arial"/>
        </w:rPr>
        <w:t>1</w:t>
      </w:r>
      <w:r>
        <w:rPr>
          <w:rFonts w:ascii="Lato" w:hAnsi="Lato" w:cs="Arial"/>
        </w:rPr>
        <w:t xml:space="preserve">): </w:t>
      </w:r>
      <w:r w:rsidR="00DE2F3B" w:rsidRPr="00291429">
        <w:rPr>
          <w:rFonts w:ascii="Lato" w:hAnsi="Lato" w:cs="Arial"/>
        </w:rPr>
        <w:t xml:space="preserve">Member States shall ensure that all newly constructed buildings at the end-user's location, including elements thereof under joint ownership, for which applications for building permits have been submitted after 31 December 2016, are equipped with a high-speed-ready in-building physical infrastructure, up to the network termination points. The same obligation applies in the event of major renovation works for which applications for building permits have been submitted after 31 December 2016. </w:t>
      </w:r>
    </w:p>
    <w:p w:rsidR="00DE2F3B" w:rsidRPr="00291429" w:rsidRDefault="00B53A20" w:rsidP="00DE2F3B">
      <w:pPr>
        <w:ind w:left="720"/>
        <w:rPr>
          <w:rFonts w:ascii="Lato" w:hAnsi="Lato" w:cs="Arial"/>
        </w:rPr>
      </w:pPr>
      <w:r>
        <w:rPr>
          <w:rFonts w:ascii="Lato" w:hAnsi="Lato" w:cs="Arial"/>
        </w:rPr>
        <w:t>Article 8(</w:t>
      </w:r>
      <w:r w:rsidR="00DE2F3B" w:rsidRPr="00291429">
        <w:rPr>
          <w:rFonts w:ascii="Lato" w:hAnsi="Lato" w:cs="Arial"/>
        </w:rPr>
        <w:t>2</w:t>
      </w:r>
      <w:r>
        <w:rPr>
          <w:rFonts w:ascii="Lato" w:hAnsi="Lato" w:cs="Arial"/>
        </w:rPr>
        <w:t xml:space="preserve">): </w:t>
      </w:r>
      <w:r w:rsidR="00DE2F3B" w:rsidRPr="00291429">
        <w:rPr>
          <w:rFonts w:ascii="Lato" w:hAnsi="Lato" w:cs="Arial"/>
        </w:rPr>
        <w:t xml:space="preserve">Member States shall ensure that all newly constructed multi-dwelling buildings, for which applications for building permits have been submitted after 31 December 2016, are equipped with an access point. The same obligation applies in the event of major renovation works concerning multi-dwelling buildings for which applications for building permits have been submitted after 31 December 2016. </w:t>
      </w:r>
    </w:p>
    <w:p w:rsidR="00147EBE" w:rsidRPr="00DE2F3B" w:rsidRDefault="00147EBE" w:rsidP="00DE2F3B">
      <w:pPr>
        <w:ind w:left="720"/>
        <w:rPr>
          <w:rFonts w:ascii="Lato" w:hAnsi="Lato" w:cs="Arial"/>
        </w:rPr>
      </w:pPr>
    </w:p>
    <w:p w:rsidR="00456076" w:rsidRDefault="00456076" w:rsidP="00456076">
      <w:pPr>
        <w:pStyle w:val="ListParagraph"/>
        <w:numPr>
          <w:ilvl w:val="0"/>
          <w:numId w:val="1"/>
        </w:numPr>
        <w:spacing w:before="100" w:beforeAutospacing="1" w:after="100" w:afterAutospacing="1"/>
        <w:ind w:right="465"/>
        <w:rPr>
          <w:rFonts w:ascii="Lato" w:eastAsia="Times New Roman" w:hAnsi="Lato" w:cs="Times New Roman"/>
          <w:b/>
          <w:sz w:val="24"/>
          <w:szCs w:val="24"/>
          <w:lang w:val="en-US"/>
        </w:rPr>
      </w:pPr>
      <w:r>
        <w:rPr>
          <w:rFonts w:ascii="Lato" w:eastAsia="Times New Roman" w:hAnsi="Lato" w:cs="Times New Roman"/>
          <w:b/>
          <w:sz w:val="24"/>
          <w:szCs w:val="24"/>
          <w:lang w:val="en-US"/>
        </w:rPr>
        <w:t>Regulatory Context</w:t>
      </w:r>
    </w:p>
    <w:p w:rsidR="00AD2091" w:rsidRPr="00F5289D" w:rsidRDefault="00F5289D" w:rsidP="00AD2091">
      <w:pPr>
        <w:rPr>
          <w:rFonts w:ascii="Lato" w:hAnsi="Lato" w:cs="Arial"/>
        </w:rPr>
      </w:pPr>
      <w:r w:rsidRPr="00F5289D">
        <w:rPr>
          <w:rFonts w:ascii="Lato" w:hAnsi="Lato" w:cs="Arial"/>
        </w:rPr>
        <w:t xml:space="preserve">The </w:t>
      </w:r>
      <w:r w:rsidRPr="00DD2877">
        <w:rPr>
          <w:rFonts w:ascii="Lato" w:hAnsi="Lato" w:cs="Arial"/>
        </w:rPr>
        <w:t>European Union (In-Building Physical Infrastructure for High-Speed Electronic Communications) Regulations 2023</w:t>
      </w:r>
      <w:r>
        <w:rPr>
          <w:rFonts w:ascii="Lato" w:hAnsi="Lato" w:cs="Arial"/>
        </w:rPr>
        <w:t xml:space="preserve"> and the </w:t>
      </w:r>
      <w:r w:rsidRPr="00F5289D">
        <w:rPr>
          <w:rFonts w:ascii="Lato" w:hAnsi="Lato" w:cs="Arial"/>
        </w:rPr>
        <w:t>Building Regulations 1997 to 2022</w:t>
      </w:r>
      <w:r>
        <w:rPr>
          <w:rFonts w:ascii="Lato" w:hAnsi="Lato" w:cs="Arial"/>
        </w:rPr>
        <w:t xml:space="preserve"> are proposed to be </w:t>
      </w:r>
      <w:r w:rsidRPr="00F5289D">
        <w:rPr>
          <w:rFonts w:ascii="Lato" w:hAnsi="Lato" w:cs="Arial"/>
        </w:rPr>
        <w:t>cited together as the Building Regulations 1997 to 2023 and be construed together as one.</w:t>
      </w:r>
      <w:r>
        <w:rPr>
          <w:rFonts w:ascii="Lato" w:hAnsi="Lato" w:cs="Arial"/>
        </w:rPr>
        <w:t xml:space="preserve"> </w:t>
      </w:r>
      <w:r w:rsidR="00AD2091" w:rsidRPr="00F5289D">
        <w:rPr>
          <w:rFonts w:ascii="Lato" w:hAnsi="Lato" w:cs="Arial"/>
        </w:rPr>
        <w:t>Under the Building Control Act 1990, enforcement of the Building Regulations (S.I. No. 497 of 1997) is the responsibility of the 31 local building control authorities who have a broad range of powers under the Act to investigate and, where appropriate, take action in the event that non-compliances are identified in buildings.</w:t>
      </w:r>
    </w:p>
    <w:p w:rsidR="00047951" w:rsidRPr="00047951" w:rsidRDefault="00047951" w:rsidP="00047951">
      <w:pPr>
        <w:rPr>
          <w:rFonts w:ascii="Lato" w:hAnsi="Lato" w:cs="Arial"/>
        </w:rPr>
      </w:pPr>
      <w:r w:rsidRPr="00047951">
        <w:rPr>
          <w:rFonts w:ascii="Lato" w:hAnsi="Lato" w:cs="Arial"/>
        </w:rPr>
        <w:t>Responsibility for compliance with the requirements of the Building Regulations is primarily a matter for the owners, designers and builders of buildings.</w:t>
      </w:r>
    </w:p>
    <w:p w:rsidR="00B56610" w:rsidRDefault="00B56610" w:rsidP="00B56610">
      <w:pPr>
        <w:rPr>
          <w:rFonts w:ascii="Lato" w:hAnsi="Lato" w:cs="Arial"/>
        </w:rPr>
      </w:pPr>
      <w:r w:rsidRPr="00047951">
        <w:rPr>
          <w:rFonts w:ascii="Lato" w:hAnsi="Lato" w:cs="Arial"/>
        </w:rPr>
        <w:t xml:space="preserve">The </w:t>
      </w:r>
      <w:r w:rsidRPr="00DD2877">
        <w:rPr>
          <w:rFonts w:ascii="Lato" w:hAnsi="Lato" w:cs="Arial"/>
        </w:rPr>
        <w:t>European Union (In-Building Physical Infrastructure for High-Speed Electronic Communications) Regulations 2023</w:t>
      </w:r>
      <w:r>
        <w:rPr>
          <w:rFonts w:ascii="Lato" w:hAnsi="Lato" w:cs="Arial"/>
        </w:rPr>
        <w:t xml:space="preserve"> Technical Guidance outlines</w:t>
      </w:r>
      <w:r w:rsidRPr="00047951">
        <w:rPr>
          <w:rFonts w:ascii="Lato" w:hAnsi="Lato" w:cs="Arial"/>
        </w:rPr>
        <w:t xml:space="preserve"> the minimum provisions necessary to meet the objectives of Article</w:t>
      </w:r>
      <w:r w:rsidR="00F1116E">
        <w:rPr>
          <w:rFonts w:ascii="Lato" w:hAnsi="Lato" w:cs="Arial"/>
        </w:rPr>
        <w:t>s</w:t>
      </w:r>
      <w:r w:rsidRPr="00047951">
        <w:rPr>
          <w:rFonts w:ascii="Lato" w:hAnsi="Lato" w:cs="Arial"/>
        </w:rPr>
        <w:t xml:space="preserve"> 8(1) and 8(2) of </w:t>
      </w:r>
      <w:r w:rsidRPr="004A7DA5">
        <w:rPr>
          <w:rFonts w:ascii="Lato" w:hAnsi="Lato" w:cs="Arial"/>
          <w:i/>
        </w:rPr>
        <w:t>Directive 2014/61/EU</w:t>
      </w:r>
      <w:r w:rsidRPr="00047951">
        <w:rPr>
          <w:rFonts w:ascii="Lato" w:hAnsi="Lato" w:cs="Arial"/>
        </w:rPr>
        <w:t>.</w:t>
      </w:r>
    </w:p>
    <w:p w:rsidR="00D541C2" w:rsidRDefault="00D541C2" w:rsidP="00B56610">
      <w:pPr>
        <w:rPr>
          <w:rFonts w:ascii="Lato" w:hAnsi="Lato" w:cs="Arial"/>
        </w:rPr>
      </w:pPr>
    </w:p>
    <w:p w:rsidR="00B07869" w:rsidRDefault="00076D01" w:rsidP="00B07869">
      <w:pPr>
        <w:pStyle w:val="ListParagraph"/>
        <w:numPr>
          <w:ilvl w:val="0"/>
          <w:numId w:val="1"/>
        </w:numPr>
        <w:spacing w:before="100" w:beforeAutospacing="1" w:after="100" w:afterAutospacing="1"/>
        <w:ind w:right="465"/>
        <w:rPr>
          <w:rFonts w:ascii="Lato" w:eastAsia="Times New Roman" w:hAnsi="Lato" w:cs="Times New Roman"/>
          <w:b/>
          <w:sz w:val="24"/>
          <w:szCs w:val="24"/>
          <w:lang w:val="en-US"/>
        </w:rPr>
      </w:pPr>
      <w:r>
        <w:rPr>
          <w:rFonts w:ascii="Lato" w:eastAsia="Times New Roman" w:hAnsi="Lato" w:cs="Times New Roman"/>
          <w:b/>
          <w:sz w:val="24"/>
          <w:szCs w:val="24"/>
          <w:lang w:val="en-US"/>
        </w:rPr>
        <w:t>Impacts of Proposals</w:t>
      </w:r>
    </w:p>
    <w:p w:rsidR="00B07869" w:rsidRPr="00B07869" w:rsidRDefault="00B07869" w:rsidP="00DA0919">
      <w:pPr>
        <w:spacing w:before="100" w:beforeAutospacing="1" w:after="100" w:afterAutospacing="1"/>
        <w:ind w:right="465"/>
        <w:rPr>
          <w:rFonts w:ascii="Lato" w:eastAsia="Times New Roman" w:hAnsi="Lato" w:cs="Times New Roman"/>
          <w:b/>
          <w:sz w:val="24"/>
          <w:szCs w:val="24"/>
          <w:lang w:val="en-US"/>
        </w:rPr>
      </w:pPr>
      <w:r w:rsidRPr="00B07869">
        <w:rPr>
          <w:rFonts w:ascii="Lato" w:hAnsi="Lato" w:cs="Arial"/>
        </w:rPr>
        <w:t>The transposition of Article</w:t>
      </w:r>
      <w:r w:rsidR="004406FB">
        <w:rPr>
          <w:rFonts w:ascii="Lato" w:hAnsi="Lato" w:cs="Arial"/>
        </w:rPr>
        <w:t>s</w:t>
      </w:r>
      <w:r w:rsidRPr="00B07869">
        <w:rPr>
          <w:rFonts w:ascii="Lato" w:hAnsi="Lato" w:cs="Arial"/>
        </w:rPr>
        <w:t xml:space="preserve"> 8</w:t>
      </w:r>
      <w:r w:rsidR="004406FB">
        <w:rPr>
          <w:rFonts w:ascii="Lato" w:hAnsi="Lato" w:cs="Arial"/>
        </w:rPr>
        <w:t>(1) and 8(2)</w:t>
      </w:r>
      <w:r w:rsidRPr="00B07869">
        <w:rPr>
          <w:rFonts w:ascii="Lato" w:hAnsi="Lato" w:cs="Arial"/>
        </w:rPr>
        <w:t xml:space="preserve"> </w:t>
      </w:r>
      <w:r w:rsidR="00607B26">
        <w:rPr>
          <w:rFonts w:ascii="Lato" w:hAnsi="Lato" w:cs="Arial"/>
        </w:rPr>
        <w:t xml:space="preserve">of </w:t>
      </w:r>
      <w:r w:rsidR="00607B26" w:rsidRPr="00F13662">
        <w:rPr>
          <w:rFonts w:ascii="Lato" w:hAnsi="Lato" w:cs="Arial"/>
          <w:i/>
        </w:rPr>
        <w:t>Directive 2014/61/EU</w:t>
      </w:r>
      <w:r w:rsidR="00607B26" w:rsidRPr="00F13662">
        <w:rPr>
          <w:rFonts w:ascii="Lato" w:hAnsi="Lato" w:cs="Arial"/>
        </w:rPr>
        <w:t xml:space="preserve"> </w:t>
      </w:r>
      <w:r w:rsidRPr="00B07869">
        <w:rPr>
          <w:rFonts w:ascii="Lato" w:hAnsi="Lato" w:cs="Arial"/>
        </w:rPr>
        <w:t>is a requirement under EU law and is an integral component of the EU’s Digital Agenda. The achievement of the Digital Agenda</w:t>
      </w:r>
      <w:r w:rsidR="00607B26">
        <w:rPr>
          <w:rFonts w:ascii="Lato" w:hAnsi="Lato" w:cs="Arial"/>
        </w:rPr>
        <w:t>’s target</w:t>
      </w:r>
      <w:r w:rsidRPr="00B07869">
        <w:rPr>
          <w:rFonts w:ascii="Lato" w:hAnsi="Lato" w:cs="Arial"/>
        </w:rPr>
        <w:t xml:space="preserve"> requires that the infrastructure roll-out be brought close to the end-user's location. </w:t>
      </w:r>
    </w:p>
    <w:p w:rsidR="00607B26" w:rsidRDefault="00607B26" w:rsidP="00DA0919">
      <w:pPr>
        <w:spacing w:before="100" w:beforeAutospacing="1" w:after="100" w:afterAutospacing="1"/>
        <w:ind w:right="465"/>
        <w:rPr>
          <w:rFonts w:ascii="Lato" w:hAnsi="Lato" w:cs="Arial"/>
        </w:rPr>
      </w:pPr>
      <w:r w:rsidRPr="00607B26">
        <w:rPr>
          <w:rFonts w:ascii="Lato" w:hAnsi="Lato" w:cs="Arial"/>
        </w:rPr>
        <w:t xml:space="preserve">The existence of high-speed electronic communications networks up to the end-user’s location should be facilitated while ensuring at the same time technological neutrality, in particular by </w:t>
      </w:r>
      <w:r>
        <w:rPr>
          <w:rFonts w:ascii="Lato" w:hAnsi="Lato" w:cs="Arial"/>
        </w:rPr>
        <w:t xml:space="preserve">the installation of </w:t>
      </w:r>
      <w:r w:rsidRPr="00607B26">
        <w:rPr>
          <w:rFonts w:ascii="Lato" w:hAnsi="Lato" w:cs="Arial"/>
        </w:rPr>
        <w:t>high-speed-ready in-building physical infrastructure. Given that providing for in-building physical infrastructure</w:t>
      </w:r>
      <w:r>
        <w:rPr>
          <w:rFonts w:ascii="Lato" w:hAnsi="Lato" w:cs="Arial"/>
        </w:rPr>
        <w:t xml:space="preserve">/ </w:t>
      </w:r>
      <w:r w:rsidRPr="00607B26">
        <w:rPr>
          <w:rFonts w:ascii="Lato" w:hAnsi="Lato" w:cs="Arial"/>
        </w:rPr>
        <w:t xml:space="preserve">ducting during the construction of a building has only a limited incremental cost while retrofitting buildings with high-speed electronic communications infrastructure may represent a significant cost, all new buildings or buildings </w:t>
      </w:r>
      <w:r w:rsidR="00280C73">
        <w:rPr>
          <w:rFonts w:ascii="Lato" w:hAnsi="Lato" w:cs="Arial"/>
        </w:rPr>
        <w:t xml:space="preserve">on which </w:t>
      </w:r>
      <w:r w:rsidRPr="00607B26">
        <w:rPr>
          <w:rFonts w:ascii="Lato" w:hAnsi="Lato" w:cs="Arial"/>
        </w:rPr>
        <w:t xml:space="preserve">major renovation works </w:t>
      </w:r>
      <w:r w:rsidR="00280C73">
        <w:rPr>
          <w:rFonts w:ascii="Lato" w:hAnsi="Lato" w:cs="Arial"/>
        </w:rPr>
        <w:t xml:space="preserve">are to be carried out </w:t>
      </w:r>
      <w:r w:rsidRPr="00607B26">
        <w:rPr>
          <w:rFonts w:ascii="Lato" w:hAnsi="Lato" w:cs="Arial"/>
        </w:rPr>
        <w:t>should be equipped with the in-building physical infrastructure</w:t>
      </w:r>
      <w:r>
        <w:rPr>
          <w:rFonts w:ascii="Lato" w:hAnsi="Lato" w:cs="Arial"/>
        </w:rPr>
        <w:t>/ ducting</w:t>
      </w:r>
      <w:r w:rsidRPr="00607B26">
        <w:rPr>
          <w:rFonts w:ascii="Lato" w:hAnsi="Lato" w:cs="Arial"/>
        </w:rPr>
        <w:t xml:space="preserve"> </w:t>
      </w:r>
      <w:r w:rsidRPr="004F0CC1">
        <w:rPr>
          <w:rFonts w:ascii="Lato" w:hAnsi="Lato"/>
        </w:rPr>
        <w:t>to facilitate the future installation of cables or wireless devices capable of delivering broadband speeds greater than 30 Mbps</w:t>
      </w:r>
      <w:r>
        <w:rPr>
          <w:rFonts w:ascii="Lato" w:hAnsi="Lato"/>
        </w:rPr>
        <w:t>.</w:t>
      </w:r>
    </w:p>
    <w:p w:rsidR="00EE313E" w:rsidRPr="003D6817" w:rsidRDefault="00EE313E" w:rsidP="00DA0919">
      <w:pPr>
        <w:spacing w:before="100" w:beforeAutospacing="1" w:after="100" w:afterAutospacing="1"/>
        <w:ind w:right="465"/>
        <w:rPr>
          <w:rFonts w:ascii="Lato" w:hAnsi="Lato" w:cs="Arial"/>
        </w:rPr>
      </w:pPr>
      <w:r w:rsidRPr="003D6817">
        <w:rPr>
          <w:rFonts w:ascii="Lato" w:hAnsi="Lato" w:cs="Arial"/>
        </w:rPr>
        <w:t xml:space="preserve">In order to roll out high-speed electronic communications networks, </w:t>
      </w:r>
      <w:r w:rsidR="003D6817" w:rsidRPr="00B07869">
        <w:rPr>
          <w:rFonts w:ascii="Lato" w:hAnsi="Lato" w:cs="Arial"/>
        </w:rPr>
        <w:t>Article</w:t>
      </w:r>
      <w:r w:rsidR="004406FB">
        <w:rPr>
          <w:rFonts w:ascii="Lato" w:hAnsi="Lato" w:cs="Arial"/>
        </w:rPr>
        <w:t>s</w:t>
      </w:r>
      <w:r w:rsidR="003D6817" w:rsidRPr="00B07869">
        <w:rPr>
          <w:rFonts w:ascii="Lato" w:hAnsi="Lato" w:cs="Arial"/>
        </w:rPr>
        <w:t xml:space="preserve"> 8</w:t>
      </w:r>
      <w:r w:rsidR="004406FB">
        <w:rPr>
          <w:rFonts w:ascii="Lato" w:hAnsi="Lato" w:cs="Arial"/>
        </w:rPr>
        <w:t>(1) and 8(2)</w:t>
      </w:r>
      <w:r w:rsidR="003D6817" w:rsidRPr="00B07869">
        <w:rPr>
          <w:rFonts w:ascii="Lato" w:hAnsi="Lato" w:cs="Arial"/>
        </w:rPr>
        <w:t xml:space="preserve"> </w:t>
      </w:r>
      <w:r w:rsidR="003D6817">
        <w:rPr>
          <w:rFonts w:ascii="Lato" w:hAnsi="Lato" w:cs="Arial"/>
        </w:rPr>
        <w:t xml:space="preserve">of </w:t>
      </w:r>
      <w:r w:rsidR="003D6817" w:rsidRPr="003D6817">
        <w:rPr>
          <w:rFonts w:ascii="Lato" w:hAnsi="Lato" w:cs="Arial"/>
        </w:rPr>
        <w:t>Directive 2014/61/EU</w:t>
      </w:r>
      <w:r w:rsidR="003D6817" w:rsidRPr="00F13662">
        <w:rPr>
          <w:rFonts w:ascii="Lato" w:hAnsi="Lato" w:cs="Arial"/>
        </w:rPr>
        <w:t xml:space="preserve"> </w:t>
      </w:r>
      <w:r w:rsidR="003D6817">
        <w:rPr>
          <w:rFonts w:ascii="Lato" w:hAnsi="Lato" w:cs="Arial"/>
        </w:rPr>
        <w:t xml:space="preserve">require </w:t>
      </w:r>
      <w:r w:rsidRPr="003D6817">
        <w:rPr>
          <w:rFonts w:ascii="Lato" w:hAnsi="Lato" w:cs="Arial"/>
        </w:rPr>
        <w:t>new buildings and existing buildings that are subject to major renovation works to in</w:t>
      </w:r>
      <w:r w:rsidR="003D6817" w:rsidRPr="003D6817">
        <w:rPr>
          <w:rFonts w:ascii="Lato" w:hAnsi="Lato" w:cs="Arial"/>
        </w:rPr>
        <w:t xml:space="preserve">stall </w:t>
      </w:r>
      <w:r w:rsidRPr="003D6817">
        <w:rPr>
          <w:rFonts w:ascii="Lato" w:hAnsi="Lato" w:cs="Arial"/>
        </w:rPr>
        <w:t>high-speed-ready in-building physical infrastructure/ ducting up to the network termination point</w:t>
      </w:r>
      <w:r w:rsidR="003D6817" w:rsidRPr="003D6817">
        <w:rPr>
          <w:rFonts w:ascii="Lato" w:hAnsi="Lato" w:cs="Arial"/>
        </w:rPr>
        <w:t xml:space="preserve">, and in addition for multi-dwelling buildings, these are to be equipped with an access point. </w:t>
      </w:r>
    </w:p>
    <w:p w:rsidR="003D6817" w:rsidRDefault="003D6817" w:rsidP="00DA0919">
      <w:pPr>
        <w:spacing w:before="100" w:beforeAutospacing="1" w:after="100" w:afterAutospacing="1"/>
        <w:ind w:right="465"/>
        <w:rPr>
          <w:rFonts w:ascii="Lato" w:hAnsi="Lato" w:cs="Arial"/>
        </w:rPr>
      </w:pPr>
      <w:r w:rsidRPr="003D6817">
        <w:rPr>
          <w:rFonts w:ascii="Lato" w:hAnsi="Lato" w:cs="Arial"/>
        </w:rPr>
        <w:t xml:space="preserve">When public communications network providers deploy high-speed electronic communications networks in a specific area, there are significant economies of scale if they can terminate their network to the building access point, </w:t>
      </w:r>
      <w:r>
        <w:rPr>
          <w:rFonts w:ascii="Lato" w:hAnsi="Lato" w:cs="Arial"/>
        </w:rPr>
        <w:t>or to a suitable location for an access point where in-building p</w:t>
      </w:r>
      <w:r w:rsidR="00480623">
        <w:rPr>
          <w:rFonts w:ascii="Lato" w:hAnsi="Lato" w:cs="Arial"/>
        </w:rPr>
        <w:t>hysical infrastructur</w:t>
      </w:r>
      <w:r w:rsidR="00A65FB2">
        <w:rPr>
          <w:rFonts w:ascii="Lato" w:hAnsi="Lato" w:cs="Arial"/>
        </w:rPr>
        <w:t>e/ ducting has been terminated</w:t>
      </w:r>
      <w:r w:rsidR="00E050E5">
        <w:rPr>
          <w:rFonts w:ascii="Lato" w:hAnsi="Lato" w:cs="Arial"/>
        </w:rPr>
        <w:t xml:space="preserve">. </w:t>
      </w:r>
      <w:r w:rsidRPr="003D6817">
        <w:rPr>
          <w:rFonts w:ascii="Lato" w:hAnsi="Lato" w:cs="Arial"/>
        </w:rPr>
        <w:t>Once the network is terminated at the access point</w:t>
      </w:r>
      <w:r w:rsidR="00443BE3">
        <w:rPr>
          <w:rFonts w:ascii="Lato" w:hAnsi="Lato" w:cs="Arial"/>
        </w:rPr>
        <w:t xml:space="preserve"> or at a suitable location for an access point</w:t>
      </w:r>
      <w:r w:rsidRPr="003D6817">
        <w:rPr>
          <w:rFonts w:ascii="Lato" w:hAnsi="Lato" w:cs="Arial"/>
        </w:rPr>
        <w:t>, the connection of an additional customer is possible at a significantly lower cost, in particular by means of access to high-speed-ready in-buildings physical infrastructure</w:t>
      </w:r>
      <w:r w:rsidR="00443BE3">
        <w:rPr>
          <w:rFonts w:ascii="Lato" w:hAnsi="Lato" w:cs="Arial"/>
        </w:rPr>
        <w:t>/ ducting</w:t>
      </w:r>
      <w:r w:rsidRPr="003D6817">
        <w:rPr>
          <w:rFonts w:ascii="Lato" w:hAnsi="Lato" w:cs="Arial"/>
        </w:rPr>
        <w:t xml:space="preserve"> located inside the building, where it already exists.</w:t>
      </w:r>
    </w:p>
    <w:p w:rsidR="000B5DA3" w:rsidRPr="003D6817" w:rsidRDefault="000B5DA3" w:rsidP="00DA0919">
      <w:pPr>
        <w:spacing w:before="100" w:beforeAutospacing="1" w:after="100" w:afterAutospacing="1"/>
        <w:ind w:right="465"/>
        <w:rPr>
          <w:rFonts w:ascii="Lato" w:hAnsi="Lato" w:cs="Arial"/>
        </w:rPr>
      </w:pPr>
    </w:p>
    <w:p w:rsidR="00FD0450" w:rsidRDefault="00FD0450" w:rsidP="00FD0450">
      <w:pPr>
        <w:pStyle w:val="ListParagraph"/>
        <w:numPr>
          <w:ilvl w:val="0"/>
          <w:numId w:val="1"/>
        </w:numPr>
        <w:spacing w:before="100" w:beforeAutospacing="1" w:after="100" w:afterAutospacing="1"/>
        <w:ind w:right="465"/>
        <w:rPr>
          <w:rFonts w:ascii="Lato" w:eastAsia="Times New Roman" w:hAnsi="Lato" w:cs="Times New Roman"/>
          <w:b/>
          <w:sz w:val="24"/>
          <w:szCs w:val="24"/>
          <w:lang w:val="en-US"/>
        </w:rPr>
      </w:pPr>
      <w:r>
        <w:rPr>
          <w:rFonts w:ascii="Lato" w:eastAsia="Times New Roman" w:hAnsi="Lato" w:cs="Times New Roman"/>
          <w:b/>
          <w:sz w:val="24"/>
          <w:szCs w:val="24"/>
          <w:lang w:val="en-US"/>
        </w:rPr>
        <w:t>Other Impacts</w:t>
      </w:r>
    </w:p>
    <w:p w:rsidR="000D5BA9" w:rsidRPr="000D5BA9" w:rsidRDefault="000D5BA9" w:rsidP="00DA0919">
      <w:pPr>
        <w:spacing w:before="100" w:beforeAutospacing="1" w:after="100" w:afterAutospacing="1"/>
        <w:ind w:right="465"/>
        <w:rPr>
          <w:rFonts w:ascii="Lato" w:hAnsi="Lato" w:cs="Arial"/>
          <w:b/>
        </w:rPr>
      </w:pPr>
      <w:r w:rsidRPr="000D5BA9">
        <w:rPr>
          <w:rFonts w:ascii="Lato" w:hAnsi="Lato" w:cs="Arial"/>
          <w:b/>
        </w:rPr>
        <w:t>Competiti</w:t>
      </w:r>
      <w:r w:rsidR="00AC3B4B">
        <w:rPr>
          <w:rFonts w:ascii="Lato" w:hAnsi="Lato" w:cs="Arial"/>
          <w:b/>
        </w:rPr>
        <w:t>on A</w:t>
      </w:r>
      <w:r w:rsidRPr="000D5BA9">
        <w:rPr>
          <w:rFonts w:ascii="Lato" w:hAnsi="Lato" w:cs="Arial"/>
          <w:b/>
        </w:rPr>
        <w:t>ssessment</w:t>
      </w:r>
    </w:p>
    <w:p w:rsidR="000D5BA9" w:rsidRPr="000D5BA9" w:rsidRDefault="000D5BA9" w:rsidP="00DA0919">
      <w:pPr>
        <w:spacing w:before="100" w:beforeAutospacing="1" w:after="100" w:afterAutospacing="1"/>
        <w:ind w:right="465"/>
        <w:rPr>
          <w:rFonts w:ascii="Lato" w:hAnsi="Lato" w:cs="Arial"/>
        </w:rPr>
      </w:pPr>
      <w:r w:rsidRPr="000D5BA9">
        <w:rPr>
          <w:rFonts w:ascii="Lato" w:hAnsi="Lato" w:cs="Arial"/>
        </w:rPr>
        <w:t xml:space="preserve">There are no significant areas where issues of competition, restriction or imbalance have been identified.  </w:t>
      </w:r>
    </w:p>
    <w:p w:rsidR="000D5BA9" w:rsidRPr="000D5BA9" w:rsidRDefault="00AC3B4B" w:rsidP="00DA0919">
      <w:pPr>
        <w:spacing w:before="100" w:beforeAutospacing="1" w:after="100" w:afterAutospacing="1"/>
        <w:ind w:right="465"/>
        <w:rPr>
          <w:rFonts w:ascii="Lato" w:hAnsi="Lato" w:cs="Arial"/>
          <w:b/>
        </w:rPr>
      </w:pPr>
      <w:r>
        <w:rPr>
          <w:rFonts w:ascii="Lato" w:hAnsi="Lato" w:cs="Arial"/>
          <w:b/>
        </w:rPr>
        <w:t>Small</w:t>
      </w:r>
      <w:r w:rsidR="0044412E">
        <w:rPr>
          <w:rFonts w:ascii="Lato" w:hAnsi="Lato" w:cs="Arial"/>
          <w:b/>
        </w:rPr>
        <w:t xml:space="preserve"> and Medium-sized Enterprises</w:t>
      </w:r>
      <w:r>
        <w:rPr>
          <w:rFonts w:ascii="Lato" w:hAnsi="Lato" w:cs="Arial"/>
          <w:b/>
        </w:rPr>
        <w:t xml:space="preserve"> Impact T</w:t>
      </w:r>
      <w:r w:rsidR="000D5BA9" w:rsidRPr="000D5BA9">
        <w:rPr>
          <w:rFonts w:ascii="Lato" w:hAnsi="Lato" w:cs="Arial"/>
          <w:b/>
        </w:rPr>
        <w:t>est</w:t>
      </w:r>
    </w:p>
    <w:p w:rsidR="000D5BA9" w:rsidRDefault="000D5BA9" w:rsidP="00DA0919">
      <w:pPr>
        <w:spacing w:before="100" w:beforeAutospacing="1" w:after="100" w:afterAutospacing="1"/>
        <w:ind w:right="465"/>
        <w:rPr>
          <w:rFonts w:ascii="Lato" w:hAnsi="Lato" w:cs="Arial"/>
        </w:rPr>
      </w:pPr>
      <w:r w:rsidRPr="000D5BA9">
        <w:rPr>
          <w:rFonts w:ascii="Lato" w:hAnsi="Lato" w:cs="Arial"/>
        </w:rPr>
        <w:t xml:space="preserve">The Department considers that the proposed </w:t>
      </w:r>
      <w:r w:rsidR="00AC3B4B" w:rsidRPr="00DD2877">
        <w:rPr>
          <w:rFonts w:ascii="Lato" w:hAnsi="Lato" w:cs="Arial"/>
        </w:rPr>
        <w:t>European Union (In-Building Physical Infrastructure for High-Speed Electronic Communications) Regulations 2023</w:t>
      </w:r>
      <w:r w:rsidR="00AC3B4B">
        <w:rPr>
          <w:rFonts w:ascii="Lato" w:hAnsi="Lato" w:cs="Arial"/>
        </w:rPr>
        <w:t xml:space="preserve"> </w:t>
      </w:r>
      <w:r w:rsidRPr="000D5BA9">
        <w:rPr>
          <w:rFonts w:ascii="Lato" w:hAnsi="Lato" w:cs="Arial"/>
        </w:rPr>
        <w:t>would have no significant effect on competition in any markets.  It i</w:t>
      </w:r>
      <w:r w:rsidR="00AC3B4B">
        <w:rPr>
          <w:rFonts w:ascii="Lato" w:hAnsi="Lato" w:cs="Arial"/>
        </w:rPr>
        <w:t xml:space="preserve">s considered that the proposed </w:t>
      </w:r>
      <w:r w:rsidRPr="000D5BA9">
        <w:rPr>
          <w:rFonts w:ascii="Lato" w:hAnsi="Lato" w:cs="Arial"/>
        </w:rPr>
        <w:t>Reg</w:t>
      </w:r>
      <w:r w:rsidR="00AC3B4B">
        <w:rPr>
          <w:rFonts w:ascii="Lato" w:hAnsi="Lato" w:cs="Arial"/>
        </w:rPr>
        <w:t>ulations apply in a proportionate</w:t>
      </w:r>
      <w:r w:rsidRPr="000D5BA9">
        <w:rPr>
          <w:rFonts w:ascii="Lato" w:hAnsi="Lato" w:cs="Arial"/>
        </w:rPr>
        <w:t xml:space="preserve"> and equitable way.  </w:t>
      </w:r>
    </w:p>
    <w:p w:rsidR="007A3C76" w:rsidRPr="000D5BA9" w:rsidRDefault="007A3C76" w:rsidP="000D5BA9">
      <w:pPr>
        <w:spacing w:before="100" w:beforeAutospacing="1" w:after="100" w:afterAutospacing="1"/>
        <w:ind w:left="74" w:right="465"/>
        <w:rPr>
          <w:rFonts w:ascii="Lato" w:hAnsi="Lato" w:cs="Arial"/>
        </w:rPr>
      </w:pPr>
    </w:p>
    <w:p w:rsidR="00420052" w:rsidRPr="00420052" w:rsidRDefault="00420052" w:rsidP="00DA0919">
      <w:pPr>
        <w:spacing w:before="100" w:beforeAutospacing="1" w:after="100" w:afterAutospacing="1"/>
        <w:ind w:right="465"/>
        <w:rPr>
          <w:rFonts w:ascii="Lato" w:hAnsi="Lato" w:cs="Arial"/>
          <w:b/>
        </w:rPr>
      </w:pPr>
      <w:r>
        <w:rPr>
          <w:rFonts w:ascii="Lato" w:hAnsi="Lato" w:cs="Arial"/>
          <w:b/>
        </w:rPr>
        <w:t>Regulatory B</w:t>
      </w:r>
      <w:r w:rsidRPr="00420052">
        <w:rPr>
          <w:rFonts w:ascii="Lato" w:hAnsi="Lato" w:cs="Arial"/>
          <w:b/>
        </w:rPr>
        <w:t xml:space="preserve">urden </w:t>
      </w:r>
    </w:p>
    <w:p w:rsidR="00132C96" w:rsidRPr="004A7DA5" w:rsidRDefault="00420052" w:rsidP="00DA0919">
      <w:pPr>
        <w:spacing w:before="100" w:beforeAutospacing="1" w:after="100" w:afterAutospacing="1"/>
        <w:ind w:right="465"/>
        <w:rPr>
          <w:rFonts w:ascii="Lato" w:hAnsi="Lato" w:cs="Arial"/>
        </w:rPr>
      </w:pPr>
      <w:r w:rsidRPr="00420052">
        <w:rPr>
          <w:rFonts w:ascii="Lato" w:hAnsi="Lato" w:cs="Arial"/>
        </w:rPr>
        <w:t xml:space="preserve">There will be a familiarisation cost with implementing </w:t>
      </w:r>
      <w:r w:rsidRPr="008D331C">
        <w:rPr>
          <w:rFonts w:ascii="Lato" w:hAnsi="Lato" w:cs="Arial"/>
          <w:i/>
        </w:rPr>
        <w:t>Directive 2014/61/EU</w:t>
      </w:r>
      <w:r w:rsidRPr="00420052">
        <w:rPr>
          <w:rFonts w:ascii="Lato" w:hAnsi="Lato" w:cs="Arial"/>
        </w:rPr>
        <w:t xml:space="preserve">. The know-how of installing the necessary infrastructure is </w:t>
      </w:r>
      <w:r>
        <w:rPr>
          <w:rFonts w:ascii="Lato" w:hAnsi="Lato" w:cs="Arial"/>
        </w:rPr>
        <w:t xml:space="preserve">a </w:t>
      </w:r>
      <w:r w:rsidRPr="00420052">
        <w:rPr>
          <w:rFonts w:ascii="Lato" w:hAnsi="Lato" w:cs="Arial"/>
        </w:rPr>
        <w:t>well-established knowledge in the building industry</w:t>
      </w:r>
      <w:r w:rsidR="00F8108F">
        <w:rPr>
          <w:rFonts w:ascii="Lato" w:hAnsi="Lato" w:cs="Arial"/>
        </w:rPr>
        <w:t xml:space="preserve"> and is provided for in NSAI Standard </w:t>
      </w:r>
      <w:r w:rsidR="00132C96" w:rsidRPr="004A7DA5">
        <w:rPr>
          <w:rFonts w:ascii="Lato" w:hAnsi="Lato" w:cs="Arial"/>
        </w:rPr>
        <w:t>I.S. 10101:2020 National Rules for Electrical Installations.</w:t>
      </w:r>
    </w:p>
    <w:p w:rsidR="00420052" w:rsidRPr="00420052" w:rsidRDefault="00420052" w:rsidP="00DA0919">
      <w:pPr>
        <w:spacing w:before="100" w:beforeAutospacing="1" w:after="100" w:afterAutospacing="1"/>
        <w:ind w:right="465"/>
        <w:rPr>
          <w:rFonts w:ascii="Lato" w:hAnsi="Lato" w:cs="Arial"/>
        </w:rPr>
      </w:pPr>
      <w:r w:rsidRPr="00420052">
        <w:rPr>
          <w:rFonts w:ascii="Lato" w:hAnsi="Lato" w:cs="Arial"/>
        </w:rPr>
        <w:t xml:space="preserve">Building Control staff will need to familiarise themselves with the new </w:t>
      </w:r>
      <w:r>
        <w:rPr>
          <w:rFonts w:ascii="Lato" w:hAnsi="Lato" w:cs="Arial"/>
        </w:rPr>
        <w:t xml:space="preserve">regulations and guidance. </w:t>
      </w:r>
      <w:r w:rsidRPr="00420052">
        <w:rPr>
          <w:rFonts w:ascii="Lato" w:hAnsi="Lato" w:cs="Arial"/>
        </w:rPr>
        <w:t>It is generally</w:t>
      </w:r>
      <w:r>
        <w:rPr>
          <w:rFonts w:ascii="Lato" w:hAnsi="Lato" w:cs="Arial"/>
        </w:rPr>
        <w:t xml:space="preserve"> accepted in the industry that building standards evolve over time. </w:t>
      </w:r>
      <w:r w:rsidRPr="00420052">
        <w:rPr>
          <w:rFonts w:ascii="Lato" w:hAnsi="Lato" w:cs="Arial"/>
        </w:rPr>
        <w:t xml:space="preserve">This should not have any major impact on design fees. </w:t>
      </w:r>
    </w:p>
    <w:p w:rsidR="0036451D" w:rsidRPr="0036451D" w:rsidRDefault="0036451D" w:rsidP="00DA0919">
      <w:pPr>
        <w:spacing w:before="100" w:beforeAutospacing="1" w:after="100" w:afterAutospacing="1"/>
        <w:ind w:right="465"/>
        <w:rPr>
          <w:rFonts w:ascii="Lato" w:hAnsi="Lato" w:cs="Arial"/>
          <w:b/>
        </w:rPr>
      </w:pPr>
      <w:r w:rsidRPr="0036451D">
        <w:rPr>
          <w:rFonts w:ascii="Lato" w:hAnsi="Lato" w:cs="Arial"/>
          <w:b/>
        </w:rPr>
        <w:t>En</w:t>
      </w:r>
      <w:r>
        <w:rPr>
          <w:rFonts w:ascii="Lato" w:hAnsi="Lato" w:cs="Arial"/>
          <w:b/>
        </w:rPr>
        <w:t>forcement and C</w:t>
      </w:r>
      <w:r w:rsidRPr="0036451D">
        <w:rPr>
          <w:rFonts w:ascii="Lato" w:hAnsi="Lato" w:cs="Arial"/>
          <w:b/>
        </w:rPr>
        <w:t xml:space="preserve">ompliance </w:t>
      </w:r>
    </w:p>
    <w:p w:rsidR="0036451D" w:rsidRDefault="0036451D" w:rsidP="00DA0919">
      <w:pPr>
        <w:spacing w:before="100" w:beforeAutospacing="1" w:after="100" w:afterAutospacing="1"/>
        <w:ind w:right="465"/>
        <w:rPr>
          <w:rFonts w:ascii="Lato" w:hAnsi="Lato" w:cs="Arial"/>
        </w:rPr>
      </w:pPr>
      <w:r w:rsidRPr="0036451D">
        <w:rPr>
          <w:rFonts w:ascii="Lato" w:hAnsi="Lato" w:cs="Arial"/>
        </w:rPr>
        <w:t>The Building Regu</w:t>
      </w:r>
      <w:r>
        <w:rPr>
          <w:rFonts w:ascii="Lato" w:hAnsi="Lato" w:cs="Arial"/>
        </w:rPr>
        <w:t>lations 1997 to 2022 and the proposed</w:t>
      </w:r>
      <w:r w:rsidRPr="0036451D">
        <w:rPr>
          <w:rFonts w:ascii="Lato" w:hAnsi="Lato" w:cs="Arial"/>
        </w:rPr>
        <w:t xml:space="preserve"> </w:t>
      </w:r>
      <w:r w:rsidRPr="00DD2877">
        <w:rPr>
          <w:rFonts w:ascii="Lato" w:hAnsi="Lato" w:cs="Arial"/>
        </w:rPr>
        <w:t>European Union (In-Building Physical Infrastructure for High-Speed Electronic Communications) Regulations 2023</w:t>
      </w:r>
      <w:r>
        <w:rPr>
          <w:rFonts w:ascii="Lato" w:hAnsi="Lato" w:cs="Arial"/>
        </w:rPr>
        <w:t xml:space="preserve"> </w:t>
      </w:r>
      <w:r w:rsidRPr="0036451D">
        <w:rPr>
          <w:rFonts w:ascii="Lato" w:hAnsi="Lato" w:cs="Arial"/>
        </w:rPr>
        <w:t>may be cited together as the Building Regulations 1997 to 2023 and shall be construed together as one.</w:t>
      </w:r>
      <w:r>
        <w:rPr>
          <w:rFonts w:ascii="Lato" w:hAnsi="Lato" w:cs="Arial"/>
        </w:rPr>
        <w:t xml:space="preserve"> </w:t>
      </w:r>
      <w:r w:rsidRPr="0036451D">
        <w:rPr>
          <w:rFonts w:ascii="Lato" w:hAnsi="Lato" w:cs="Arial"/>
        </w:rPr>
        <w:t xml:space="preserve">Under the Building Control Act 1990, enforcement of the Building Regulations </w:t>
      </w:r>
      <w:r w:rsidR="008B5A92">
        <w:rPr>
          <w:rFonts w:ascii="Lato" w:hAnsi="Lato" w:cs="Arial"/>
        </w:rPr>
        <w:t xml:space="preserve">and these regulations </w:t>
      </w:r>
      <w:r w:rsidRPr="0036451D">
        <w:rPr>
          <w:rFonts w:ascii="Lato" w:hAnsi="Lato" w:cs="Arial"/>
        </w:rPr>
        <w:t>is primarily the responsibility of the local Building Control Authorities, each of whom has a design</w:t>
      </w:r>
      <w:r>
        <w:rPr>
          <w:rFonts w:ascii="Lato" w:hAnsi="Lato" w:cs="Arial"/>
        </w:rPr>
        <w:t>ated Build</w:t>
      </w:r>
      <w:r w:rsidR="008B5A92">
        <w:rPr>
          <w:rFonts w:ascii="Lato" w:hAnsi="Lato" w:cs="Arial"/>
        </w:rPr>
        <w:t>ing Control Officer. R</w:t>
      </w:r>
      <w:r w:rsidR="008B5A92" w:rsidRPr="008B5A92">
        <w:rPr>
          <w:rFonts w:ascii="Lato" w:hAnsi="Lato" w:cs="Arial"/>
        </w:rPr>
        <w:t>esponsibility for compliance with the requirements of the Building Regulations rests with the designers, builders and owners of buildings</w:t>
      </w:r>
      <w:r w:rsidR="008B5A92">
        <w:rPr>
          <w:rFonts w:ascii="Lato" w:hAnsi="Lato" w:cs="Arial"/>
        </w:rPr>
        <w:t>.</w:t>
      </w:r>
      <w:r>
        <w:rPr>
          <w:rFonts w:ascii="Lato" w:hAnsi="Lato" w:cs="Arial"/>
        </w:rPr>
        <w:t xml:space="preserve"> </w:t>
      </w:r>
      <w:r w:rsidRPr="0036451D">
        <w:rPr>
          <w:rFonts w:ascii="Lato" w:hAnsi="Lato" w:cs="Arial"/>
        </w:rPr>
        <w:t>The position in this regard remains unchanged.</w:t>
      </w:r>
    </w:p>
    <w:p w:rsidR="000B5DA3" w:rsidRPr="0036451D" w:rsidRDefault="000B5DA3" w:rsidP="00DA0919">
      <w:pPr>
        <w:spacing w:before="100" w:beforeAutospacing="1" w:after="100" w:afterAutospacing="1"/>
        <w:ind w:right="465"/>
        <w:rPr>
          <w:rFonts w:ascii="Lato" w:hAnsi="Lato" w:cs="Arial"/>
        </w:rPr>
      </w:pPr>
    </w:p>
    <w:p w:rsidR="008B5A92" w:rsidRDefault="008B5A92" w:rsidP="008B5A92">
      <w:pPr>
        <w:pStyle w:val="ListParagraph"/>
        <w:numPr>
          <w:ilvl w:val="0"/>
          <w:numId w:val="1"/>
        </w:numPr>
        <w:spacing w:before="100" w:beforeAutospacing="1" w:after="100" w:afterAutospacing="1"/>
        <w:ind w:right="465"/>
        <w:rPr>
          <w:rFonts w:ascii="Lato" w:eastAsia="Times New Roman" w:hAnsi="Lato" w:cs="Times New Roman"/>
          <w:b/>
          <w:sz w:val="24"/>
          <w:szCs w:val="24"/>
          <w:lang w:val="en-US"/>
        </w:rPr>
      </w:pPr>
      <w:r>
        <w:rPr>
          <w:rFonts w:ascii="Lato" w:eastAsia="Times New Roman" w:hAnsi="Lato" w:cs="Times New Roman"/>
          <w:b/>
          <w:sz w:val="24"/>
          <w:szCs w:val="24"/>
          <w:lang w:val="en-US"/>
        </w:rPr>
        <w:t>Policy Options</w:t>
      </w:r>
    </w:p>
    <w:p w:rsidR="00DF7C14" w:rsidRPr="00DF7C14" w:rsidRDefault="00DF7C14" w:rsidP="00DA0919">
      <w:pPr>
        <w:spacing w:before="100" w:beforeAutospacing="1" w:after="100" w:afterAutospacing="1"/>
        <w:ind w:right="465"/>
        <w:rPr>
          <w:rFonts w:ascii="Lato" w:hAnsi="Lato" w:cs="Arial"/>
        </w:rPr>
      </w:pPr>
      <w:r>
        <w:rPr>
          <w:rFonts w:ascii="Lato" w:hAnsi="Lato" w:cs="Arial"/>
        </w:rPr>
        <w:t>The requirements of</w:t>
      </w:r>
      <w:r w:rsidRPr="00DF7C14">
        <w:rPr>
          <w:rFonts w:ascii="Lato" w:hAnsi="Lato" w:cs="Arial"/>
        </w:rPr>
        <w:t xml:space="preserve"> </w:t>
      </w:r>
      <w:r w:rsidRPr="00DF7C14">
        <w:rPr>
          <w:rFonts w:ascii="Lato" w:hAnsi="Lato" w:cs="Arial"/>
          <w:i/>
        </w:rPr>
        <w:t>Directive 2014/61/EU</w:t>
      </w:r>
      <w:r>
        <w:rPr>
          <w:rFonts w:ascii="Lato" w:hAnsi="Lato" w:cs="Arial"/>
        </w:rPr>
        <w:t xml:space="preserve"> have to be implemented by ‘</w:t>
      </w:r>
      <w:r w:rsidRPr="00DF7C14">
        <w:rPr>
          <w:rFonts w:ascii="Lato" w:hAnsi="Lato" w:cs="Arial"/>
        </w:rPr>
        <w:t>laws, regulation</w:t>
      </w:r>
      <w:r>
        <w:rPr>
          <w:rFonts w:ascii="Lato" w:hAnsi="Lato" w:cs="Arial"/>
        </w:rPr>
        <w:t>s and administrative provisions’</w:t>
      </w:r>
      <w:r w:rsidRPr="00DF7C14">
        <w:rPr>
          <w:rFonts w:ascii="Lato" w:hAnsi="Lato" w:cs="Arial"/>
        </w:rPr>
        <w:t xml:space="preserve">. It has been agreed that this is best achieved through the </w:t>
      </w:r>
      <w:r>
        <w:rPr>
          <w:rFonts w:ascii="Lato" w:hAnsi="Lato" w:cs="Arial"/>
        </w:rPr>
        <w:t xml:space="preserve">European Communities Act 1972 (No. 27 of 1972). </w:t>
      </w:r>
      <w:r w:rsidR="007C6E52">
        <w:rPr>
          <w:rFonts w:ascii="Lato" w:hAnsi="Lato" w:cs="Arial"/>
        </w:rPr>
        <w:t>The proposed</w:t>
      </w:r>
      <w:r w:rsidR="007C6E52" w:rsidRPr="0036451D">
        <w:rPr>
          <w:rFonts w:ascii="Lato" w:hAnsi="Lato" w:cs="Arial"/>
        </w:rPr>
        <w:t xml:space="preserve"> </w:t>
      </w:r>
      <w:r w:rsidR="007C6E52" w:rsidRPr="00DD2877">
        <w:rPr>
          <w:rFonts w:ascii="Lato" w:hAnsi="Lato" w:cs="Arial"/>
        </w:rPr>
        <w:t>European Union (In-Building Physical Infrastructure for High-Speed Electronic Communications) Regulations 2023</w:t>
      </w:r>
      <w:r w:rsidR="007C6E52">
        <w:rPr>
          <w:rFonts w:ascii="Lato" w:hAnsi="Lato" w:cs="Arial"/>
        </w:rPr>
        <w:t xml:space="preserve"> and the Building Regulations 1997 to 2022 shall be </w:t>
      </w:r>
      <w:r w:rsidR="007C6E52" w:rsidRPr="0036451D">
        <w:rPr>
          <w:rFonts w:ascii="Lato" w:hAnsi="Lato" w:cs="Arial"/>
        </w:rPr>
        <w:t>construed together as one</w:t>
      </w:r>
      <w:r w:rsidR="007C6E52">
        <w:rPr>
          <w:rFonts w:ascii="Lato" w:hAnsi="Lato" w:cs="Arial"/>
        </w:rPr>
        <w:t xml:space="preserve"> and cited as the Building Regulations 1997 to 2023 and as such </w:t>
      </w:r>
      <w:r w:rsidRPr="00DF7C14">
        <w:rPr>
          <w:rFonts w:ascii="Lato" w:hAnsi="Lato" w:cs="Arial"/>
        </w:rPr>
        <w:t xml:space="preserve">enforcement or compliance checking will be undertaken by Building Control </w:t>
      </w:r>
      <w:r w:rsidR="007C6E52">
        <w:rPr>
          <w:rFonts w:ascii="Lato" w:hAnsi="Lato" w:cs="Arial"/>
        </w:rPr>
        <w:t>Authorities</w:t>
      </w:r>
      <w:r w:rsidRPr="00DF7C14">
        <w:rPr>
          <w:rFonts w:ascii="Lato" w:hAnsi="Lato" w:cs="Arial"/>
        </w:rPr>
        <w:t xml:space="preserve"> as part of their normal functions. </w:t>
      </w:r>
      <w:r w:rsidR="0099009E" w:rsidRPr="00DF7C14">
        <w:rPr>
          <w:rFonts w:ascii="Lato" w:hAnsi="Lato" w:cs="Arial"/>
        </w:rPr>
        <w:t>Statutory guidance</w:t>
      </w:r>
      <w:r w:rsidR="0099009E">
        <w:rPr>
          <w:rFonts w:ascii="Lato" w:hAnsi="Lato" w:cs="Arial"/>
        </w:rPr>
        <w:t xml:space="preserve">, i.e. </w:t>
      </w:r>
      <w:r w:rsidR="0099009E" w:rsidRPr="00DD2877">
        <w:rPr>
          <w:rFonts w:ascii="Lato" w:hAnsi="Lato" w:cs="Arial"/>
        </w:rPr>
        <w:t>European Union (In-Building Physical Infrastructure for High-Speed Electronic Communications) Regulations 2023</w:t>
      </w:r>
      <w:r w:rsidR="0099009E">
        <w:rPr>
          <w:rFonts w:ascii="Lato" w:hAnsi="Lato" w:cs="Arial"/>
        </w:rPr>
        <w:t xml:space="preserve"> Technical Guidance, </w:t>
      </w:r>
      <w:r w:rsidR="00966BC3">
        <w:rPr>
          <w:rFonts w:ascii="Lato" w:hAnsi="Lato" w:cs="Arial"/>
        </w:rPr>
        <w:t>will</w:t>
      </w:r>
      <w:r w:rsidR="0099009E">
        <w:rPr>
          <w:rFonts w:ascii="Lato" w:hAnsi="Lato" w:cs="Arial"/>
        </w:rPr>
        <w:t xml:space="preserve"> be issued</w:t>
      </w:r>
      <w:r w:rsidR="00EC0FF6">
        <w:rPr>
          <w:rFonts w:ascii="Lato" w:hAnsi="Lato" w:cs="Arial"/>
        </w:rPr>
        <w:t>,</w:t>
      </w:r>
      <w:r w:rsidR="0099009E">
        <w:rPr>
          <w:rFonts w:ascii="Lato" w:hAnsi="Lato" w:cs="Arial"/>
        </w:rPr>
        <w:t xml:space="preserve"> which</w:t>
      </w:r>
      <w:r w:rsidRPr="00DF7C14">
        <w:rPr>
          <w:rFonts w:ascii="Lato" w:hAnsi="Lato" w:cs="Arial"/>
        </w:rPr>
        <w:t xml:space="preserve"> sets out some of the a</w:t>
      </w:r>
      <w:r w:rsidR="0099009E">
        <w:rPr>
          <w:rFonts w:ascii="Lato" w:hAnsi="Lato" w:cs="Arial"/>
        </w:rPr>
        <w:t xml:space="preserve">pproaches that developers can </w:t>
      </w:r>
      <w:r w:rsidRPr="00DF7C14">
        <w:rPr>
          <w:rFonts w:ascii="Lato" w:hAnsi="Lato" w:cs="Arial"/>
        </w:rPr>
        <w:t>take to meet the regulatory requirements.</w:t>
      </w:r>
      <w:r w:rsidR="0099009E">
        <w:rPr>
          <w:rFonts w:ascii="Lato" w:hAnsi="Lato" w:cs="Arial"/>
        </w:rPr>
        <w:t xml:space="preserve"> </w:t>
      </w:r>
      <w:r w:rsidR="007C6E52" w:rsidRPr="009C3700">
        <w:rPr>
          <w:rFonts w:ascii="Lato" w:hAnsi="Lato"/>
        </w:rPr>
        <w:t>Where works are carried out in accordance with the guidance, this will, prima facie, indicate compliance with the European Union (</w:t>
      </w:r>
      <w:r w:rsidR="007C6E52" w:rsidRPr="00093048">
        <w:rPr>
          <w:rFonts w:ascii="Lato" w:hAnsi="Lato"/>
        </w:rPr>
        <w:t>In-Building Physical Infrastructure for High-Speed Electronic Communications</w:t>
      </w:r>
      <w:r w:rsidR="007C6E52">
        <w:rPr>
          <w:rFonts w:ascii="Lato" w:hAnsi="Lato"/>
        </w:rPr>
        <w:t>) Regulations 2023</w:t>
      </w:r>
      <w:r w:rsidR="007C6E52" w:rsidRPr="009C3700">
        <w:rPr>
          <w:rFonts w:ascii="Lato" w:hAnsi="Lato"/>
        </w:rPr>
        <w:t xml:space="preserve">. </w:t>
      </w:r>
      <w:r w:rsidRPr="00DF7C14">
        <w:rPr>
          <w:rFonts w:ascii="Lato" w:hAnsi="Lato" w:cs="Arial"/>
        </w:rPr>
        <w:t xml:space="preserve"> </w:t>
      </w:r>
    </w:p>
    <w:p w:rsidR="00DF7C14" w:rsidRPr="00DF7C14" w:rsidRDefault="00DF7C14" w:rsidP="00DA0919">
      <w:pPr>
        <w:spacing w:before="100" w:beforeAutospacing="1" w:after="100" w:afterAutospacing="1"/>
        <w:ind w:right="465"/>
        <w:rPr>
          <w:rFonts w:ascii="Lato" w:hAnsi="Lato" w:cs="Arial"/>
        </w:rPr>
      </w:pPr>
      <w:r w:rsidRPr="00DF7C14">
        <w:rPr>
          <w:rFonts w:ascii="Lato" w:hAnsi="Lato" w:cs="Arial"/>
        </w:rPr>
        <w:t>For the purposes of public consultation two options are considered as follows:</w:t>
      </w:r>
    </w:p>
    <w:p w:rsidR="00DF7C14" w:rsidRPr="00DF7C14" w:rsidRDefault="00DF7C14" w:rsidP="0099009E">
      <w:pPr>
        <w:spacing w:before="100" w:beforeAutospacing="1" w:after="100" w:afterAutospacing="1"/>
        <w:ind w:left="720" w:right="465"/>
        <w:rPr>
          <w:rFonts w:ascii="Lato" w:hAnsi="Lato" w:cs="Arial"/>
        </w:rPr>
      </w:pPr>
      <w:r w:rsidRPr="00DF7C14">
        <w:rPr>
          <w:rFonts w:ascii="Lato" w:hAnsi="Lato" w:cs="Arial"/>
          <w:b/>
        </w:rPr>
        <w:t>Option 1:</w:t>
      </w:r>
      <w:r w:rsidRPr="00DF7C14">
        <w:rPr>
          <w:rFonts w:ascii="Lato" w:hAnsi="Lato" w:cs="Arial"/>
        </w:rPr>
        <w:t xml:space="preserve"> Do nothing.</w:t>
      </w:r>
    </w:p>
    <w:p w:rsidR="00F67BFA" w:rsidRDefault="00DF7C14" w:rsidP="00F67BFA">
      <w:pPr>
        <w:spacing w:before="100" w:beforeAutospacing="1" w:after="100" w:afterAutospacing="1"/>
        <w:ind w:left="720" w:right="465"/>
        <w:rPr>
          <w:rFonts w:ascii="Lato" w:hAnsi="Lato" w:cs="Arial"/>
        </w:rPr>
      </w:pPr>
      <w:r w:rsidRPr="00DF7C14">
        <w:rPr>
          <w:rFonts w:ascii="Lato" w:hAnsi="Lato" w:cs="Arial"/>
          <w:b/>
        </w:rPr>
        <w:t>Option 2:</w:t>
      </w:r>
      <w:r w:rsidRPr="00DF7C14">
        <w:rPr>
          <w:rFonts w:ascii="Lato" w:hAnsi="Lato" w:cs="Arial"/>
        </w:rPr>
        <w:t xml:space="preserve"> To make Regulations which will require new buildings and </w:t>
      </w:r>
      <w:r w:rsidR="00EB60BF">
        <w:rPr>
          <w:rFonts w:ascii="Lato" w:hAnsi="Lato" w:cs="Arial"/>
        </w:rPr>
        <w:t xml:space="preserve">existing </w:t>
      </w:r>
      <w:r w:rsidR="0099009E">
        <w:rPr>
          <w:rFonts w:ascii="Lato" w:hAnsi="Lato" w:cs="Arial"/>
        </w:rPr>
        <w:t>buildings undergoing major renovation works</w:t>
      </w:r>
      <w:r w:rsidRPr="00DF7C14">
        <w:rPr>
          <w:rFonts w:ascii="Lato" w:hAnsi="Lato" w:cs="Arial"/>
        </w:rPr>
        <w:t xml:space="preserve"> to be </w:t>
      </w:r>
      <w:r w:rsidR="00EB60BF">
        <w:rPr>
          <w:rFonts w:ascii="Lato" w:hAnsi="Lato" w:cs="Arial"/>
        </w:rPr>
        <w:t xml:space="preserve">equipped </w:t>
      </w:r>
      <w:r w:rsidR="00EB60BF" w:rsidRPr="00DD2877">
        <w:rPr>
          <w:rFonts w:ascii="Lato" w:hAnsi="Lato" w:cs="Arial"/>
        </w:rPr>
        <w:t xml:space="preserve">with </w:t>
      </w:r>
      <w:r w:rsidR="00EB60BF">
        <w:rPr>
          <w:rFonts w:ascii="Lato" w:hAnsi="Lato" w:cs="Arial"/>
        </w:rPr>
        <w:t>high-speed-ready</w:t>
      </w:r>
      <w:r w:rsidR="00EB60BF" w:rsidRPr="00DD2877">
        <w:rPr>
          <w:rFonts w:ascii="Lato" w:hAnsi="Lato" w:cs="Arial"/>
        </w:rPr>
        <w:t xml:space="preserve"> in-building </w:t>
      </w:r>
      <w:r w:rsidR="00EB60BF">
        <w:rPr>
          <w:rFonts w:ascii="Lato" w:hAnsi="Lato" w:cs="Arial"/>
        </w:rPr>
        <w:t xml:space="preserve">physical </w:t>
      </w:r>
      <w:r w:rsidR="00EB60BF" w:rsidRPr="00DD2877">
        <w:rPr>
          <w:rFonts w:ascii="Lato" w:hAnsi="Lato" w:cs="Arial"/>
        </w:rPr>
        <w:t>infrastructure</w:t>
      </w:r>
      <w:r w:rsidR="00F67BFA">
        <w:rPr>
          <w:rFonts w:ascii="Lato" w:hAnsi="Lato" w:cs="Arial"/>
        </w:rPr>
        <w:t>/ ducting</w:t>
      </w:r>
      <w:r w:rsidR="00EB60BF" w:rsidRPr="00DD2877">
        <w:rPr>
          <w:rFonts w:ascii="Lato" w:hAnsi="Lato" w:cs="Arial"/>
        </w:rPr>
        <w:t xml:space="preserve"> to facilitate the future installation of cables or wireless devices capable of delivering broadband speeds greater than 30 Mbps</w:t>
      </w:r>
      <w:r w:rsidR="00EB60BF">
        <w:rPr>
          <w:rFonts w:ascii="Lato" w:hAnsi="Lato" w:cs="Arial"/>
        </w:rPr>
        <w:t>.</w:t>
      </w:r>
    </w:p>
    <w:p w:rsidR="000B5DA3" w:rsidRDefault="000B5DA3" w:rsidP="00F67BFA">
      <w:pPr>
        <w:spacing w:before="100" w:beforeAutospacing="1" w:after="100" w:afterAutospacing="1"/>
        <w:ind w:left="720" w:right="465"/>
        <w:rPr>
          <w:rFonts w:ascii="Lato" w:hAnsi="Lato" w:cs="Arial"/>
        </w:rPr>
      </w:pPr>
    </w:p>
    <w:p w:rsidR="00E1769E" w:rsidRDefault="00E1769E" w:rsidP="00E1769E">
      <w:pPr>
        <w:pStyle w:val="ListParagraph"/>
        <w:numPr>
          <w:ilvl w:val="0"/>
          <w:numId w:val="1"/>
        </w:numPr>
        <w:spacing w:before="100" w:beforeAutospacing="1" w:after="100" w:afterAutospacing="1"/>
        <w:ind w:right="465"/>
        <w:rPr>
          <w:rFonts w:ascii="Lato" w:eastAsia="Times New Roman" w:hAnsi="Lato" w:cs="Times New Roman"/>
          <w:b/>
          <w:sz w:val="24"/>
          <w:szCs w:val="24"/>
          <w:lang w:val="en-US"/>
        </w:rPr>
      </w:pPr>
      <w:r>
        <w:rPr>
          <w:rFonts w:ascii="Lato" w:eastAsia="Times New Roman" w:hAnsi="Lato" w:cs="Times New Roman"/>
          <w:b/>
          <w:sz w:val="24"/>
          <w:szCs w:val="24"/>
          <w:lang w:val="en-US"/>
        </w:rPr>
        <w:t>Benefits and Costs</w:t>
      </w:r>
    </w:p>
    <w:p w:rsidR="00E1769E" w:rsidRPr="004A7DA5" w:rsidRDefault="00E1769E" w:rsidP="004A7DA5">
      <w:pPr>
        <w:autoSpaceDE w:val="0"/>
        <w:autoSpaceDN w:val="0"/>
        <w:adjustRightInd w:val="0"/>
        <w:spacing w:after="0" w:line="240" w:lineRule="auto"/>
        <w:rPr>
          <w:rFonts w:ascii="Calibri" w:hAnsi="Calibri" w:cs="Calibri"/>
          <w:sz w:val="24"/>
          <w:szCs w:val="24"/>
        </w:rPr>
      </w:pPr>
      <w:r w:rsidRPr="00E1769E">
        <w:rPr>
          <w:rFonts w:ascii="Lato" w:hAnsi="Lato" w:cs="Arial"/>
        </w:rPr>
        <w:t xml:space="preserve">This section examines the benefits and costs associated with each option. </w:t>
      </w:r>
      <w:r w:rsidR="006A5A1E">
        <w:rPr>
          <w:rFonts w:ascii="Lato" w:hAnsi="Lato" w:cs="Arial"/>
        </w:rPr>
        <w:t xml:space="preserve">Costs are based on </w:t>
      </w:r>
      <w:r w:rsidR="006A5A1E">
        <w:rPr>
          <w:rFonts w:ascii="Calibri" w:hAnsi="Calibri" w:cs="Calibri"/>
          <w:sz w:val="24"/>
          <w:szCs w:val="24"/>
        </w:rPr>
        <w:t>a study prepared for the European Commission DG Communications Networks, Content &amp; Technology</w:t>
      </w:r>
      <w:r w:rsidR="006A5A1E" w:rsidRPr="00556555">
        <w:rPr>
          <w:rStyle w:val="FootnoteReference"/>
          <w:rFonts w:ascii="Lato" w:hAnsi="Lato" w:cs="Arial"/>
          <w:b/>
        </w:rPr>
        <w:footnoteReference w:id="3"/>
      </w:r>
      <w:r w:rsidR="00231D16">
        <w:rPr>
          <w:rFonts w:ascii="Lato" w:hAnsi="Lato" w:cs="Arial"/>
        </w:rPr>
        <w:t xml:space="preserve"> and adjusted for inflation. </w:t>
      </w:r>
    </w:p>
    <w:p w:rsidR="00E1769E" w:rsidRPr="005D5FFF" w:rsidRDefault="00E1769E" w:rsidP="00E1769E">
      <w:pPr>
        <w:pStyle w:val="ListParagraph"/>
        <w:numPr>
          <w:ilvl w:val="0"/>
          <w:numId w:val="6"/>
        </w:numPr>
        <w:spacing w:before="100" w:beforeAutospacing="1" w:after="100" w:afterAutospacing="1"/>
        <w:ind w:right="465"/>
        <w:rPr>
          <w:rFonts w:ascii="Lato" w:eastAsia="Times New Roman" w:hAnsi="Lato" w:cs="Times New Roman"/>
          <w:b/>
          <w:lang w:val="en-US"/>
        </w:rPr>
      </w:pPr>
      <w:r w:rsidRPr="005D5FFF">
        <w:rPr>
          <w:rFonts w:ascii="Lato" w:eastAsia="Times New Roman" w:hAnsi="Lato" w:cs="Times New Roman"/>
          <w:b/>
          <w:lang w:val="en-US"/>
        </w:rPr>
        <w:t>Benefits</w:t>
      </w:r>
    </w:p>
    <w:p w:rsidR="00E1769E" w:rsidRPr="00E1769E" w:rsidRDefault="00E1769E" w:rsidP="005D5FFF">
      <w:pPr>
        <w:spacing w:before="100" w:beforeAutospacing="1" w:after="100" w:afterAutospacing="1"/>
        <w:ind w:left="720" w:right="465"/>
        <w:rPr>
          <w:rFonts w:ascii="Lato" w:hAnsi="Lato" w:cs="Arial"/>
        </w:rPr>
      </w:pPr>
      <w:r w:rsidRPr="00E1769E">
        <w:rPr>
          <w:rFonts w:ascii="Lato" w:hAnsi="Lato" w:cs="Arial"/>
          <w:b/>
        </w:rPr>
        <w:t>Option 1</w:t>
      </w:r>
      <w:r>
        <w:rPr>
          <w:rFonts w:ascii="Lato" w:hAnsi="Lato" w:cs="Arial"/>
        </w:rPr>
        <w:t>:</w:t>
      </w:r>
      <w:r w:rsidRPr="00E1769E">
        <w:rPr>
          <w:rFonts w:ascii="Lato" w:hAnsi="Lato" w:cs="Arial"/>
        </w:rPr>
        <w:t xml:space="preserve"> Do nothing </w:t>
      </w:r>
    </w:p>
    <w:p w:rsidR="00E1769E" w:rsidRPr="00E1769E" w:rsidRDefault="00E1769E" w:rsidP="005D5FFF">
      <w:pPr>
        <w:spacing w:before="100" w:beforeAutospacing="1" w:after="100" w:afterAutospacing="1"/>
        <w:ind w:left="720" w:right="465"/>
        <w:rPr>
          <w:rFonts w:ascii="Lato" w:hAnsi="Lato" w:cs="Arial"/>
        </w:rPr>
      </w:pPr>
      <w:r w:rsidRPr="00E1769E">
        <w:rPr>
          <w:rFonts w:ascii="Lato" w:hAnsi="Lato" w:cs="Arial"/>
        </w:rPr>
        <w:t xml:space="preserve">There are no benefits associated with this option. Adopting Option 1 would result in Ireland being in breach of its obligations under EU law </w:t>
      </w:r>
      <w:r>
        <w:rPr>
          <w:rFonts w:ascii="Lato" w:hAnsi="Lato" w:cs="Arial"/>
        </w:rPr>
        <w:t xml:space="preserve">and risk </w:t>
      </w:r>
      <w:r w:rsidR="00DB1205">
        <w:rPr>
          <w:rFonts w:ascii="Lato" w:hAnsi="Lato" w:cs="Arial"/>
        </w:rPr>
        <w:t xml:space="preserve">infringement </w:t>
      </w:r>
      <w:r>
        <w:rPr>
          <w:rFonts w:ascii="Lato" w:hAnsi="Lato" w:cs="Arial"/>
        </w:rPr>
        <w:t xml:space="preserve">proceedings. This is therefore not </w:t>
      </w:r>
      <w:r w:rsidRPr="00E1769E">
        <w:rPr>
          <w:rFonts w:ascii="Lato" w:hAnsi="Lato" w:cs="Arial"/>
        </w:rPr>
        <w:t>considered a viable option.</w:t>
      </w:r>
    </w:p>
    <w:p w:rsidR="00E1769E" w:rsidRPr="00E1769E" w:rsidRDefault="00E1769E" w:rsidP="005D5FFF">
      <w:pPr>
        <w:spacing w:before="100" w:beforeAutospacing="1" w:after="100" w:afterAutospacing="1"/>
        <w:ind w:left="720" w:right="465"/>
        <w:rPr>
          <w:rFonts w:ascii="Lato" w:hAnsi="Lato" w:cs="Arial"/>
        </w:rPr>
      </w:pPr>
      <w:r w:rsidRPr="00E1769E">
        <w:rPr>
          <w:rFonts w:ascii="Lato" w:hAnsi="Lato" w:cs="Arial"/>
          <w:b/>
        </w:rPr>
        <w:t>Option 2</w:t>
      </w:r>
      <w:r>
        <w:rPr>
          <w:rFonts w:ascii="Lato" w:hAnsi="Lato" w:cs="Arial"/>
        </w:rPr>
        <w:t>:</w:t>
      </w:r>
      <w:r w:rsidRPr="00E1769E">
        <w:rPr>
          <w:rFonts w:ascii="Lato" w:hAnsi="Lato" w:cs="Arial"/>
        </w:rPr>
        <w:t xml:space="preserve"> </w:t>
      </w:r>
      <w:r w:rsidR="00B65578" w:rsidRPr="00DF7C14">
        <w:rPr>
          <w:rFonts w:ascii="Lato" w:hAnsi="Lato" w:cs="Arial"/>
        </w:rPr>
        <w:t xml:space="preserve">To make Regulations which will require new buildings and </w:t>
      </w:r>
      <w:r w:rsidR="00B65578">
        <w:rPr>
          <w:rFonts w:ascii="Lato" w:hAnsi="Lato" w:cs="Arial"/>
        </w:rPr>
        <w:t>existing buildings undergoing major renovation works</w:t>
      </w:r>
      <w:r w:rsidR="00B65578" w:rsidRPr="00DF7C14">
        <w:rPr>
          <w:rFonts w:ascii="Lato" w:hAnsi="Lato" w:cs="Arial"/>
        </w:rPr>
        <w:t xml:space="preserve"> to be </w:t>
      </w:r>
      <w:r w:rsidR="00B65578">
        <w:rPr>
          <w:rFonts w:ascii="Lato" w:hAnsi="Lato" w:cs="Arial"/>
        </w:rPr>
        <w:t xml:space="preserve">equipped </w:t>
      </w:r>
      <w:r w:rsidR="00B65578" w:rsidRPr="00DD2877">
        <w:rPr>
          <w:rFonts w:ascii="Lato" w:hAnsi="Lato" w:cs="Arial"/>
        </w:rPr>
        <w:t xml:space="preserve">with </w:t>
      </w:r>
      <w:r w:rsidR="00B65578">
        <w:rPr>
          <w:rFonts w:ascii="Lato" w:hAnsi="Lato" w:cs="Arial"/>
        </w:rPr>
        <w:t>high-speed-ready</w:t>
      </w:r>
      <w:r w:rsidR="00B65578" w:rsidRPr="00DD2877">
        <w:rPr>
          <w:rFonts w:ascii="Lato" w:hAnsi="Lato" w:cs="Arial"/>
        </w:rPr>
        <w:t xml:space="preserve"> in-building </w:t>
      </w:r>
      <w:r w:rsidR="00B65578">
        <w:rPr>
          <w:rFonts w:ascii="Lato" w:hAnsi="Lato" w:cs="Arial"/>
        </w:rPr>
        <w:t xml:space="preserve">physical </w:t>
      </w:r>
      <w:r w:rsidR="00B65578" w:rsidRPr="00DD2877">
        <w:rPr>
          <w:rFonts w:ascii="Lato" w:hAnsi="Lato" w:cs="Arial"/>
        </w:rPr>
        <w:t>infrastructure</w:t>
      </w:r>
      <w:r w:rsidR="00B65578">
        <w:rPr>
          <w:rFonts w:ascii="Lato" w:hAnsi="Lato" w:cs="Arial"/>
        </w:rPr>
        <w:t>/ ducting</w:t>
      </w:r>
      <w:r w:rsidR="00B65578" w:rsidRPr="00DD2877">
        <w:rPr>
          <w:rFonts w:ascii="Lato" w:hAnsi="Lato" w:cs="Arial"/>
        </w:rPr>
        <w:t xml:space="preserve"> to facilitate the future installation of cables or wireless devices capable of delivering broadband speeds greater than 30 Mbps</w:t>
      </w:r>
      <w:r w:rsidR="00B65578">
        <w:rPr>
          <w:rFonts w:ascii="Lato" w:hAnsi="Lato" w:cs="Arial"/>
        </w:rPr>
        <w:t>.</w:t>
      </w:r>
    </w:p>
    <w:p w:rsidR="00E1769E" w:rsidRPr="00E1769E" w:rsidRDefault="00D57CA4" w:rsidP="005D5FFF">
      <w:pPr>
        <w:spacing w:before="100" w:beforeAutospacing="1" w:after="100" w:afterAutospacing="1"/>
        <w:ind w:left="720" w:right="465"/>
        <w:rPr>
          <w:rFonts w:ascii="Lato" w:hAnsi="Lato" w:cs="Arial"/>
        </w:rPr>
      </w:pPr>
      <w:r>
        <w:rPr>
          <w:rFonts w:ascii="Lato" w:hAnsi="Lato" w:cs="Arial"/>
        </w:rPr>
        <w:t xml:space="preserve">The small minority of new buildings </w:t>
      </w:r>
      <w:r w:rsidR="00E1769E" w:rsidRPr="00E1769E">
        <w:rPr>
          <w:rFonts w:ascii="Lato" w:hAnsi="Lato" w:cs="Arial"/>
        </w:rPr>
        <w:t xml:space="preserve">that </w:t>
      </w:r>
      <w:r w:rsidR="00B65578">
        <w:rPr>
          <w:rFonts w:ascii="Lato" w:hAnsi="Lato" w:cs="Arial"/>
        </w:rPr>
        <w:t xml:space="preserve">are </w:t>
      </w:r>
      <w:r w:rsidR="00E1769E" w:rsidRPr="00E1769E">
        <w:rPr>
          <w:rFonts w:ascii="Lato" w:hAnsi="Lato" w:cs="Arial"/>
        </w:rPr>
        <w:t xml:space="preserve">not </w:t>
      </w:r>
      <w:r w:rsidR="00B65578">
        <w:rPr>
          <w:rFonts w:ascii="Lato" w:hAnsi="Lato" w:cs="Arial"/>
        </w:rPr>
        <w:t>planned to be equipped with</w:t>
      </w:r>
      <w:r w:rsidR="00E1769E" w:rsidRPr="00E1769E">
        <w:rPr>
          <w:rFonts w:ascii="Lato" w:hAnsi="Lato" w:cs="Arial"/>
        </w:rPr>
        <w:t xml:space="preserve"> </w:t>
      </w:r>
      <w:r w:rsidR="00B65578" w:rsidRPr="00DD2877">
        <w:rPr>
          <w:rFonts w:ascii="Lato" w:hAnsi="Lato" w:cs="Arial"/>
        </w:rPr>
        <w:t xml:space="preserve">in-building </w:t>
      </w:r>
      <w:r w:rsidR="00B65578">
        <w:rPr>
          <w:rFonts w:ascii="Lato" w:hAnsi="Lato" w:cs="Arial"/>
        </w:rPr>
        <w:t xml:space="preserve">physical </w:t>
      </w:r>
      <w:r w:rsidR="00B65578" w:rsidRPr="00DD2877">
        <w:rPr>
          <w:rFonts w:ascii="Lato" w:hAnsi="Lato" w:cs="Arial"/>
        </w:rPr>
        <w:t>infrastructure</w:t>
      </w:r>
      <w:r w:rsidR="00B65578">
        <w:rPr>
          <w:rFonts w:ascii="Lato" w:hAnsi="Lato" w:cs="Arial"/>
        </w:rPr>
        <w:t>/ ducting to facilitate high-speed electronic communication networks w</w:t>
      </w:r>
      <w:r w:rsidR="00E1769E" w:rsidRPr="00E1769E">
        <w:rPr>
          <w:rFonts w:ascii="Lato" w:hAnsi="Lato" w:cs="Arial"/>
        </w:rPr>
        <w:t xml:space="preserve">ould now be required to have </w:t>
      </w:r>
      <w:r w:rsidR="00B65578">
        <w:rPr>
          <w:rFonts w:ascii="Lato" w:hAnsi="Lato" w:cs="Arial"/>
        </w:rPr>
        <w:t xml:space="preserve">this </w:t>
      </w:r>
      <w:r w:rsidR="00575EB3">
        <w:rPr>
          <w:rFonts w:ascii="Lato" w:hAnsi="Lato" w:cs="Arial"/>
        </w:rPr>
        <w:t xml:space="preserve">infrastructure </w:t>
      </w:r>
      <w:r w:rsidR="00B65578">
        <w:rPr>
          <w:rFonts w:ascii="Lato" w:hAnsi="Lato" w:cs="Arial"/>
        </w:rPr>
        <w:t>installed</w:t>
      </w:r>
      <w:r w:rsidR="00E1769E" w:rsidRPr="00E1769E">
        <w:rPr>
          <w:rFonts w:ascii="Lato" w:hAnsi="Lato" w:cs="Arial"/>
        </w:rPr>
        <w:t xml:space="preserve">. </w:t>
      </w:r>
    </w:p>
    <w:p w:rsidR="00B65578" w:rsidRDefault="00B65578" w:rsidP="005D5FFF">
      <w:pPr>
        <w:spacing w:before="100" w:beforeAutospacing="1" w:after="100" w:afterAutospacing="1"/>
        <w:ind w:left="720" w:right="465"/>
        <w:rPr>
          <w:rFonts w:ascii="Lato" w:hAnsi="Lato" w:cs="Arial"/>
        </w:rPr>
      </w:pPr>
      <w:r w:rsidRPr="00B65578">
        <w:rPr>
          <w:rFonts w:ascii="Lato" w:hAnsi="Lato" w:cs="Arial"/>
        </w:rPr>
        <w:t>There will be non-monetised benefits associated with implementation of Article</w:t>
      </w:r>
      <w:r w:rsidR="004657DE">
        <w:rPr>
          <w:rFonts w:ascii="Lato" w:hAnsi="Lato" w:cs="Arial"/>
        </w:rPr>
        <w:t>s</w:t>
      </w:r>
      <w:r w:rsidRPr="00B65578">
        <w:rPr>
          <w:rFonts w:ascii="Lato" w:hAnsi="Lato" w:cs="Arial"/>
        </w:rPr>
        <w:t xml:space="preserve"> 8</w:t>
      </w:r>
      <w:r w:rsidR="004657DE">
        <w:rPr>
          <w:rFonts w:ascii="Lato" w:hAnsi="Lato" w:cs="Arial"/>
        </w:rPr>
        <w:t>(1) and 8(2)</w:t>
      </w:r>
      <w:r w:rsidRPr="00B65578">
        <w:rPr>
          <w:rFonts w:ascii="Lato" w:hAnsi="Lato" w:cs="Arial"/>
        </w:rPr>
        <w:t xml:space="preserve"> of </w:t>
      </w:r>
      <w:r w:rsidRPr="004A7DA5">
        <w:rPr>
          <w:rFonts w:ascii="Lato" w:hAnsi="Lato" w:cs="Arial"/>
          <w:i/>
        </w:rPr>
        <w:t>Directive 2014/61/EU</w:t>
      </w:r>
      <w:r w:rsidRPr="00B65578">
        <w:rPr>
          <w:rFonts w:ascii="Lato" w:hAnsi="Lato" w:cs="Arial"/>
        </w:rPr>
        <w:t xml:space="preserve"> as it will mean that buildings in Ireland will be future proofed for connection to high-speed electronic communications networks.</w:t>
      </w:r>
    </w:p>
    <w:p w:rsidR="002F7214" w:rsidRDefault="002F7214" w:rsidP="005D5FFF">
      <w:pPr>
        <w:spacing w:before="100" w:beforeAutospacing="1" w:after="100" w:afterAutospacing="1"/>
        <w:ind w:left="720" w:right="465"/>
        <w:rPr>
          <w:rFonts w:ascii="Lato" w:hAnsi="Lato" w:cs="Arial"/>
        </w:rPr>
      </w:pPr>
    </w:p>
    <w:p w:rsidR="002F7214" w:rsidRPr="00B65578" w:rsidRDefault="002F7214" w:rsidP="005D5FFF">
      <w:pPr>
        <w:spacing w:before="100" w:beforeAutospacing="1" w:after="100" w:afterAutospacing="1"/>
        <w:ind w:left="720" w:right="465"/>
        <w:rPr>
          <w:rFonts w:ascii="Lato" w:hAnsi="Lato" w:cs="Arial"/>
        </w:rPr>
      </w:pPr>
    </w:p>
    <w:p w:rsidR="005D5FFF" w:rsidRPr="005D5FFF" w:rsidRDefault="005D5FFF" w:rsidP="005D5FFF">
      <w:pPr>
        <w:pStyle w:val="ListParagraph"/>
        <w:numPr>
          <w:ilvl w:val="0"/>
          <w:numId w:val="7"/>
        </w:numPr>
        <w:spacing w:before="100" w:beforeAutospacing="1" w:after="100" w:afterAutospacing="1"/>
        <w:ind w:right="465"/>
        <w:rPr>
          <w:rFonts w:ascii="Lato" w:eastAsia="Times New Roman" w:hAnsi="Lato" w:cs="Times New Roman"/>
          <w:b/>
          <w:sz w:val="24"/>
          <w:szCs w:val="24"/>
          <w:lang w:val="en-US"/>
        </w:rPr>
      </w:pPr>
      <w:r w:rsidRPr="005D5FFF">
        <w:rPr>
          <w:rFonts w:ascii="Lato" w:eastAsia="Times New Roman" w:hAnsi="Lato" w:cs="Times New Roman"/>
          <w:b/>
          <w:sz w:val="24"/>
          <w:szCs w:val="24"/>
          <w:lang w:val="en-US"/>
        </w:rPr>
        <w:t>Costs</w:t>
      </w:r>
    </w:p>
    <w:p w:rsidR="00BD7EC7" w:rsidRDefault="00BD7EC7" w:rsidP="00BD7EC7">
      <w:pPr>
        <w:spacing w:before="100" w:beforeAutospacing="1" w:after="100" w:afterAutospacing="1"/>
        <w:ind w:right="465"/>
        <w:rPr>
          <w:rFonts w:ascii="Lato" w:hAnsi="Lato" w:cs="Arial"/>
        </w:rPr>
      </w:pPr>
      <w:r w:rsidRPr="00BD7EC7">
        <w:rPr>
          <w:rFonts w:ascii="Lato" w:hAnsi="Lato" w:cs="Arial"/>
        </w:rPr>
        <w:t>As Optio</w:t>
      </w:r>
      <w:r>
        <w:rPr>
          <w:rFonts w:ascii="Lato" w:hAnsi="Lato" w:cs="Arial"/>
        </w:rPr>
        <w:t>n 1 is not considered a viable o</w:t>
      </w:r>
      <w:r w:rsidRPr="00BD7EC7">
        <w:rPr>
          <w:rFonts w:ascii="Lato" w:hAnsi="Lato" w:cs="Arial"/>
        </w:rPr>
        <w:t>ption, the following outlines the costs associated with Option 2</w:t>
      </w:r>
      <w:r>
        <w:rPr>
          <w:rFonts w:ascii="Lato" w:hAnsi="Lato" w:cs="Arial"/>
        </w:rPr>
        <w:t xml:space="preserve">. </w:t>
      </w:r>
    </w:p>
    <w:p w:rsidR="00ED331E" w:rsidRPr="00ED331E" w:rsidRDefault="00ED331E" w:rsidP="00ED331E">
      <w:pPr>
        <w:spacing w:before="100" w:beforeAutospacing="1" w:after="100" w:afterAutospacing="1"/>
        <w:ind w:left="720" w:right="465"/>
        <w:rPr>
          <w:rFonts w:ascii="Lato" w:hAnsi="Lato" w:cs="Arial"/>
          <w:b/>
        </w:rPr>
      </w:pPr>
      <w:r w:rsidRPr="00ED331E">
        <w:rPr>
          <w:rFonts w:ascii="Lato" w:hAnsi="Lato" w:cs="Arial"/>
          <w:b/>
        </w:rPr>
        <w:t>Option 2 – Build Costs</w:t>
      </w:r>
    </w:p>
    <w:p w:rsidR="00ED331E" w:rsidRDefault="00ED331E" w:rsidP="001034F5">
      <w:pPr>
        <w:spacing w:before="100" w:beforeAutospacing="1" w:after="100" w:afterAutospacing="1"/>
        <w:ind w:left="720" w:right="465"/>
        <w:rPr>
          <w:rFonts w:ascii="Lato" w:hAnsi="Lato" w:cs="Arial"/>
        </w:rPr>
      </w:pPr>
      <w:r w:rsidRPr="001034F5">
        <w:rPr>
          <w:rFonts w:ascii="Lato" w:hAnsi="Lato" w:cs="Arial"/>
        </w:rPr>
        <w:t xml:space="preserve">There are no foreseeable Exchequer costs arising from this proposed transposition. Additional building costs are likely to be minimal for the majority of new </w:t>
      </w:r>
      <w:r w:rsidR="00CF18A0" w:rsidRPr="001034F5">
        <w:rPr>
          <w:rFonts w:ascii="Lato" w:hAnsi="Lato" w:cs="Arial"/>
        </w:rPr>
        <w:t>non-residential</w:t>
      </w:r>
      <w:r w:rsidRPr="001034F5">
        <w:rPr>
          <w:rFonts w:ascii="Lato" w:hAnsi="Lato" w:cs="Arial"/>
        </w:rPr>
        <w:t xml:space="preserve"> buildings, </w:t>
      </w:r>
      <w:r w:rsidR="007578FD" w:rsidRPr="001034F5">
        <w:rPr>
          <w:rFonts w:ascii="Lato" w:hAnsi="Lato" w:cs="Arial"/>
        </w:rPr>
        <w:t xml:space="preserve">new </w:t>
      </w:r>
      <w:r w:rsidR="00CF18A0" w:rsidRPr="001034F5">
        <w:rPr>
          <w:rFonts w:ascii="Lato" w:hAnsi="Lato" w:cs="Arial"/>
        </w:rPr>
        <w:t>multi-dwelling building</w:t>
      </w:r>
      <w:r w:rsidR="007578FD" w:rsidRPr="001034F5">
        <w:rPr>
          <w:rFonts w:ascii="Lato" w:hAnsi="Lato" w:cs="Arial"/>
        </w:rPr>
        <w:t xml:space="preserve">s </w:t>
      </w:r>
      <w:r w:rsidR="00CF18A0" w:rsidRPr="001034F5">
        <w:rPr>
          <w:rFonts w:ascii="Lato" w:hAnsi="Lato" w:cs="Arial"/>
        </w:rPr>
        <w:t>and buildings undergoing major-renovation works</w:t>
      </w:r>
      <w:r w:rsidRPr="001034F5">
        <w:rPr>
          <w:rFonts w:ascii="Lato" w:hAnsi="Lato" w:cs="Arial"/>
        </w:rPr>
        <w:t>, as it is considered that in-building physical infrastructure that enables a connection to high–speed electronic communication networks will already be provided. The provision of in-building physical infrastructure in new build</w:t>
      </w:r>
      <w:r w:rsidR="001034F5">
        <w:rPr>
          <w:rFonts w:ascii="Lato" w:hAnsi="Lato" w:cs="Arial"/>
        </w:rPr>
        <w:t>ing</w:t>
      </w:r>
      <w:r w:rsidRPr="001034F5">
        <w:rPr>
          <w:rFonts w:ascii="Lato" w:hAnsi="Lato" w:cs="Arial"/>
        </w:rPr>
        <w:t>s could feasibly save money for customers and business, according to the EU</w:t>
      </w:r>
      <w:r w:rsidR="00F8108F">
        <w:rPr>
          <w:rFonts w:ascii="Lato" w:hAnsi="Lato" w:cs="Arial"/>
        </w:rPr>
        <w:t xml:space="preserve">. Broadband infrastructure is already installed in many new buildings for business purposes </w:t>
      </w:r>
      <w:r w:rsidR="000A68E5">
        <w:rPr>
          <w:rFonts w:ascii="Lato" w:hAnsi="Lato" w:cs="Arial"/>
        </w:rPr>
        <w:t xml:space="preserve">and </w:t>
      </w:r>
      <w:r w:rsidR="00F8108F">
        <w:rPr>
          <w:rFonts w:ascii="Lato" w:hAnsi="Lato" w:cs="Arial"/>
        </w:rPr>
        <w:t xml:space="preserve">therefore </w:t>
      </w:r>
      <w:r w:rsidR="00F8108F" w:rsidRPr="001034F5">
        <w:rPr>
          <w:rFonts w:ascii="Lato" w:hAnsi="Lato" w:cs="Arial"/>
        </w:rPr>
        <w:t xml:space="preserve">the </w:t>
      </w:r>
      <w:r w:rsidRPr="001034F5">
        <w:rPr>
          <w:rFonts w:ascii="Lato" w:hAnsi="Lato" w:cs="Arial"/>
        </w:rPr>
        <w:t>in-building physical infrastructure costs outlined below for common building types are already being met in the vast majority of cases.</w:t>
      </w:r>
    </w:p>
    <w:p w:rsidR="0041203B" w:rsidRPr="00512D36" w:rsidRDefault="0041203B" w:rsidP="00512D36">
      <w:pPr>
        <w:spacing w:before="100" w:beforeAutospacing="1" w:after="100" w:afterAutospacing="1"/>
        <w:ind w:left="720" w:right="465"/>
        <w:rPr>
          <w:rFonts w:ascii="Lato" w:hAnsi="Lato" w:cs="Arial"/>
          <w:b/>
        </w:rPr>
      </w:pPr>
      <w:r w:rsidRPr="00512D36">
        <w:rPr>
          <w:rFonts w:ascii="Lato" w:hAnsi="Lato" w:cs="Arial"/>
          <w:b/>
        </w:rPr>
        <w:t>Multi-dwelling (Apartment) Buildings</w:t>
      </w:r>
    </w:p>
    <w:p w:rsidR="0041203B" w:rsidRPr="00512D36" w:rsidRDefault="0041203B" w:rsidP="00512D36">
      <w:pPr>
        <w:spacing w:before="100" w:beforeAutospacing="1" w:after="100" w:afterAutospacing="1"/>
        <w:ind w:left="720" w:right="465"/>
        <w:rPr>
          <w:rFonts w:ascii="Lato" w:hAnsi="Lato" w:cs="Arial"/>
        </w:rPr>
      </w:pPr>
      <w:r w:rsidRPr="007257A9">
        <w:rPr>
          <w:rFonts w:ascii="Lato" w:hAnsi="Lato" w:cs="Arial"/>
          <w:i/>
        </w:rPr>
        <w:t>Directive 2014/61/EU</w:t>
      </w:r>
      <w:r w:rsidRPr="00512D36">
        <w:rPr>
          <w:rFonts w:ascii="Lato" w:hAnsi="Lato" w:cs="Arial"/>
        </w:rPr>
        <w:t xml:space="preserve"> imposes specific requirements for multi-dwelling buildings</w:t>
      </w:r>
      <w:r w:rsidR="00FD1A69">
        <w:rPr>
          <w:rFonts w:ascii="Lato" w:hAnsi="Lato" w:cs="Arial"/>
        </w:rPr>
        <w:t xml:space="preserve">, </w:t>
      </w:r>
      <w:r w:rsidRPr="00512D36">
        <w:rPr>
          <w:rFonts w:ascii="Lato" w:hAnsi="Lato" w:cs="Arial"/>
        </w:rPr>
        <w:t>i.e. apartment build</w:t>
      </w:r>
      <w:r w:rsidR="00512D36">
        <w:rPr>
          <w:rFonts w:ascii="Lato" w:hAnsi="Lato" w:cs="Arial"/>
        </w:rPr>
        <w:t>i</w:t>
      </w:r>
      <w:r w:rsidRPr="00512D36">
        <w:rPr>
          <w:rFonts w:ascii="Lato" w:hAnsi="Lato" w:cs="Arial"/>
        </w:rPr>
        <w:t>ngs. Under the Directive, developers of multi-dwelling buildings/ apartments are required to provide an access point and in-buildings physical infrastructure/ ducting to each individual dwelling, up to the network termination points. Modern apartment buildings will generally already make provision for the technological requirements provided under Article</w:t>
      </w:r>
      <w:r w:rsidR="00384155">
        <w:rPr>
          <w:rFonts w:ascii="Lato" w:hAnsi="Lato" w:cs="Arial"/>
        </w:rPr>
        <w:t>s</w:t>
      </w:r>
      <w:r w:rsidRPr="00512D36">
        <w:rPr>
          <w:rFonts w:ascii="Lato" w:hAnsi="Lato" w:cs="Arial"/>
        </w:rPr>
        <w:t xml:space="preserve"> 8</w:t>
      </w:r>
      <w:r w:rsidR="00384155">
        <w:rPr>
          <w:rFonts w:ascii="Lato" w:hAnsi="Lato" w:cs="Arial"/>
        </w:rPr>
        <w:t>(1) and 8(2)</w:t>
      </w:r>
      <w:r w:rsidRPr="00512D36">
        <w:rPr>
          <w:rFonts w:ascii="Lato" w:hAnsi="Lato" w:cs="Arial"/>
        </w:rPr>
        <w:t xml:space="preserve"> of the Directive, and have to include vertical and horizontal distribution space for utilities such as water, electricity and gas which can easily accommodate telecom provision. </w:t>
      </w:r>
      <w:r w:rsidR="00384155">
        <w:rPr>
          <w:rFonts w:ascii="Lato" w:hAnsi="Lato" w:cs="Arial"/>
        </w:rPr>
        <w:t xml:space="preserve">The provision of this existing infrastructure should minimise any additional costs. </w:t>
      </w:r>
    </w:p>
    <w:p w:rsidR="007257A9" w:rsidRPr="007257A9" w:rsidRDefault="007257A9" w:rsidP="007257A9">
      <w:pPr>
        <w:spacing w:before="100" w:beforeAutospacing="1" w:after="100" w:afterAutospacing="1"/>
        <w:ind w:left="720" w:right="465"/>
        <w:rPr>
          <w:rFonts w:ascii="Lato" w:hAnsi="Lato" w:cs="Arial"/>
          <w:b/>
        </w:rPr>
      </w:pPr>
      <w:r w:rsidRPr="007257A9">
        <w:rPr>
          <w:rFonts w:ascii="Lato" w:hAnsi="Lato" w:cs="Arial"/>
          <w:b/>
        </w:rPr>
        <w:t>Single Dwellings</w:t>
      </w:r>
    </w:p>
    <w:p w:rsidR="007257A9" w:rsidRPr="007257A9" w:rsidRDefault="007257A9" w:rsidP="007257A9">
      <w:pPr>
        <w:spacing w:before="100" w:beforeAutospacing="1" w:after="100" w:afterAutospacing="1"/>
        <w:ind w:left="720" w:right="465"/>
        <w:rPr>
          <w:rFonts w:ascii="Lato" w:hAnsi="Lato" w:cs="Arial"/>
        </w:rPr>
      </w:pPr>
      <w:r w:rsidRPr="007257A9">
        <w:rPr>
          <w:rFonts w:ascii="Lato" w:hAnsi="Lato" w:cs="Arial"/>
        </w:rPr>
        <w:t xml:space="preserve">For single dwellings, the ducting is not a necessary part of the in-building infrastructure. Instead, a </w:t>
      </w:r>
      <w:r w:rsidR="00384155">
        <w:rPr>
          <w:rFonts w:ascii="Lato" w:hAnsi="Lato" w:cs="Arial"/>
        </w:rPr>
        <w:t>direct</w:t>
      </w:r>
      <w:r w:rsidRPr="007257A9">
        <w:rPr>
          <w:rFonts w:ascii="Lato" w:hAnsi="Lato" w:cs="Arial"/>
        </w:rPr>
        <w:t xml:space="preserve"> </w:t>
      </w:r>
      <w:r w:rsidR="00384155">
        <w:rPr>
          <w:rFonts w:ascii="Lato" w:hAnsi="Lato" w:cs="Arial"/>
        </w:rPr>
        <w:t>route, in accordance with the relevant standards, from</w:t>
      </w:r>
      <w:r w:rsidRPr="007257A9">
        <w:rPr>
          <w:rFonts w:ascii="Lato" w:hAnsi="Lato" w:cs="Arial"/>
        </w:rPr>
        <w:t xml:space="preserve"> an external access point to the network termination point inside the house </w:t>
      </w:r>
      <w:r w:rsidR="00384155">
        <w:rPr>
          <w:rFonts w:ascii="Lato" w:hAnsi="Lato" w:cs="Arial"/>
        </w:rPr>
        <w:t>is appropriate</w:t>
      </w:r>
      <w:r w:rsidRPr="007257A9">
        <w:rPr>
          <w:rFonts w:ascii="Lato" w:hAnsi="Lato" w:cs="Arial"/>
        </w:rPr>
        <w:t>. As such the</w:t>
      </w:r>
      <w:r w:rsidR="00384155">
        <w:rPr>
          <w:rFonts w:ascii="Lato" w:hAnsi="Lato" w:cs="Arial"/>
        </w:rPr>
        <w:t xml:space="preserve"> </w:t>
      </w:r>
      <w:r w:rsidRPr="007257A9">
        <w:rPr>
          <w:rFonts w:ascii="Lato" w:hAnsi="Lato" w:cs="Arial"/>
        </w:rPr>
        <w:t xml:space="preserve">unit cost for houses </w:t>
      </w:r>
      <w:r w:rsidR="00384155">
        <w:rPr>
          <w:rFonts w:ascii="Lato" w:hAnsi="Lato" w:cs="Arial"/>
        </w:rPr>
        <w:t>is estimated to be</w:t>
      </w:r>
      <w:r w:rsidRPr="007257A9">
        <w:rPr>
          <w:rFonts w:ascii="Lato" w:hAnsi="Lato" w:cs="Arial"/>
        </w:rPr>
        <w:t xml:space="preserve"> </w:t>
      </w:r>
      <w:r w:rsidR="00384155">
        <w:rPr>
          <w:rFonts w:ascii="Lato" w:hAnsi="Lato" w:cs="Arial"/>
        </w:rPr>
        <w:t xml:space="preserve">approximately </w:t>
      </w:r>
      <w:r w:rsidRPr="007257A9">
        <w:rPr>
          <w:rFonts w:ascii="Lato" w:hAnsi="Lato" w:cs="Arial"/>
        </w:rPr>
        <w:t>€</w:t>
      </w:r>
      <w:r w:rsidR="00757680">
        <w:rPr>
          <w:rFonts w:ascii="Lato" w:hAnsi="Lato" w:cs="Arial"/>
        </w:rPr>
        <w:t>180</w:t>
      </w:r>
      <w:r w:rsidRPr="007257A9">
        <w:rPr>
          <w:rFonts w:ascii="Lato" w:hAnsi="Lato" w:cs="Arial"/>
        </w:rPr>
        <w:t xml:space="preserve"> per dwelling.</w:t>
      </w:r>
    </w:p>
    <w:p w:rsidR="00CE01AF" w:rsidRPr="00CE01AF" w:rsidRDefault="00CE01AF" w:rsidP="00CE01AF">
      <w:pPr>
        <w:spacing w:before="100" w:beforeAutospacing="1" w:after="100" w:afterAutospacing="1"/>
        <w:ind w:left="720" w:right="465"/>
        <w:rPr>
          <w:rFonts w:ascii="Lato" w:hAnsi="Lato" w:cs="Arial"/>
          <w:b/>
        </w:rPr>
      </w:pPr>
      <w:r w:rsidRPr="00CE01AF">
        <w:rPr>
          <w:rFonts w:ascii="Lato" w:hAnsi="Lato" w:cs="Arial"/>
          <w:b/>
        </w:rPr>
        <w:t>Commercial Buildings</w:t>
      </w:r>
    </w:p>
    <w:p w:rsidR="00CE01AF" w:rsidRDefault="00CE01AF" w:rsidP="00CE01AF">
      <w:pPr>
        <w:spacing w:before="100" w:beforeAutospacing="1" w:after="100" w:afterAutospacing="1"/>
        <w:ind w:left="720" w:right="465"/>
        <w:rPr>
          <w:rFonts w:ascii="Lato" w:hAnsi="Lato" w:cs="Arial"/>
        </w:rPr>
      </w:pPr>
      <w:r w:rsidRPr="00CE01AF">
        <w:rPr>
          <w:rFonts w:ascii="Lato" w:hAnsi="Lato" w:cs="Arial"/>
        </w:rPr>
        <w:t>For large commercial/ non-residential buildings it is considered that the necessary in-building physical infrastructure required by the Directive to deliver speeds of at least 30 Mbps is already universally provided for in new commercial/ non-residential buildings. There would simply not be a market for any kind of commercial/ non-residential building without access to a high–speed electronic communicati</w:t>
      </w:r>
      <w:r>
        <w:rPr>
          <w:rFonts w:ascii="Lato" w:hAnsi="Lato" w:cs="Arial"/>
        </w:rPr>
        <w:t>on network</w:t>
      </w:r>
      <w:r w:rsidRPr="00CE01AF">
        <w:rPr>
          <w:rFonts w:ascii="Lato" w:hAnsi="Lato" w:cs="Arial"/>
        </w:rPr>
        <w:t xml:space="preserve">, and therefore there would always be the necessary in-building physical infrastructure already in place to </w:t>
      </w:r>
      <w:r w:rsidR="00AD79C2" w:rsidRPr="00CE01AF">
        <w:rPr>
          <w:rFonts w:ascii="Lato" w:hAnsi="Lato" w:cs="Arial"/>
        </w:rPr>
        <w:t>enable connection</w:t>
      </w:r>
      <w:r w:rsidRPr="00CE01AF">
        <w:rPr>
          <w:rFonts w:ascii="Lato" w:hAnsi="Lato" w:cs="Arial"/>
        </w:rPr>
        <w:t>.</w:t>
      </w:r>
    </w:p>
    <w:p w:rsidR="00CE01AF" w:rsidRPr="00CE01AF" w:rsidRDefault="00CE01AF" w:rsidP="00CE01AF">
      <w:pPr>
        <w:spacing w:before="100" w:beforeAutospacing="1" w:after="100" w:afterAutospacing="1"/>
        <w:ind w:left="720" w:right="465"/>
        <w:rPr>
          <w:rFonts w:ascii="Lato" w:hAnsi="Lato" w:cs="Arial"/>
          <w:b/>
        </w:rPr>
      </w:pPr>
      <w:r w:rsidRPr="00CE01AF">
        <w:rPr>
          <w:rFonts w:ascii="Lato" w:hAnsi="Lato" w:cs="Arial"/>
          <w:b/>
        </w:rPr>
        <w:t>Major Renovation Works to Existing Buildings</w:t>
      </w:r>
    </w:p>
    <w:p w:rsidR="00CE01AF" w:rsidRDefault="00CE01AF" w:rsidP="00CE01AF">
      <w:pPr>
        <w:spacing w:before="100" w:beforeAutospacing="1" w:after="100" w:afterAutospacing="1"/>
        <w:ind w:left="720" w:right="465"/>
        <w:rPr>
          <w:rFonts w:ascii="Lato" w:hAnsi="Lato" w:cs="Arial"/>
        </w:rPr>
      </w:pPr>
      <w:r w:rsidRPr="00CE01AF">
        <w:rPr>
          <w:rFonts w:ascii="Lato" w:hAnsi="Lato" w:cs="Arial"/>
        </w:rPr>
        <w:t>For major renovation</w:t>
      </w:r>
      <w:r w:rsidR="00475867">
        <w:rPr>
          <w:rFonts w:ascii="Lato" w:hAnsi="Lato" w:cs="Arial"/>
        </w:rPr>
        <w:t xml:space="preserve"> works</w:t>
      </w:r>
      <w:r w:rsidRPr="00CE01AF">
        <w:rPr>
          <w:rFonts w:ascii="Lato" w:hAnsi="Lato" w:cs="Arial"/>
        </w:rPr>
        <w:t xml:space="preserve">, Ireland’s interpretation of </w:t>
      </w:r>
      <w:r w:rsidRPr="00475867">
        <w:rPr>
          <w:rFonts w:ascii="Lato" w:hAnsi="Lato" w:cs="Arial"/>
          <w:i/>
        </w:rPr>
        <w:t>Directive 2014/61/EU</w:t>
      </w:r>
      <w:r w:rsidRPr="00CE01AF">
        <w:rPr>
          <w:rFonts w:ascii="Lato" w:hAnsi="Lato" w:cs="Arial"/>
        </w:rPr>
        <w:t xml:space="preserve"> is that in-building physical infrastructure to enable </w:t>
      </w:r>
      <w:r w:rsidR="00475867">
        <w:rPr>
          <w:rFonts w:ascii="Lato" w:hAnsi="Lato" w:cs="Arial"/>
        </w:rPr>
        <w:t xml:space="preserve">a </w:t>
      </w:r>
      <w:r w:rsidRPr="00CE01AF">
        <w:rPr>
          <w:rFonts w:ascii="Lato" w:hAnsi="Lato" w:cs="Arial"/>
        </w:rPr>
        <w:t xml:space="preserve">connection to </w:t>
      </w:r>
      <w:r w:rsidR="00475867">
        <w:rPr>
          <w:rFonts w:ascii="Lato" w:hAnsi="Lato" w:cs="Arial"/>
        </w:rPr>
        <w:t xml:space="preserve">a high-speed electronic communication network/ broadband </w:t>
      </w:r>
      <w:r w:rsidRPr="00CE01AF">
        <w:rPr>
          <w:rFonts w:ascii="Lato" w:hAnsi="Lato" w:cs="Arial"/>
        </w:rPr>
        <w:t>will only be a requirement where there is existing infrastructure related to the provision of broadband within the building, and where the major renovation</w:t>
      </w:r>
      <w:r w:rsidR="00475867">
        <w:rPr>
          <w:rFonts w:ascii="Lato" w:hAnsi="Lato" w:cs="Arial"/>
        </w:rPr>
        <w:t xml:space="preserve"> works</w:t>
      </w:r>
      <w:r w:rsidRPr="00CE01AF">
        <w:rPr>
          <w:rFonts w:ascii="Lato" w:hAnsi="Lato" w:cs="Arial"/>
        </w:rPr>
        <w:t xml:space="preserve"> involves the removal or alteration of those elements. Where no such infrastructure exists, the regulation will not apply.</w:t>
      </w:r>
    </w:p>
    <w:p w:rsidR="000B5DA3" w:rsidRPr="00CE01AF" w:rsidRDefault="000B5DA3" w:rsidP="00CE01AF">
      <w:pPr>
        <w:spacing w:before="100" w:beforeAutospacing="1" w:after="100" w:afterAutospacing="1"/>
        <w:ind w:left="720" w:right="465"/>
        <w:rPr>
          <w:rFonts w:ascii="Lato" w:hAnsi="Lato" w:cs="Arial"/>
        </w:rPr>
      </w:pPr>
    </w:p>
    <w:p w:rsidR="00FE773B" w:rsidRPr="00FE773B" w:rsidRDefault="00FE773B" w:rsidP="00FE773B">
      <w:pPr>
        <w:pStyle w:val="ListParagraph"/>
        <w:numPr>
          <w:ilvl w:val="0"/>
          <w:numId w:val="1"/>
        </w:numPr>
        <w:spacing w:before="100" w:beforeAutospacing="1" w:after="100" w:afterAutospacing="1"/>
        <w:ind w:right="465"/>
        <w:rPr>
          <w:rFonts w:ascii="Lato" w:eastAsia="Times New Roman" w:hAnsi="Lato" w:cs="Times New Roman"/>
          <w:b/>
          <w:sz w:val="24"/>
          <w:szCs w:val="24"/>
          <w:lang w:val="en-US"/>
        </w:rPr>
      </w:pPr>
      <w:r w:rsidRPr="00FE773B">
        <w:rPr>
          <w:rFonts w:ascii="Lato" w:eastAsia="Times New Roman" w:hAnsi="Lato" w:cs="Times New Roman"/>
          <w:b/>
          <w:sz w:val="24"/>
          <w:szCs w:val="24"/>
          <w:lang w:val="en-US"/>
        </w:rPr>
        <w:t xml:space="preserve">Recommendation </w:t>
      </w:r>
    </w:p>
    <w:p w:rsidR="0035348A" w:rsidRDefault="00FE773B" w:rsidP="00FE773B">
      <w:pPr>
        <w:spacing w:before="100" w:beforeAutospacing="1" w:after="100" w:afterAutospacing="1"/>
        <w:ind w:right="465"/>
        <w:rPr>
          <w:rFonts w:ascii="Lato" w:hAnsi="Lato" w:cs="Arial"/>
        </w:rPr>
      </w:pPr>
      <w:r w:rsidRPr="00FE773B">
        <w:rPr>
          <w:rFonts w:ascii="Lato" w:hAnsi="Lato" w:cs="Arial"/>
        </w:rPr>
        <w:t xml:space="preserve">Based on the above, the Department of Housing, Local Government and Heritage proposes to proceed with implementing </w:t>
      </w:r>
      <w:r w:rsidR="00AD79C2">
        <w:rPr>
          <w:rFonts w:ascii="Lato" w:hAnsi="Lato" w:cs="Arial"/>
        </w:rPr>
        <w:t>Article</w:t>
      </w:r>
      <w:r w:rsidR="00231D16">
        <w:rPr>
          <w:rFonts w:ascii="Lato" w:hAnsi="Lato" w:cs="Arial"/>
        </w:rPr>
        <w:t>s</w:t>
      </w:r>
      <w:r w:rsidR="00AD79C2">
        <w:rPr>
          <w:rFonts w:ascii="Lato" w:hAnsi="Lato" w:cs="Arial"/>
        </w:rPr>
        <w:t xml:space="preserve"> 8</w:t>
      </w:r>
      <w:r w:rsidR="00231D16">
        <w:rPr>
          <w:rFonts w:ascii="Lato" w:hAnsi="Lato" w:cs="Arial"/>
        </w:rPr>
        <w:t>(1) and 8(2)</w:t>
      </w:r>
      <w:r w:rsidR="00AD79C2">
        <w:rPr>
          <w:rFonts w:ascii="Lato" w:hAnsi="Lato" w:cs="Arial"/>
        </w:rPr>
        <w:t xml:space="preserve"> of </w:t>
      </w:r>
      <w:r w:rsidR="00AD79C2" w:rsidRPr="0078246B">
        <w:rPr>
          <w:rFonts w:ascii="Lato" w:hAnsi="Lato" w:cs="Arial"/>
          <w:i/>
        </w:rPr>
        <w:t>Directive 2014/61/EU</w:t>
      </w:r>
      <w:r w:rsidR="00AD79C2" w:rsidRPr="00512D36">
        <w:rPr>
          <w:rFonts w:ascii="Lato" w:hAnsi="Lato" w:cs="Arial"/>
        </w:rPr>
        <w:t xml:space="preserve"> </w:t>
      </w:r>
      <w:r w:rsidRPr="00FE773B">
        <w:rPr>
          <w:rFonts w:ascii="Lato" w:hAnsi="Lato" w:cs="Arial"/>
        </w:rPr>
        <w:t xml:space="preserve">through the European Union </w:t>
      </w:r>
      <w:r w:rsidR="00AD79C2">
        <w:rPr>
          <w:rFonts w:ascii="Lato" w:hAnsi="Lato" w:cs="Arial"/>
        </w:rPr>
        <w:t>(</w:t>
      </w:r>
      <w:r w:rsidR="00AD79C2" w:rsidRPr="00AD79C2">
        <w:rPr>
          <w:rFonts w:ascii="Lato" w:hAnsi="Lato" w:cs="Arial"/>
        </w:rPr>
        <w:t>In-Building Physical Infrastructure for High-S</w:t>
      </w:r>
      <w:r w:rsidR="00AD79C2">
        <w:rPr>
          <w:rFonts w:ascii="Lato" w:hAnsi="Lato" w:cs="Arial"/>
        </w:rPr>
        <w:t xml:space="preserve">peed Electronic Communications) </w:t>
      </w:r>
      <w:r w:rsidR="00AD79C2" w:rsidRPr="00AD79C2">
        <w:rPr>
          <w:rFonts w:ascii="Lato" w:hAnsi="Lato" w:cs="Arial"/>
        </w:rPr>
        <w:t>Regulations 2023</w:t>
      </w:r>
      <w:r w:rsidRPr="00FE773B">
        <w:rPr>
          <w:rFonts w:ascii="Lato" w:hAnsi="Lato" w:cs="Arial"/>
        </w:rPr>
        <w:t xml:space="preserve"> so that all new build</w:t>
      </w:r>
      <w:r w:rsidR="00AD79C2">
        <w:rPr>
          <w:rFonts w:ascii="Lato" w:hAnsi="Lato" w:cs="Arial"/>
        </w:rPr>
        <w:t>ing</w:t>
      </w:r>
      <w:r w:rsidRPr="00FE773B">
        <w:rPr>
          <w:rFonts w:ascii="Lato" w:hAnsi="Lato" w:cs="Arial"/>
        </w:rPr>
        <w:t xml:space="preserve">s and </w:t>
      </w:r>
      <w:r w:rsidR="00AD79C2">
        <w:rPr>
          <w:rFonts w:ascii="Lato" w:hAnsi="Lato" w:cs="Arial"/>
        </w:rPr>
        <w:t>existing buildings undergoing</w:t>
      </w:r>
      <w:r w:rsidRPr="00FE773B">
        <w:rPr>
          <w:rFonts w:ascii="Lato" w:hAnsi="Lato" w:cs="Arial"/>
        </w:rPr>
        <w:t xml:space="preserve"> major renovation </w:t>
      </w:r>
      <w:r w:rsidR="00AD79C2">
        <w:rPr>
          <w:rFonts w:ascii="Lato" w:hAnsi="Lato" w:cs="Arial"/>
        </w:rPr>
        <w:t xml:space="preserve">works would be required to be </w:t>
      </w:r>
      <w:r w:rsidR="00AD79C2" w:rsidRPr="00F13662">
        <w:rPr>
          <w:rFonts w:ascii="Lato" w:hAnsi="Lato" w:cs="Arial"/>
        </w:rPr>
        <w:t>equipped with high-speed-ready in-building physical infrastructure</w:t>
      </w:r>
      <w:r w:rsidR="00AD79C2">
        <w:rPr>
          <w:rFonts w:ascii="Lato" w:hAnsi="Lato" w:cs="Arial"/>
        </w:rPr>
        <w:t xml:space="preserve"> </w:t>
      </w:r>
      <w:r w:rsidR="00AD79C2" w:rsidRPr="00DD2877">
        <w:rPr>
          <w:rFonts w:ascii="Lato" w:hAnsi="Lato" w:cs="Arial"/>
        </w:rPr>
        <w:t>capable of delivering broadband speeds greater than 30 Mbps</w:t>
      </w:r>
      <w:r w:rsidR="00AD79C2">
        <w:rPr>
          <w:rFonts w:ascii="Lato" w:hAnsi="Lato" w:cs="Arial"/>
        </w:rPr>
        <w:t>.</w:t>
      </w:r>
    </w:p>
    <w:p w:rsidR="009E0FC2" w:rsidRPr="009E0FC2" w:rsidRDefault="00FE773B" w:rsidP="004A7DA5">
      <w:pPr>
        <w:spacing w:before="100" w:beforeAutospacing="1" w:after="100" w:afterAutospacing="1"/>
        <w:ind w:right="465"/>
        <w:rPr>
          <w:rFonts w:ascii="Lato" w:eastAsia="Times New Roman" w:hAnsi="Lato" w:cs="Times New Roman"/>
          <w:b/>
          <w:sz w:val="24"/>
          <w:szCs w:val="24"/>
          <w:lang w:val="en-US"/>
        </w:rPr>
      </w:pPr>
      <w:r w:rsidRPr="00FE773B">
        <w:rPr>
          <w:rFonts w:ascii="Lato" w:hAnsi="Lato" w:cs="Arial"/>
        </w:rPr>
        <w:t>Taking due account of submissions received, the Department will recommend a final set</w:t>
      </w:r>
      <w:r w:rsidR="007B0BE7">
        <w:rPr>
          <w:rFonts w:ascii="Lato" w:hAnsi="Lato" w:cs="Arial"/>
        </w:rPr>
        <w:t xml:space="preserve"> </w:t>
      </w:r>
      <w:r w:rsidRPr="00FE773B">
        <w:rPr>
          <w:rFonts w:ascii="Lato" w:hAnsi="Lato" w:cs="Arial"/>
        </w:rPr>
        <w:t xml:space="preserve">of regulations to the Minister for Housing, Local Government and Heritage </w:t>
      </w:r>
      <w:r w:rsidR="00AD79C2">
        <w:rPr>
          <w:rFonts w:ascii="Lato" w:hAnsi="Lato" w:cs="Arial"/>
        </w:rPr>
        <w:t>for</w:t>
      </w:r>
      <w:r w:rsidR="007B0BE7">
        <w:rPr>
          <w:rFonts w:ascii="Lato" w:hAnsi="Lato" w:cs="Arial"/>
        </w:rPr>
        <w:t xml:space="preserve"> </w:t>
      </w:r>
      <w:r w:rsidR="00AD79C2">
        <w:rPr>
          <w:rFonts w:ascii="Lato" w:hAnsi="Lato" w:cs="Arial"/>
        </w:rPr>
        <w:t>signature</w:t>
      </w:r>
      <w:r w:rsidR="007B0BE7">
        <w:rPr>
          <w:rFonts w:ascii="Lato" w:hAnsi="Lato" w:cs="Arial"/>
        </w:rPr>
        <w:t xml:space="preserve"> </w:t>
      </w:r>
      <w:r w:rsidR="00AD79C2">
        <w:rPr>
          <w:rFonts w:ascii="Lato" w:hAnsi="Lato" w:cs="Arial"/>
        </w:rPr>
        <w:t>in Q2</w:t>
      </w:r>
      <w:r w:rsidRPr="00FE773B">
        <w:rPr>
          <w:rFonts w:ascii="Lato" w:hAnsi="Lato" w:cs="Arial"/>
        </w:rPr>
        <w:t xml:space="preserve"> of 20</w:t>
      </w:r>
      <w:r w:rsidR="00AD79C2">
        <w:rPr>
          <w:rFonts w:ascii="Lato" w:hAnsi="Lato" w:cs="Arial"/>
        </w:rPr>
        <w:t>23</w:t>
      </w:r>
      <w:r w:rsidRPr="00FE773B">
        <w:rPr>
          <w:rFonts w:ascii="Lato" w:hAnsi="Lato" w:cs="Arial"/>
        </w:rPr>
        <w:t>.</w:t>
      </w:r>
    </w:p>
    <w:sectPr w:rsidR="009E0FC2" w:rsidRPr="009E0FC2" w:rsidSect="004E56C1">
      <w:footerReference w:type="default" r:id="rId15"/>
      <w:pgSz w:w="11906" w:h="16838"/>
      <w:pgMar w:top="1440" w:right="1440" w:bottom="1440" w:left="1440"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D732E" w16cex:dateUtc="2023-03-28T13:07:00Z"/>
  <w16cex:commentExtensible w16cex:durableId="27CDAD43" w16cex:dateUtc="2023-03-28T17:15:00Z"/>
  <w16cex:commentExtensible w16cex:durableId="27CDAD8B" w16cex:dateUtc="2023-03-28T17:16:00Z"/>
  <w16cex:commentExtensible w16cex:durableId="27CDAF24" w16cex:dateUtc="2023-03-28T17:23:00Z"/>
  <w16cex:commentExtensible w16cex:durableId="27CD74C8" w16cex:dateUtc="2023-03-28T13:14:00Z"/>
  <w16cex:commentExtensible w16cex:durableId="27D56F59" w16cex:dateUtc="2023-04-03T14:29:00Z"/>
  <w16cex:commentExtensible w16cex:durableId="27CD758A" w16cex:dateUtc="2023-03-28T13:17:00Z"/>
  <w16cex:commentExtensible w16cex:durableId="27CD75A5" w16cex:dateUtc="2023-03-28T13:18:00Z"/>
  <w16cex:commentExtensible w16cex:durableId="27CD75C4" w16cex:dateUtc="2023-03-28T13:18:00Z"/>
  <w16cex:commentExtensible w16cex:durableId="27CDAFE6" w16cex:dateUtc="2023-03-28T17:26:00Z"/>
  <w16cex:commentExtensible w16cex:durableId="27D5585C" w16cex:dateUtc="2023-04-03T12:51:00Z"/>
  <w16cex:commentExtensible w16cex:durableId="27D55815" w16cex:dateUtc="2023-04-03T12:50:00Z"/>
  <w16cex:commentExtensible w16cex:durableId="27CDB058" w16cex:dateUtc="2023-03-28T17:28:00Z"/>
  <w16cex:commentExtensible w16cex:durableId="27CDB0BE" w16cex:dateUtc="2023-03-28T17:30:00Z"/>
  <w16cex:commentExtensible w16cex:durableId="27D570DE" w16cex:dateUtc="2023-04-03T14:35:00Z"/>
  <w16cex:commentExtensible w16cex:durableId="27CDB0E1" w16cex:dateUtc="2023-03-28T17:30:00Z"/>
  <w16cex:commentExtensible w16cex:durableId="27CD8553" w16cex:dateUtc="2023-03-28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2D3D12" w16cid:durableId="27CD725E"/>
  <w16cid:commentId w16cid:paraId="605A5CBC" w16cid:durableId="27CD732E"/>
  <w16cid:commentId w16cid:paraId="7B53B9DF" w16cid:durableId="27CDAD43"/>
  <w16cid:commentId w16cid:paraId="571E8F23" w16cid:durableId="27CD725F"/>
  <w16cid:commentId w16cid:paraId="7095CBC1" w16cid:durableId="27CDAD8B"/>
  <w16cid:commentId w16cid:paraId="2C856DDB" w16cid:durableId="27CD7260"/>
  <w16cid:commentId w16cid:paraId="0AEC4F7B" w16cid:durableId="27CDAF24"/>
  <w16cid:commentId w16cid:paraId="01E58CFA" w16cid:durableId="27CD7261"/>
  <w16cid:commentId w16cid:paraId="49FAA3E4" w16cid:durableId="27CD74C8"/>
  <w16cid:commentId w16cid:paraId="6B119C41" w16cid:durableId="27CD7262"/>
  <w16cid:commentId w16cid:paraId="2CA1BFA0" w16cid:durableId="27D56F59"/>
  <w16cid:commentId w16cid:paraId="1082A714" w16cid:durableId="27CD758A"/>
  <w16cid:commentId w16cid:paraId="5A59E4D0" w16cid:durableId="27CD7263"/>
  <w16cid:commentId w16cid:paraId="5B68E731" w16cid:durableId="27CD75A5"/>
  <w16cid:commentId w16cid:paraId="5C14D23E" w16cid:durableId="27CD7264"/>
  <w16cid:commentId w16cid:paraId="4AB53364" w16cid:durableId="27CD75C4"/>
  <w16cid:commentId w16cid:paraId="41F6E178" w16cid:durableId="27CDAFE6"/>
  <w16cid:commentId w16cid:paraId="5C487E75" w16cid:durableId="27D5585C"/>
  <w16cid:commentId w16cid:paraId="7022422E" w16cid:durableId="27D55815"/>
  <w16cid:commentId w16cid:paraId="2EDBC58C" w16cid:durableId="27CD7265"/>
  <w16cid:commentId w16cid:paraId="0E30F3C8" w16cid:durableId="27CDB058"/>
  <w16cid:commentId w16cid:paraId="31014AB1" w16cid:durableId="27CD7266"/>
  <w16cid:commentId w16cid:paraId="398711A6" w16cid:durableId="27CD7267"/>
  <w16cid:commentId w16cid:paraId="0F36C46C" w16cid:durableId="27CDB0BE"/>
  <w16cid:commentId w16cid:paraId="6D176FFD" w16cid:durableId="27CD7268"/>
  <w16cid:commentId w16cid:paraId="743DC864" w16cid:durableId="27D570DE"/>
  <w16cid:commentId w16cid:paraId="5057B6B3" w16cid:durableId="27CD7269"/>
  <w16cid:commentId w16cid:paraId="5B1193F1" w16cid:durableId="27CDB0E1"/>
  <w16cid:commentId w16cid:paraId="3EF8E516" w16cid:durableId="27CD726A"/>
  <w16cid:commentId w16cid:paraId="1AEFF296" w16cid:durableId="27CD85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52" w:rsidRDefault="00BE2E52" w:rsidP="008F5A6F">
      <w:pPr>
        <w:spacing w:after="0" w:line="240" w:lineRule="auto"/>
      </w:pPr>
      <w:r>
        <w:separator/>
      </w:r>
    </w:p>
  </w:endnote>
  <w:endnote w:type="continuationSeparator" w:id="0">
    <w:p w:rsidR="00BE2E52" w:rsidRDefault="00BE2E52" w:rsidP="008F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DE" w:rsidRDefault="001956DE">
    <w:pPr>
      <w:pStyle w:val="Footer"/>
      <w:jc w:val="right"/>
    </w:pPr>
  </w:p>
  <w:p w:rsidR="006A5A1E" w:rsidRDefault="006A5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926742"/>
      <w:docPartObj>
        <w:docPartGallery w:val="Page Numbers (Bottom of Page)"/>
        <w:docPartUnique/>
      </w:docPartObj>
    </w:sdtPr>
    <w:sdtEndPr>
      <w:rPr>
        <w:noProof/>
      </w:rPr>
    </w:sdtEndPr>
    <w:sdtContent>
      <w:p w:rsidR="001956DE" w:rsidRDefault="001956DE">
        <w:pPr>
          <w:pStyle w:val="Footer"/>
          <w:jc w:val="right"/>
        </w:pPr>
        <w:r>
          <w:fldChar w:fldCharType="begin"/>
        </w:r>
        <w:r>
          <w:instrText xml:space="preserve"> PAGE   \* MERGEFORMAT </w:instrText>
        </w:r>
        <w:r>
          <w:fldChar w:fldCharType="separate"/>
        </w:r>
        <w:r w:rsidR="008657B7">
          <w:rPr>
            <w:noProof/>
          </w:rPr>
          <w:t>7</w:t>
        </w:r>
        <w:r>
          <w:rPr>
            <w:noProof/>
          </w:rPr>
          <w:fldChar w:fldCharType="end"/>
        </w:r>
      </w:p>
    </w:sdtContent>
  </w:sdt>
  <w:p w:rsidR="001956DE" w:rsidRDefault="00195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52" w:rsidRDefault="00BE2E52" w:rsidP="008F5A6F">
      <w:pPr>
        <w:spacing w:after="0" w:line="240" w:lineRule="auto"/>
      </w:pPr>
      <w:r>
        <w:separator/>
      </w:r>
    </w:p>
  </w:footnote>
  <w:footnote w:type="continuationSeparator" w:id="0">
    <w:p w:rsidR="00BE2E52" w:rsidRDefault="00BE2E52" w:rsidP="008F5A6F">
      <w:pPr>
        <w:spacing w:after="0" w:line="240" w:lineRule="auto"/>
      </w:pPr>
      <w:r>
        <w:continuationSeparator/>
      </w:r>
    </w:p>
  </w:footnote>
  <w:footnote w:id="1">
    <w:p w:rsidR="008F5A6F" w:rsidRPr="0017384D" w:rsidRDefault="008F5A6F" w:rsidP="008F5A6F">
      <w:pPr>
        <w:pStyle w:val="FootnoteText"/>
        <w:rPr>
          <w:rFonts w:ascii="Lato" w:hAnsi="Lato"/>
        </w:rPr>
      </w:pPr>
      <w:r w:rsidRPr="0017384D">
        <w:rPr>
          <w:rStyle w:val="FootnoteReference"/>
          <w:rFonts w:ascii="Lato" w:hAnsi="Lato"/>
        </w:rPr>
        <w:footnoteRef/>
      </w:r>
      <w:r w:rsidRPr="0017384D">
        <w:rPr>
          <w:rFonts w:ascii="Lato" w:hAnsi="Lato"/>
        </w:rPr>
        <w:t xml:space="preserve"> </w:t>
      </w:r>
      <w:r w:rsidR="004A52E7" w:rsidRPr="004A52E7">
        <w:rPr>
          <w:rFonts w:ascii="Lato" w:hAnsi="Lato"/>
        </w:rPr>
        <w:t>https://eur-lex.europa.eu/legal-content/en/ALL/?uri=CELEX%3A32014L0061</w:t>
      </w:r>
    </w:p>
    <w:p w:rsidR="008F5A6F" w:rsidRDefault="008F5A6F" w:rsidP="008F5A6F">
      <w:pPr>
        <w:pStyle w:val="FootnoteText"/>
      </w:pPr>
    </w:p>
  </w:footnote>
  <w:footnote w:id="2">
    <w:p w:rsidR="00F55E8A" w:rsidRPr="00F21B5D" w:rsidRDefault="00F55E8A" w:rsidP="00F55E8A">
      <w:pPr>
        <w:autoSpaceDE w:val="0"/>
        <w:autoSpaceDN w:val="0"/>
        <w:adjustRightInd w:val="0"/>
        <w:spacing w:after="0" w:line="240" w:lineRule="auto"/>
        <w:rPr>
          <w:rFonts w:ascii="Lato" w:eastAsia="Calibri" w:hAnsi="Lato" w:cs="TimesTen-Roman"/>
          <w:sz w:val="20"/>
          <w:szCs w:val="20"/>
          <w:lang w:eastAsia="en-IE"/>
        </w:rPr>
      </w:pPr>
      <w:r w:rsidRPr="00F21B5D">
        <w:rPr>
          <w:rStyle w:val="FootnoteReference"/>
          <w:rFonts w:ascii="Lato" w:hAnsi="Lato"/>
          <w:sz w:val="20"/>
          <w:szCs w:val="20"/>
        </w:rPr>
        <w:footnoteRef/>
      </w:r>
      <w:r w:rsidRPr="00F21B5D">
        <w:rPr>
          <w:rFonts w:ascii="Lato" w:hAnsi="Lato"/>
          <w:sz w:val="20"/>
          <w:szCs w:val="20"/>
        </w:rPr>
        <w:t xml:space="preserve"> </w:t>
      </w:r>
      <w:r w:rsidRPr="00F21B5D">
        <w:rPr>
          <w:rFonts w:ascii="Lato" w:eastAsia="Calibri" w:hAnsi="Lato" w:cs="Times New Roman"/>
          <w:sz w:val="20"/>
          <w:szCs w:val="20"/>
        </w:rPr>
        <w:t xml:space="preserve">S.I. No. 391 of 2016 </w:t>
      </w:r>
      <w:r w:rsidR="00F21B5D" w:rsidRPr="00F21B5D">
        <w:rPr>
          <w:rFonts w:ascii="Lato" w:eastAsia="Calibri" w:hAnsi="Lato" w:cs="TimesTen-Roman"/>
          <w:sz w:val="20"/>
          <w:szCs w:val="20"/>
          <w:lang w:eastAsia="en-IE"/>
        </w:rPr>
        <w:t>European Union</w:t>
      </w:r>
      <w:r w:rsidRPr="00F21B5D">
        <w:rPr>
          <w:rFonts w:ascii="Lato" w:eastAsia="Calibri" w:hAnsi="Lato" w:cs="TimesTen-Roman"/>
          <w:sz w:val="20"/>
          <w:szCs w:val="20"/>
          <w:lang w:eastAsia="en-IE"/>
        </w:rPr>
        <w:t xml:space="preserve"> (</w:t>
      </w:r>
      <w:r w:rsidR="00F21B5D" w:rsidRPr="00F21B5D">
        <w:rPr>
          <w:rFonts w:ascii="Lato" w:eastAsia="Calibri" w:hAnsi="Lato" w:cs="TimesTen-Roman"/>
          <w:sz w:val="20"/>
          <w:szCs w:val="20"/>
          <w:lang w:eastAsia="en-IE"/>
        </w:rPr>
        <w:t>Reduction of Cost of Deploying High</w:t>
      </w:r>
      <w:r w:rsidR="002C3FE7">
        <w:rPr>
          <w:rFonts w:ascii="Lato" w:eastAsia="Calibri" w:hAnsi="Lato" w:cs="TimesTen-Roman"/>
          <w:sz w:val="20"/>
          <w:szCs w:val="20"/>
          <w:lang w:eastAsia="en-IE"/>
        </w:rPr>
        <w:t>-S</w:t>
      </w:r>
      <w:r w:rsidR="00F21B5D" w:rsidRPr="00F21B5D">
        <w:rPr>
          <w:rFonts w:ascii="Lato" w:eastAsia="Calibri" w:hAnsi="Lato" w:cs="TimesTen-Roman"/>
          <w:sz w:val="20"/>
          <w:szCs w:val="20"/>
          <w:lang w:eastAsia="en-IE"/>
        </w:rPr>
        <w:t>peed Public Communications Networks</w:t>
      </w:r>
      <w:r w:rsidRPr="00F21B5D">
        <w:rPr>
          <w:rFonts w:ascii="Lato" w:eastAsia="Calibri" w:hAnsi="Lato" w:cs="TimesTen-Roman"/>
          <w:sz w:val="20"/>
          <w:szCs w:val="20"/>
          <w:lang w:eastAsia="en-IE"/>
        </w:rPr>
        <w:t>) R</w:t>
      </w:r>
      <w:r w:rsidR="00F21B5D" w:rsidRPr="00F21B5D">
        <w:rPr>
          <w:rFonts w:ascii="Lato" w:eastAsia="Calibri" w:hAnsi="Lato" w:cs="TimesTen-Roman"/>
          <w:sz w:val="20"/>
          <w:szCs w:val="20"/>
          <w:lang w:eastAsia="en-IE"/>
        </w:rPr>
        <w:t>egulations</w:t>
      </w:r>
      <w:r w:rsidRPr="00F21B5D">
        <w:rPr>
          <w:rFonts w:ascii="Lato" w:eastAsia="Calibri" w:hAnsi="Lato" w:cs="TimesTen-Roman"/>
          <w:sz w:val="20"/>
          <w:szCs w:val="20"/>
          <w:lang w:eastAsia="en-IE"/>
        </w:rPr>
        <w:t xml:space="preserve"> 2016</w:t>
      </w:r>
      <w:r w:rsidRPr="00F21B5D">
        <w:rPr>
          <w:rFonts w:ascii="Lato" w:eastAsia="Calibri" w:hAnsi="Lato" w:cs="Times New Roman"/>
          <w:sz w:val="20"/>
          <w:szCs w:val="20"/>
        </w:rPr>
        <w:t xml:space="preserve"> </w:t>
      </w:r>
      <w:r w:rsidR="00BA5007" w:rsidRPr="00BA5007">
        <w:rPr>
          <w:rFonts w:ascii="Lato" w:eastAsia="Calibri" w:hAnsi="Lato" w:cs="Times New Roman"/>
          <w:sz w:val="20"/>
          <w:szCs w:val="20"/>
        </w:rPr>
        <w:t>https://www.irishstatutebook.ie/eli/2016/si/391/made/en/print</w:t>
      </w:r>
    </w:p>
    <w:p w:rsidR="00F55E8A" w:rsidRDefault="00F55E8A" w:rsidP="00F55E8A">
      <w:pPr>
        <w:pStyle w:val="FootnoteText"/>
      </w:pPr>
    </w:p>
  </w:footnote>
  <w:footnote w:id="3">
    <w:p w:rsidR="006A5A1E" w:rsidRDefault="006A5A1E" w:rsidP="006A5A1E">
      <w:pPr>
        <w:autoSpaceDE w:val="0"/>
        <w:autoSpaceDN w:val="0"/>
        <w:adjustRightInd w:val="0"/>
        <w:spacing w:after="0" w:line="240" w:lineRule="auto"/>
        <w:rPr>
          <w:rFonts w:ascii="Lato" w:eastAsia="Calibri" w:hAnsi="Lato" w:cs="Times New Roman"/>
          <w:sz w:val="20"/>
          <w:szCs w:val="20"/>
        </w:rPr>
      </w:pPr>
      <w:r w:rsidRPr="00F21B5D">
        <w:rPr>
          <w:rStyle w:val="FootnoteReference"/>
          <w:rFonts w:ascii="Lato" w:hAnsi="Lato"/>
          <w:sz w:val="20"/>
          <w:szCs w:val="20"/>
        </w:rPr>
        <w:footnoteRef/>
      </w:r>
      <w:r w:rsidRPr="00F21B5D">
        <w:rPr>
          <w:rFonts w:ascii="Lato" w:hAnsi="Lato"/>
          <w:sz w:val="20"/>
          <w:szCs w:val="20"/>
        </w:rPr>
        <w:t xml:space="preserve"> </w:t>
      </w:r>
      <w:r w:rsidRPr="004A7DA5">
        <w:rPr>
          <w:rFonts w:ascii="Lato" w:eastAsia="Calibri" w:hAnsi="Lato" w:cs="Times New Roman"/>
          <w:sz w:val="20"/>
          <w:szCs w:val="20"/>
        </w:rPr>
        <w:t>Support for the preparation of an</w:t>
      </w:r>
      <w:r>
        <w:rPr>
          <w:rFonts w:ascii="Lato" w:eastAsia="Calibri" w:hAnsi="Lato" w:cs="Times New Roman"/>
          <w:sz w:val="20"/>
          <w:szCs w:val="20"/>
        </w:rPr>
        <w:t xml:space="preserve"> </w:t>
      </w:r>
      <w:r w:rsidRPr="004A7DA5">
        <w:rPr>
          <w:rFonts w:ascii="Lato" w:eastAsia="Calibri" w:hAnsi="Lato" w:cs="Times New Roman"/>
          <w:sz w:val="20"/>
          <w:szCs w:val="20"/>
        </w:rPr>
        <w:t>impact assessment to accompany an</w:t>
      </w:r>
      <w:r>
        <w:rPr>
          <w:rFonts w:ascii="Lato" w:eastAsia="Calibri" w:hAnsi="Lato" w:cs="Times New Roman"/>
          <w:sz w:val="20"/>
          <w:szCs w:val="20"/>
        </w:rPr>
        <w:t xml:space="preserve"> </w:t>
      </w:r>
      <w:r w:rsidRPr="004A7DA5">
        <w:rPr>
          <w:rFonts w:ascii="Lato" w:eastAsia="Calibri" w:hAnsi="Lato" w:cs="Times New Roman"/>
          <w:sz w:val="20"/>
          <w:szCs w:val="20"/>
        </w:rPr>
        <w:t>EU initiative on reducing the costs of</w:t>
      </w:r>
      <w:r>
        <w:rPr>
          <w:rFonts w:ascii="Lato" w:eastAsia="Calibri" w:hAnsi="Lato" w:cs="Times New Roman"/>
          <w:sz w:val="20"/>
          <w:szCs w:val="20"/>
        </w:rPr>
        <w:t xml:space="preserve"> </w:t>
      </w:r>
      <w:r w:rsidRPr="004A7DA5">
        <w:rPr>
          <w:rFonts w:ascii="Lato" w:eastAsia="Calibri" w:hAnsi="Lato" w:cs="Times New Roman"/>
          <w:sz w:val="20"/>
          <w:szCs w:val="20"/>
        </w:rPr>
        <w:t>high-speed broadband infrastructure</w:t>
      </w:r>
      <w:r>
        <w:rPr>
          <w:rFonts w:ascii="Lato" w:eastAsia="Calibri" w:hAnsi="Lato" w:cs="Times New Roman"/>
          <w:sz w:val="20"/>
          <w:szCs w:val="20"/>
        </w:rPr>
        <w:t xml:space="preserve"> </w:t>
      </w:r>
      <w:r w:rsidRPr="004A7DA5">
        <w:rPr>
          <w:rFonts w:ascii="Lato" w:eastAsia="Calibri" w:hAnsi="Lato" w:cs="Times New Roman"/>
          <w:sz w:val="20"/>
          <w:szCs w:val="20"/>
        </w:rPr>
        <w:t>deployment</w:t>
      </w:r>
      <w:r>
        <w:rPr>
          <w:rFonts w:ascii="Lato" w:eastAsia="Calibri" w:hAnsi="Lato" w:cs="Times New Roman"/>
          <w:sz w:val="20"/>
          <w:szCs w:val="20"/>
        </w:rPr>
        <w:t xml:space="preserve"> – Final Report</w:t>
      </w:r>
    </w:p>
    <w:p w:rsidR="006A5A1E" w:rsidRPr="00F21B5D" w:rsidRDefault="006A5A1E" w:rsidP="006A5A1E">
      <w:pPr>
        <w:autoSpaceDE w:val="0"/>
        <w:autoSpaceDN w:val="0"/>
        <w:adjustRightInd w:val="0"/>
        <w:spacing w:after="0" w:line="240" w:lineRule="auto"/>
        <w:rPr>
          <w:rFonts w:ascii="Lato" w:eastAsia="Calibri" w:hAnsi="Lato" w:cs="TimesTen-Roman"/>
          <w:sz w:val="20"/>
          <w:szCs w:val="20"/>
          <w:lang w:eastAsia="en-IE"/>
        </w:rPr>
      </w:pPr>
      <w:r>
        <w:rPr>
          <w:rFonts w:ascii="Lato" w:eastAsia="Calibri" w:hAnsi="Lato" w:cs="Times New Roman"/>
          <w:sz w:val="20"/>
          <w:szCs w:val="20"/>
        </w:rPr>
        <w:t xml:space="preserve">See: </w:t>
      </w:r>
      <w:r w:rsidRPr="006A5A1E">
        <w:rPr>
          <w:rFonts w:ascii="Lato" w:eastAsia="Calibri" w:hAnsi="Lato" w:cs="Times New Roman"/>
          <w:sz w:val="20"/>
          <w:szCs w:val="20"/>
        </w:rPr>
        <w:t>https://op.europa.eu/cs/publication-detail/-/publication/fbbfe455-d00d-4ae7-af7c-c2ba1d819d85</w:t>
      </w:r>
    </w:p>
    <w:p w:rsidR="006A5A1E" w:rsidRDefault="006A5A1E" w:rsidP="006A5A1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14F"/>
    <w:multiLevelType w:val="multilevel"/>
    <w:tmpl w:val="90162152"/>
    <w:lvl w:ilvl="0">
      <w:start w:val="1"/>
      <w:numFmt w:val="none"/>
      <w:lvlText w:val="7.1"/>
      <w:lvlJc w:val="left"/>
      <w:pPr>
        <w:ind w:left="720" w:hanging="720"/>
      </w:pPr>
      <w:rPr>
        <w:rFonts w:hint="default"/>
      </w:rPr>
    </w:lvl>
    <w:lvl w:ilvl="1">
      <w:start w:val="1"/>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4B76855"/>
    <w:multiLevelType w:val="multilevel"/>
    <w:tmpl w:val="2B2EE70A"/>
    <w:lvl w:ilvl="0">
      <w:start w:val="10"/>
      <w:numFmt w:val="decimal"/>
      <w:lvlText w:val="%1.0"/>
      <w:lvlJc w:val="left"/>
      <w:pPr>
        <w:ind w:left="794" w:hanging="720"/>
      </w:pPr>
      <w:rPr>
        <w:rFonts w:hint="default"/>
      </w:rPr>
    </w:lvl>
    <w:lvl w:ilvl="1">
      <w:start w:val="1"/>
      <w:numFmt w:val="decimal"/>
      <w:lvlText w:val="%1.%2"/>
      <w:lvlJc w:val="left"/>
      <w:pPr>
        <w:ind w:left="1514" w:hanging="72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3314" w:hanging="1080"/>
      </w:pPr>
      <w:rPr>
        <w:rFonts w:hint="default"/>
      </w:rPr>
    </w:lvl>
    <w:lvl w:ilvl="4">
      <w:start w:val="1"/>
      <w:numFmt w:val="decimal"/>
      <w:lvlText w:val="%1.%2.%3.%4.%5"/>
      <w:lvlJc w:val="left"/>
      <w:pPr>
        <w:ind w:left="4034" w:hanging="1080"/>
      </w:pPr>
      <w:rPr>
        <w:rFonts w:hint="default"/>
      </w:rPr>
    </w:lvl>
    <w:lvl w:ilvl="5">
      <w:start w:val="1"/>
      <w:numFmt w:val="decimal"/>
      <w:lvlText w:val="%1.%2.%3.%4.%5.%6"/>
      <w:lvlJc w:val="left"/>
      <w:pPr>
        <w:ind w:left="5114" w:hanging="1440"/>
      </w:pPr>
      <w:rPr>
        <w:rFonts w:hint="default"/>
      </w:rPr>
    </w:lvl>
    <w:lvl w:ilvl="6">
      <w:start w:val="1"/>
      <w:numFmt w:val="decimal"/>
      <w:lvlText w:val="%1.%2.%3.%4.%5.%6.%7"/>
      <w:lvlJc w:val="left"/>
      <w:pPr>
        <w:ind w:left="6194" w:hanging="1800"/>
      </w:pPr>
      <w:rPr>
        <w:rFonts w:hint="default"/>
      </w:rPr>
    </w:lvl>
    <w:lvl w:ilvl="7">
      <w:start w:val="1"/>
      <w:numFmt w:val="decimal"/>
      <w:lvlText w:val="%1.%2.%3.%4.%5.%6.%7.%8"/>
      <w:lvlJc w:val="left"/>
      <w:pPr>
        <w:ind w:left="6914" w:hanging="1800"/>
      </w:pPr>
      <w:rPr>
        <w:rFonts w:hint="default"/>
      </w:rPr>
    </w:lvl>
    <w:lvl w:ilvl="8">
      <w:start w:val="1"/>
      <w:numFmt w:val="decimal"/>
      <w:lvlText w:val="%1.%2.%3.%4.%5.%6.%7.%8.%9"/>
      <w:lvlJc w:val="left"/>
      <w:pPr>
        <w:ind w:left="7994" w:hanging="2160"/>
      </w:pPr>
      <w:rPr>
        <w:rFonts w:hint="default"/>
      </w:rPr>
    </w:lvl>
  </w:abstractNum>
  <w:abstractNum w:abstractNumId="2" w15:restartNumberingAfterBreak="0">
    <w:nsid w:val="3AA75200"/>
    <w:multiLevelType w:val="multilevel"/>
    <w:tmpl w:val="3F202DD8"/>
    <w:lvl w:ilvl="0">
      <w:start w:val="1"/>
      <w:numFmt w:val="none"/>
      <w:lvlText w:val="7.2"/>
      <w:lvlJc w:val="left"/>
      <w:pPr>
        <w:ind w:left="720" w:hanging="720"/>
      </w:pPr>
      <w:rPr>
        <w:rFonts w:hint="default"/>
      </w:rPr>
    </w:lvl>
    <w:lvl w:ilvl="1">
      <w:start w:val="1"/>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F167506"/>
    <w:multiLevelType w:val="multilevel"/>
    <w:tmpl w:val="1DEEBD7A"/>
    <w:lvl w:ilvl="0">
      <w:start w:val="1"/>
      <w:numFmt w:val="decimal"/>
      <w:lvlText w:val="%1.0"/>
      <w:lvlJc w:val="left"/>
      <w:pPr>
        <w:ind w:left="794" w:hanging="720"/>
      </w:pPr>
      <w:rPr>
        <w:rFonts w:hint="default"/>
      </w:rPr>
    </w:lvl>
    <w:lvl w:ilvl="1">
      <w:start w:val="1"/>
      <w:numFmt w:val="decimal"/>
      <w:lvlText w:val="%2.1"/>
      <w:lvlJc w:val="left"/>
      <w:pPr>
        <w:ind w:left="1514" w:hanging="72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3314" w:hanging="1080"/>
      </w:pPr>
      <w:rPr>
        <w:rFonts w:hint="default"/>
      </w:rPr>
    </w:lvl>
    <w:lvl w:ilvl="4">
      <w:start w:val="1"/>
      <w:numFmt w:val="decimal"/>
      <w:lvlText w:val="%1.%2.%3.%4.%5"/>
      <w:lvlJc w:val="left"/>
      <w:pPr>
        <w:ind w:left="4034" w:hanging="1080"/>
      </w:pPr>
      <w:rPr>
        <w:rFonts w:hint="default"/>
      </w:rPr>
    </w:lvl>
    <w:lvl w:ilvl="5">
      <w:start w:val="1"/>
      <w:numFmt w:val="decimal"/>
      <w:lvlText w:val="%1.%2.%3.%4.%5.%6"/>
      <w:lvlJc w:val="left"/>
      <w:pPr>
        <w:ind w:left="5114" w:hanging="1440"/>
      </w:pPr>
      <w:rPr>
        <w:rFonts w:hint="default"/>
      </w:rPr>
    </w:lvl>
    <w:lvl w:ilvl="6">
      <w:start w:val="1"/>
      <w:numFmt w:val="decimal"/>
      <w:lvlText w:val="%1.%2.%3.%4.%5.%6.%7"/>
      <w:lvlJc w:val="left"/>
      <w:pPr>
        <w:ind w:left="6194" w:hanging="1800"/>
      </w:pPr>
      <w:rPr>
        <w:rFonts w:hint="default"/>
      </w:rPr>
    </w:lvl>
    <w:lvl w:ilvl="7">
      <w:start w:val="1"/>
      <w:numFmt w:val="decimal"/>
      <w:lvlText w:val="%1.%2.%3.%4.%5.%6.%7.%8"/>
      <w:lvlJc w:val="left"/>
      <w:pPr>
        <w:ind w:left="6914" w:hanging="1800"/>
      </w:pPr>
      <w:rPr>
        <w:rFonts w:hint="default"/>
      </w:rPr>
    </w:lvl>
    <w:lvl w:ilvl="8">
      <w:start w:val="1"/>
      <w:numFmt w:val="decimal"/>
      <w:lvlText w:val="%1.%2.%3.%4.%5.%6.%7.%8.%9"/>
      <w:lvlJc w:val="left"/>
      <w:pPr>
        <w:ind w:left="7994" w:hanging="2160"/>
      </w:pPr>
      <w:rPr>
        <w:rFonts w:hint="default"/>
      </w:rPr>
    </w:lvl>
  </w:abstractNum>
  <w:abstractNum w:abstractNumId="4" w15:restartNumberingAfterBreak="0">
    <w:nsid w:val="61D60A60"/>
    <w:multiLevelType w:val="multilevel"/>
    <w:tmpl w:val="BD32BBB6"/>
    <w:lvl w:ilvl="0">
      <w:start w:val="1"/>
      <w:numFmt w:val="none"/>
      <w:lvlText w:val="2.1"/>
      <w:lvlJc w:val="left"/>
      <w:pPr>
        <w:ind w:left="794" w:hanging="720"/>
      </w:pPr>
      <w:rPr>
        <w:rFonts w:hint="default"/>
      </w:rPr>
    </w:lvl>
    <w:lvl w:ilvl="1">
      <w:start w:val="1"/>
      <w:numFmt w:val="decimal"/>
      <w:lvlText w:val="%2.1"/>
      <w:lvlJc w:val="left"/>
      <w:pPr>
        <w:ind w:left="1514" w:hanging="72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3314" w:hanging="1080"/>
      </w:pPr>
      <w:rPr>
        <w:rFonts w:hint="default"/>
      </w:rPr>
    </w:lvl>
    <w:lvl w:ilvl="4">
      <w:start w:val="1"/>
      <w:numFmt w:val="decimal"/>
      <w:lvlText w:val="%1.%2.%3.%4.%5"/>
      <w:lvlJc w:val="left"/>
      <w:pPr>
        <w:ind w:left="4034" w:hanging="1080"/>
      </w:pPr>
      <w:rPr>
        <w:rFonts w:hint="default"/>
      </w:rPr>
    </w:lvl>
    <w:lvl w:ilvl="5">
      <w:start w:val="1"/>
      <w:numFmt w:val="decimal"/>
      <w:lvlText w:val="%1.%2.%3.%4.%5.%6"/>
      <w:lvlJc w:val="left"/>
      <w:pPr>
        <w:ind w:left="5114" w:hanging="1440"/>
      </w:pPr>
      <w:rPr>
        <w:rFonts w:hint="default"/>
      </w:rPr>
    </w:lvl>
    <w:lvl w:ilvl="6">
      <w:start w:val="1"/>
      <w:numFmt w:val="decimal"/>
      <w:lvlText w:val="%1.%2.%3.%4.%5.%6.%7"/>
      <w:lvlJc w:val="left"/>
      <w:pPr>
        <w:ind w:left="6194" w:hanging="1800"/>
      </w:pPr>
      <w:rPr>
        <w:rFonts w:hint="default"/>
      </w:rPr>
    </w:lvl>
    <w:lvl w:ilvl="7">
      <w:start w:val="1"/>
      <w:numFmt w:val="decimal"/>
      <w:lvlText w:val="%1.%2.%3.%4.%5.%6.%7.%8"/>
      <w:lvlJc w:val="left"/>
      <w:pPr>
        <w:ind w:left="6914" w:hanging="1800"/>
      </w:pPr>
      <w:rPr>
        <w:rFonts w:hint="default"/>
      </w:rPr>
    </w:lvl>
    <w:lvl w:ilvl="8">
      <w:start w:val="1"/>
      <w:numFmt w:val="decimal"/>
      <w:lvlText w:val="%1.%2.%3.%4.%5.%6.%7.%8.%9"/>
      <w:lvlJc w:val="left"/>
      <w:pPr>
        <w:ind w:left="7994" w:hanging="2160"/>
      </w:pPr>
      <w:rPr>
        <w:rFonts w:hint="default"/>
      </w:rPr>
    </w:lvl>
  </w:abstractNum>
  <w:abstractNum w:abstractNumId="5" w15:restartNumberingAfterBreak="0">
    <w:nsid w:val="6C1F2B17"/>
    <w:multiLevelType w:val="multilevel"/>
    <w:tmpl w:val="1DEEBD7A"/>
    <w:lvl w:ilvl="0">
      <w:start w:val="1"/>
      <w:numFmt w:val="decimal"/>
      <w:lvlText w:val="%1.0"/>
      <w:lvlJc w:val="left"/>
      <w:pPr>
        <w:ind w:left="794" w:hanging="720"/>
      </w:pPr>
      <w:rPr>
        <w:rFonts w:hint="default"/>
      </w:rPr>
    </w:lvl>
    <w:lvl w:ilvl="1">
      <w:start w:val="1"/>
      <w:numFmt w:val="decimal"/>
      <w:lvlText w:val="%2.1"/>
      <w:lvlJc w:val="left"/>
      <w:pPr>
        <w:ind w:left="1514" w:hanging="720"/>
      </w:pPr>
      <w:rPr>
        <w:rFonts w:hint="default"/>
      </w:rPr>
    </w:lvl>
    <w:lvl w:ilvl="2">
      <w:start w:val="1"/>
      <w:numFmt w:val="decimal"/>
      <w:lvlText w:val="%1.%2.%3"/>
      <w:lvlJc w:val="left"/>
      <w:pPr>
        <w:ind w:left="2234" w:hanging="720"/>
      </w:pPr>
      <w:rPr>
        <w:rFonts w:hint="default"/>
      </w:rPr>
    </w:lvl>
    <w:lvl w:ilvl="3">
      <w:start w:val="1"/>
      <w:numFmt w:val="decimal"/>
      <w:lvlText w:val="%1.%2.%3.%4"/>
      <w:lvlJc w:val="left"/>
      <w:pPr>
        <w:ind w:left="3314" w:hanging="1080"/>
      </w:pPr>
      <w:rPr>
        <w:rFonts w:hint="default"/>
      </w:rPr>
    </w:lvl>
    <w:lvl w:ilvl="4">
      <w:start w:val="1"/>
      <w:numFmt w:val="decimal"/>
      <w:lvlText w:val="%1.%2.%3.%4.%5"/>
      <w:lvlJc w:val="left"/>
      <w:pPr>
        <w:ind w:left="4034" w:hanging="1080"/>
      </w:pPr>
      <w:rPr>
        <w:rFonts w:hint="default"/>
      </w:rPr>
    </w:lvl>
    <w:lvl w:ilvl="5">
      <w:start w:val="1"/>
      <w:numFmt w:val="decimal"/>
      <w:lvlText w:val="%1.%2.%3.%4.%5.%6"/>
      <w:lvlJc w:val="left"/>
      <w:pPr>
        <w:ind w:left="5114" w:hanging="1440"/>
      </w:pPr>
      <w:rPr>
        <w:rFonts w:hint="default"/>
      </w:rPr>
    </w:lvl>
    <w:lvl w:ilvl="6">
      <w:start w:val="1"/>
      <w:numFmt w:val="decimal"/>
      <w:lvlText w:val="%1.%2.%3.%4.%5.%6.%7"/>
      <w:lvlJc w:val="left"/>
      <w:pPr>
        <w:ind w:left="6194" w:hanging="1800"/>
      </w:pPr>
      <w:rPr>
        <w:rFonts w:hint="default"/>
      </w:rPr>
    </w:lvl>
    <w:lvl w:ilvl="7">
      <w:start w:val="1"/>
      <w:numFmt w:val="decimal"/>
      <w:lvlText w:val="%1.%2.%3.%4.%5.%6.%7.%8"/>
      <w:lvlJc w:val="left"/>
      <w:pPr>
        <w:ind w:left="6914" w:hanging="1800"/>
      </w:pPr>
      <w:rPr>
        <w:rFonts w:hint="default"/>
      </w:rPr>
    </w:lvl>
    <w:lvl w:ilvl="8">
      <w:start w:val="1"/>
      <w:numFmt w:val="decimal"/>
      <w:lvlText w:val="%1.%2.%3.%4.%5.%6.%7.%8.%9"/>
      <w:lvlJc w:val="left"/>
      <w:pPr>
        <w:ind w:left="7994" w:hanging="2160"/>
      </w:pPr>
      <w:rPr>
        <w:rFonts w:hint="default"/>
      </w:rPr>
    </w:lvl>
  </w:abstractNum>
  <w:abstractNum w:abstractNumId="6" w15:restartNumberingAfterBreak="0">
    <w:nsid w:val="6EC7258F"/>
    <w:multiLevelType w:val="multilevel"/>
    <w:tmpl w:val="1DEEBD7A"/>
    <w:lvl w:ilvl="0">
      <w:start w:val="1"/>
      <w:numFmt w:val="decimal"/>
      <w:lvlText w:val="%1.0"/>
      <w:lvlJc w:val="left"/>
      <w:pPr>
        <w:ind w:left="720" w:hanging="720"/>
      </w:pPr>
      <w:rPr>
        <w:rFonts w:hint="default"/>
      </w:rPr>
    </w:lvl>
    <w:lvl w:ilvl="1">
      <w:start w:val="1"/>
      <w:numFmt w:val="decimal"/>
      <w:lvlText w:val="%2.1"/>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0BA"/>
    <w:rsid w:val="00047951"/>
    <w:rsid w:val="00056DD1"/>
    <w:rsid w:val="00076D01"/>
    <w:rsid w:val="000A68E5"/>
    <w:rsid w:val="000B03CA"/>
    <w:rsid w:val="000B5DA3"/>
    <w:rsid w:val="000D5BA9"/>
    <w:rsid w:val="000E65E3"/>
    <w:rsid w:val="001034F5"/>
    <w:rsid w:val="00107D6D"/>
    <w:rsid w:val="00112673"/>
    <w:rsid w:val="00115778"/>
    <w:rsid w:val="00132C96"/>
    <w:rsid w:val="00147EBE"/>
    <w:rsid w:val="00165910"/>
    <w:rsid w:val="0017384D"/>
    <w:rsid w:val="001956DE"/>
    <w:rsid w:val="001A10BA"/>
    <w:rsid w:val="001B2A8E"/>
    <w:rsid w:val="00202114"/>
    <w:rsid w:val="00231D16"/>
    <w:rsid w:val="00251D58"/>
    <w:rsid w:val="00260C68"/>
    <w:rsid w:val="00264FB4"/>
    <w:rsid w:val="00280C73"/>
    <w:rsid w:val="00280C7B"/>
    <w:rsid w:val="00291429"/>
    <w:rsid w:val="002B0F9C"/>
    <w:rsid w:val="002C3FE7"/>
    <w:rsid w:val="002C475A"/>
    <w:rsid w:val="002D3F66"/>
    <w:rsid w:val="002F5471"/>
    <w:rsid w:val="002F7214"/>
    <w:rsid w:val="0035348A"/>
    <w:rsid w:val="0036451D"/>
    <w:rsid w:val="00384155"/>
    <w:rsid w:val="00390CB0"/>
    <w:rsid w:val="003B3A17"/>
    <w:rsid w:val="003C71CE"/>
    <w:rsid w:val="003D6817"/>
    <w:rsid w:val="0041203B"/>
    <w:rsid w:val="00420052"/>
    <w:rsid w:val="004406FB"/>
    <w:rsid w:val="00443BE3"/>
    <w:rsid w:val="0044412E"/>
    <w:rsid w:val="00456076"/>
    <w:rsid w:val="004657DE"/>
    <w:rsid w:val="00474737"/>
    <w:rsid w:val="00475867"/>
    <w:rsid w:val="00480623"/>
    <w:rsid w:val="004A52E7"/>
    <w:rsid w:val="004A7DA5"/>
    <w:rsid w:val="004B1F87"/>
    <w:rsid w:val="004B4A3B"/>
    <w:rsid w:val="004E56C1"/>
    <w:rsid w:val="00512D36"/>
    <w:rsid w:val="00575EB3"/>
    <w:rsid w:val="005A5696"/>
    <w:rsid w:val="005D5FFF"/>
    <w:rsid w:val="005E4B9E"/>
    <w:rsid w:val="00607B26"/>
    <w:rsid w:val="00636F2E"/>
    <w:rsid w:val="0064643E"/>
    <w:rsid w:val="006620B8"/>
    <w:rsid w:val="006A5A1E"/>
    <w:rsid w:val="006C3C19"/>
    <w:rsid w:val="006D684A"/>
    <w:rsid w:val="00703BFC"/>
    <w:rsid w:val="007257A9"/>
    <w:rsid w:val="00757680"/>
    <w:rsid w:val="007578FD"/>
    <w:rsid w:val="0078246B"/>
    <w:rsid w:val="007A3C76"/>
    <w:rsid w:val="007B0BE7"/>
    <w:rsid w:val="007C44C0"/>
    <w:rsid w:val="007C6E52"/>
    <w:rsid w:val="008657B7"/>
    <w:rsid w:val="00871E1C"/>
    <w:rsid w:val="008944B8"/>
    <w:rsid w:val="008A4E2C"/>
    <w:rsid w:val="008B51B5"/>
    <w:rsid w:val="008B5A92"/>
    <w:rsid w:val="008D331C"/>
    <w:rsid w:val="008F5A6F"/>
    <w:rsid w:val="0091463A"/>
    <w:rsid w:val="009149D2"/>
    <w:rsid w:val="00966BC3"/>
    <w:rsid w:val="00981F44"/>
    <w:rsid w:val="0099009E"/>
    <w:rsid w:val="009C1E8F"/>
    <w:rsid w:val="009C5CE6"/>
    <w:rsid w:val="009D3B09"/>
    <w:rsid w:val="009E0FC2"/>
    <w:rsid w:val="009E5E5E"/>
    <w:rsid w:val="00A20F17"/>
    <w:rsid w:val="00A65FB2"/>
    <w:rsid w:val="00A6627D"/>
    <w:rsid w:val="00AC3B4B"/>
    <w:rsid w:val="00AC44FC"/>
    <w:rsid w:val="00AD2091"/>
    <w:rsid w:val="00AD79C2"/>
    <w:rsid w:val="00B07869"/>
    <w:rsid w:val="00B53A20"/>
    <w:rsid w:val="00B56610"/>
    <w:rsid w:val="00B63286"/>
    <w:rsid w:val="00B65578"/>
    <w:rsid w:val="00BA5007"/>
    <w:rsid w:val="00BA63DC"/>
    <w:rsid w:val="00BD7EC7"/>
    <w:rsid w:val="00BE2E52"/>
    <w:rsid w:val="00C10259"/>
    <w:rsid w:val="00C50F1E"/>
    <w:rsid w:val="00C539A0"/>
    <w:rsid w:val="00C71488"/>
    <w:rsid w:val="00C957E9"/>
    <w:rsid w:val="00CA46D2"/>
    <w:rsid w:val="00CB5EEF"/>
    <w:rsid w:val="00CD0B58"/>
    <w:rsid w:val="00CE01AF"/>
    <w:rsid w:val="00CF18A0"/>
    <w:rsid w:val="00D008DA"/>
    <w:rsid w:val="00D378CC"/>
    <w:rsid w:val="00D45130"/>
    <w:rsid w:val="00D541C2"/>
    <w:rsid w:val="00D57CA4"/>
    <w:rsid w:val="00D90545"/>
    <w:rsid w:val="00DA0919"/>
    <w:rsid w:val="00DB1205"/>
    <w:rsid w:val="00DD2149"/>
    <w:rsid w:val="00DD2877"/>
    <w:rsid w:val="00DE2F3B"/>
    <w:rsid w:val="00DF0BBE"/>
    <w:rsid w:val="00DF7C14"/>
    <w:rsid w:val="00E050E5"/>
    <w:rsid w:val="00E102A0"/>
    <w:rsid w:val="00E1769E"/>
    <w:rsid w:val="00E26DAE"/>
    <w:rsid w:val="00E8600B"/>
    <w:rsid w:val="00EB60BF"/>
    <w:rsid w:val="00EC0FF6"/>
    <w:rsid w:val="00ED331E"/>
    <w:rsid w:val="00EE313E"/>
    <w:rsid w:val="00EF0EF7"/>
    <w:rsid w:val="00F06649"/>
    <w:rsid w:val="00F1116E"/>
    <w:rsid w:val="00F1195C"/>
    <w:rsid w:val="00F13662"/>
    <w:rsid w:val="00F140F4"/>
    <w:rsid w:val="00F21B5D"/>
    <w:rsid w:val="00F30498"/>
    <w:rsid w:val="00F5289D"/>
    <w:rsid w:val="00F55E8A"/>
    <w:rsid w:val="00F67BFA"/>
    <w:rsid w:val="00F73F3E"/>
    <w:rsid w:val="00F8108F"/>
    <w:rsid w:val="00F84CAC"/>
    <w:rsid w:val="00FD0450"/>
    <w:rsid w:val="00FD1A69"/>
    <w:rsid w:val="00FE773B"/>
    <w:rsid w:val="00FE7E4F"/>
    <w:rsid w:val="00FF40DD"/>
    <w:rsid w:val="00FF51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AE5BF"/>
  <w15:chartTrackingRefBased/>
  <w15:docId w15:val="{2B53EEA3-FCC3-4956-B890-637DDD4E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54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A6F"/>
    <w:pPr>
      <w:ind w:left="720"/>
      <w:contextualSpacing/>
    </w:pPr>
  </w:style>
  <w:style w:type="character" w:styleId="Hyperlink">
    <w:name w:val="Hyperlink"/>
    <w:basedOn w:val="DefaultParagraphFont"/>
    <w:uiPriority w:val="99"/>
    <w:unhideWhenUsed/>
    <w:rsid w:val="008F5A6F"/>
    <w:rPr>
      <w:color w:val="0563C1" w:themeColor="hyperlink"/>
      <w:u w:val="single"/>
    </w:rPr>
  </w:style>
  <w:style w:type="paragraph" w:styleId="FootnoteText">
    <w:name w:val="footnote text"/>
    <w:basedOn w:val="Normal"/>
    <w:link w:val="FootnoteTextChar"/>
    <w:uiPriority w:val="99"/>
    <w:semiHidden/>
    <w:unhideWhenUsed/>
    <w:rsid w:val="008F5A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5A6F"/>
    <w:rPr>
      <w:sz w:val="20"/>
      <w:szCs w:val="20"/>
    </w:rPr>
  </w:style>
  <w:style w:type="character" w:styleId="FootnoteReference">
    <w:name w:val="footnote reference"/>
    <w:basedOn w:val="DefaultParagraphFont"/>
    <w:uiPriority w:val="99"/>
    <w:semiHidden/>
    <w:unhideWhenUsed/>
    <w:rsid w:val="008F5A6F"/>
    <w:rPr>
      <w:vertAlign w:val="superscript"/>
    </w:rPr>
  </w:style>
  <w:style w:type="character" w:styleId="CommentReference">
    <w:name w:val="annotation reference"/>
    <w:basedOn w:val="DefaultParagraphFont"/>
    <w:uiPriority w:val="99"/>
    <w:semiHidden/>
    <w:unhideWhenUsed/>
    <w:rsid w:val="00DD2877"/>
    <w:rPr>
      <w:sz w:val="16"/>
      <w:szCs w:val="16"/>
    </w:rPr>
  </w:style>
  <w:style w:type="paragraph" w:styleId="CommentText">
    <w:name w:val="annotation text"/>
    <w:basedOn w:val="Normal"/>
    <w:link w:val="CommentTextChar"/>
    <w:uiPriority w:val="99"/>
    <w:unhideWhenUsed/>
    <w:rsid w:val="00DD2877"/>
    <w:pPr>
      <w:spacing w:line="240" w:lineRule="auto"/>
    </w:pPr>
    <w:rPr>
      <w:sz w:val="20"/>
      <w:szCs w:val="20"/>
    </w:rPr>
  </w:style>
  <w:style w:type="character" w:customStyle="1" w:styleId="CommentTextChar">
    <w:name w:val="Comment Text Char"/>
    <w:basedOn w:val="DefaultParagraphFont"/>
    <w:link w:val="CommentText"/>
    <w:uiPriority w:val="99"/>
    <w:rsid w:val="00DD2877"/>
    <w:rPr>
      <w:sz w:val="20"/>
      <w:szCs w:val="20"/>
    </w:rPr>
  </w:style>
  <w:style w:type="paragraph" w:styleId="BalloonText">
    <w:name w:val="Balloon Text"/>
    <w:basedOn w:val="Normal"/>
    <w:link w:val="BalloonTextChar"/>
    <w:uiPriority w:val="99"/>
    <w:semiHidden/>
    <w:unhideWhenUsed/>
    <w:rsid w:val="00DD2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8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D3F66"/>
    <w:rPr>
      <w:b/>
      <w:bCs/>
    </w:rPr>
  </w:style>
  <w:style w:type="character" w:customStyle="1" w:styleId="CommentSubjectChar">
    <w:name w:val="Comment Subject Char"/>
    <w:basedOn w:val="CommentTextChar"/>
    <w:link w:val="CommentSubject"/>
    <w:uiPriority w:val="99"/>
    <w:semiHidden/>
    <w:rsid w:val="002D3F66"/>
    <w:rPr>
      <w:b/>
      <w:bCs/>
      <w:sz w:val="20"/>
      <w:szCs w:val="20"/>
    </w:rPr>
  </w:style>
  <w:style w:type="paragraph" w:styleId="Revision">
    <w:name w:val="Revision"/>
    <w:hidden/>
    <w:uiPriority w:val="99"/>
    <w:semiHidden/>
    <w:rsid w:val="00EF0EF7"/>
    <w:pPr>
      <w:spacing w:after="0" w:line="240" w:lineRule="auto"/>
    </w:pPr>
  </w:style>
  <w:style w:type="character" w:styleId="FollowedHyperlink">
    <w:name w:val="FollowedHyperlink"/>
    <w:basedOn w:val="DefaultParagraphFont"/>
    <w:uiPriority w:val="99"/>
    <w:semiHidden/>
    <w:unhideWhenUsed/>
    <w:rsid w:val="005E4B9E"/>
    <w:rPr>
      <w:color w:val="954F72" w:themeColor="followedHyperlink"/>
      <w:u w:val="single"/>
    </w:rPr>
  </w:style>
  <w:style w:type="paragraph" w:styleId="Header">
    <w:name w:val="header"/>
    <w:basedOn w:val="Normal"/>
    <w:link w:val="HeaderChar"/>
    <w:uiPriority w:val="99"/>
    <w:unhideWhenUsed/>
    <w:rsid w:val="006A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A1E"/>
  </w:style>
  <w:style w:type="paragraph" w:styleId="Footer">
    <w:name w:val="footer"/>
    <w:basedOn w:val="Normal"/>
    <w:link w:val="FooterChar"/>
    <w:uiPriority w:val="99"/>
    <w:unhideWhenUsed/>
    <w:rsid w:val="006A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A1E"/>
  </w:style>
  <w:style w:type="paragraph" w:styleId="EndnoteText">
    <w:name w:val="endnote text"/>
    <w:basedOn w:val="Normal"/>
    <w:link w:val="EndnoteTextChar"/>
    <w:uiPriority w:val="99"/>
    <w:semiHidden/>
    <w:unhideWhenUsed/>
    <w:rsid w:val="006A5A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A1E"/>
    <w:rPr>
      <w:sz w:val="20"/>
      <w:szCs w:val="20"/>
    </w:rPr>
  </w:style>
  <w:style w:type="character" w:styleId="EndnoteReference">
    <w:name w:val="endnote reference"/>
    <w:basedOn w:val="DefaultParagraphFont"/>
    <w:uiPriority w:val="99"/>
    <w:semiHidden/>
    <w:unhideWhenUsed/>
    <w:rsid w:val="006A5A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c.europa.eu/commission/priorities/digital-single-marke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E0C34EF92496FC42BB50CAF5713E166C" ma:contentTypeVersion="19" ma:contentTypeDescription="Create a new document for eDocs" ma:contentTypeScope="" ma:versionID="0ce4b6ef2a83e784d782e3b5d8315456">
  <xsd:schema xmlns:xsd="http://www.w3.org/2001/XMLSchema" xmlns:xs="http://www.w3.org/2001/XMLSchema" xmlns:p="http://schemas.microsoft.com/office/2006/metadata/properties" xmlns:ns1="http://schemas.microsoft.com/sharepoint/v3" xmlns:ns2="6fe16537-9e6c-4405-87e4-e378bd3f1183" xmlns:ns3="35d77eae-7d5b-4308-b44f-6687f46a4e78" targetNamespace="http://schemas.microsoft.com/office/2006/metadata/properties" ma:root="true" ma:fieldsID="0a65f690122c967a882d8e9a0d5279c5" ns1:_="" ns2:_="" ns3:_="">
    <xsd:import namespace="http://schemas.microsoft.com/sharepoint/v3"/>
    <xsd:import namespace="6fe16537-9e6c-4405-87e4-e378bd3f1183"/>
    <xsd:import namespace="35d77eae-7d5b-4308-b44f-6687f46a4e7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6fe16537-9e6c-4405-87e4-e378bd3f1183"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default=""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d77eae-7d5b-4308-b44f-6687f46a4e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a25246-6ae1-45c1-901c-30b32bc290ff}" ma:internalName="TaxCatchAll" ma:showField="CatchAllData" ma:web="35d77eae-7d5b-4308-b44f-6687f46a4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SeriesSubSeriesTaxHTField0 xmlns="6fe16537-9e6c-4405-87e4-e378bd3f1183">
      <Terms xmlns="http://schemas.microsoft.com/office/infopath/2007/PartnerControls">
        <TermInfo xmlns="http://schemas.microsoft.com/office/infopath/2007/PartnerControls">
          <TermName xmlns="http://schemas.microsoft.com/office/infopath/2007/PartnerControls">023</TermName>
          <TermId xmlns="http://schemas.microsoft.com/office/infopath/2007/PartnerControls">640d28ed-369d-41bc-ae44-4facb80df557</TermId>
        </TermInfo>
      </Terms>
    </eDocs_SeriesSubSeriesTaxHTField0>
    <eDocs_FileStatus xmlns="http://schemas.microsoft.com/sharepoint/v3">Live</eDocs_FileStatus>
    <TaxCatchAll xmlns="35d77eae-7d5b-4308-b44f-6687f46a4e78">
      <Value>32</Value>
      <Value>3</Value>
      <Value>31</Value>
      <Value>29</Value>
      <Value>1</Value>
    </TaxCatchAll>
    <eDocs_DocumentTopicsTaxHTField0 xmlns="6fe16537-9e6c-4405-87e4-e378bd3f1183">
      <Terms xmlns="http://schemas.microsoft.com/office/infopath/2007/PartnerControls"/>
    </eDocs_DocumentTopicsTaxHTField0>
    <eDocs_FileTopicsTaxHTField0 xmlns="6fe16537-9e6c-4405-87e4-e378bd3f1183">
      <Terms xmlns="http://schemas.microsoft.com/office/infopath/2007/PartnerControls">
        <TermInfo xmlns="http://schemas.microsoft.com/office/infopath/2007/PartnerControls">
          <TermName xmlns="http://schemas.microsoft.com/office/infopath/2007/PartnerControls">Broadband</TermName>
          <TermId xmlns="http://schemas.microsoft.com/office/infopath/2007/PartnerControls">196d832c-64f2-457d-a797-714b50f1161b</TermId>
        </TermInfo>
        <TermInfo xmlns="http://schemas.microsoft.com/office/infopath/2007/PartnerControls">
          <TermName xmlns="http://schemas.microsoft.com/office/infopath/2007/PartnerControls">Part N</TermName>
          <TermId xmlns="http://schemas.microsoft.com/office/infopath/2007/PartnerControls">ecadd2a9-6b8f-449d-ad31-faaf1137a570</TermId>
        </TermInfo>
      </Terms>
    </eDocs_FileTopicsTaxHTField0>
    <eDocs_SecurityClassificationTaxHTField0 xmlns="6fe16537-9e6c-4405-87e4-e378bd3f118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YearTaxHTField0 xmlns="6fe16537-9e6c-4405-87e4-e378bd3f1183">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afe33b4a-99f3-40d4-b891-6a866fe6cadb</TermId>
        </TermInfo>
      </Terms>
    </eDocs_YearTaxHTField0>
    <eDocs_FileName xmlns="http://schemas.microsoft.com/sharepoint/v3">HOU023-002-2021</eDocs_FileNam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2303-6AC5-4B16-82C5-100B04065804}">
  <ds:schemaRefs>
    <ds:schemaRef ds:uri="http://schemas.microsoft.com/sharepoint/events"/>
  </ds:schemaRefs>
</ds:datastoreItem>
</file>

<file path=customXml/itemProps2.xml><?xml version="1.0" encoding="utf-8"?>
<ds:datastoreItem xmlns:ds="http://schemas.openxmlformats.org/officeDocument/2006/customXml" ds:itemID="{6A1716B8-E106-4CCA-817A-4C8D2566834D}">
  <ds:schemaRefs>
    <ds:schemaRef ds:uri="office.server.policy"/>
  </ds:schemaRefs>
</ds:datastoreItem>
</file>

<file path=customXml/itemProps3.xml><?xml version="1.0" encoding="utf-8"?>
<ds:datastoreItem xmlns:ds="http://schemas.openxmlformats.org/officeDocument/2006/customXml" ds:itemID="{6A1C9CD3-6F17-4FAE-A605-768B758D8122}">
  <ds:schemaRefs>
    <ds:schemaRef ds:uri="http://schemas.microsoft.com/sharepoint/v3/contenttype/forms"/>
  </ds:schemaRefs>
</ds:datastoreItem>
</file>

<file path=customXml/itemProps4.xml><?xml version="1.0" encoding="utf-8"?>
<ds:datastoreItem xmlns:ds="http://schemas.openxmlformats.org/officeDocument/2006/customXml" ds:itemID="{E8978459-BAA0-4FB7-9A79-FA5A379FA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e16537-9e6c-4405-87e4-e378bd3f1183"/>
    <ds:schemaRef ds:uri="35d77eae-7d5b-4308-b44f-6687f46a4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9DBAAE-FE15-406C-9990-DF77ACF1061B}">
  <ds:schemaRefs>
    <ds:schemaRef ds:uri="http://schemas.microsoft.com/office/2006/metadata/properties"/>
    <ds:schemaRef ds:uri="http://schemas.microsoft.com/office/infopath/2007/PartnerControls"/>
    <ds:schemaRef ds:uri="6fe16537-9e6c-4405-87e4-e378bd3f1183"/>
    <ds:schemaRef ds:uri="http://schemas.microsoft.com/sharepoint/v3"/>
    <ds:schemaRef ds:uri="35d77eae-7d5b-4308-b44f-6687f46a4e78"/>
  </ds:schemaRefs>
</ds:datastoreItem>
</file>

<file path=customXml/itemProps6.xml><?xml version="1.0" encoding="utf-8"?>
<ds:datastoreItem xmlns:ds="http://schemas.openxmlformats.org/officeDocument/2006/customXml" ds:itemID="{943A87F3-3B40-4F4E-B0B0-09BDEF79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Murray (Housing)</dc:creator>
  <cp:keywords/>
  <dc:description/>
  <cp:lastModifiedBy>Margaret Power (Housing)</cp:lastModifiedBy>
  <cp:revision>3</cp:revision>
  <cp:lastPrinted>2023-04-24T11:58:00Z</cp:lastPrinted>
  <dcterms:created xsi:type="dcterms:W3CDTF">2023-04-25T07:50:00Z</dcterms:created>
  <dcterms:modified xsi:type="dcterms:W3CDTF">2023-04-25T07:50:00Z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0x0101000BC94875665D404BB1351B53C41FD2C000E0C34EF92496FC42BB50CAF5713E166C</vt:lpwstr>
  </property>
  <property fmtid="{D5CDD505-2E9C-101B-9397-08002B2CF9AE}" pid="3" name="eDocs_FileTopics">
    <vt:lpwstr>31;#Broadband|196d832c-64f2-457d-a797-714b50f1161b;#32;#Part N|ecadd2a9-6b8f-449d-ad31-faaf1137a570</vt:lpwstr>
  </property>
  <property fmtid="{D5CDD505-2E9C-101B-9397-08002B2CF9AE}" pid="4" name="eDocs_SecurityClassification">
    <vt:lpwstr>1;#Unclassified|38981149-6ab4-492e-b035-5180b1eb9314</vt:lpwstr>
  </property>
  <property fmtid="{D5CDD505-2E9C-101B-9397-08002B2CF9AE}" pid="5" name="eDocs_Year">
    <vt:lpwstr>3;#2018|afe33b4a-99f3-40d4-b891-6a866fe6cadb</vt:lpwstr>
  </property>
  <property fmtid="{D5CDD505-2E9C-101B-9397-08002B2CF9AE}" pid="6" name="eDocs_SeriesSubSeries">
    <vt:lpwstr>29;#023|640d28ed-369d-41bc-ae44-4facb80df557</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