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Valitsuse määrus nr 559/2023, 14. detsember 2023</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biolagunevate jäätmete tekkimise vältimise meetmete, biolagunevate jäätmetega seotud jäätmekäitlustegevuse üksikasjalike eeskirjade ja biojäätmetest toodetud komposti klassifitseerimise eeskirjade kohta</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Vastavalt 2012. aasta jäätmeseaduse CLXXXV § 88 lõike 1 punktides 28 ja 29 antud volitusele ning seoses § 20, tuginedes 2010. aasta õigusloome seaduse CXXX § 31 lõike 1 punkti a alapunktis ac antud volitusele ning tegutsedes oma põhiseaduse artikli 15 lõikes 1 sätestatud ülesannete piires, kehtestab valitsus järgmist.</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Kohaldamisala</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 1 Käesolev määrus käsitleb</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biolagunevate jäätmete tekke vältimist,</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biolagunevaid jäätmeid,</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stabiliseeritud jäätmeid,</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segajäätmeid,</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käärimisjääke,</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komposti,</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kodust ja kogukondlikku kompostimist,</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kohapealset kompostimist,</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kompostitavaid bioplaste,</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kohapealse kompostimise abiaineid,</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stabiliseerimist,</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biogaasi tootmist,</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töötlemistoetust biogaasi tootmiseks ja</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 biolagunevate jäätmete jäätmeks oleku lakkamist.</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Käesolevat määrust ei kohaldata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saastunud geoloogiliste formatsioonide või väljakaevatud saastunud pinnase bioloogilise kõrvaldamise tervendamisprotsessis;</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põllumajandus- ja metsandustegevuse käigus tekkinud põllukultuuride pinna- ja maa-alustele;</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prügilas looduslikult moodustuvale biogaasile; ja</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laiendatud tootjavastutuse süsteemiga hõlmatud toiduõli ja -rasva jäätmetele.</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Mõisted</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Paragrahv 2</w:t>
      </w:r>
      <w:r>
        <w:rPr>
          <w:rFonts w:ascii="Times New Roman" w:hAnsi="Times New Roman"/>
          <w:sz w:val="24"/>
        </w:rPr>
        <w:t> Käesolevas määruses kasutatakse järgmisi mõisteid järgmises tähenduses:</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loomne kõrvalsaadus:</w:t>
      </w:r>
      <w:r>
        <w:rPr>
          <w:rFonts w:ascii="Times New Roman" w:hAnsi="Times New Roman"/>
          <w:sz w:val="24"/>
        </w:rPr>
        <w:t xml:space="preserve"> loomsed kõrvalsaadused Euroopa Parlamendi ja nõukogu 21. oktoobri 2009. aasta määruse (EÜ) nr 1069/2009 (milles sätestatakse muuks otstarbeks kui inimtoiduks ettenähtud loomsete kõrvalsaaduste ja nendest saadud toodete sanitaareeskirjad ning tunnistatakse kehtetuks määrus (EÜ) nr 1774/2002 (edaspidi: loomsete kõrvalsaaduste määrus)) artikli 3 lõike 1 tähenduses;</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iCs/>
          <w:sz w:val="24"/>
        </w:rPr>
        <w:t>loomsetest kõrvalsaadustest saadud tooted</w:t>
      </w:r>
      <w:r>
        <w:rPr>
          <w:rFonts w:ascii="Times New Roman" w:hAnsi="Times New Roman"/>
          <w:sz w:val="24"/>
        </w:rPr>
        <w:t>: loomsetest kõrvalsaadustest saadud tooted Euroopa Parlamendi ja nõukogu 21. oktoobri 2009. aasta määruse (EÜ) nr 1069/2009 (milles sätestatakse muuks otstarbeks kui inimtoiduks ettenähtud loomsete kõrvalsaaduste ja nendest saadud toodete tervise-eeskirjad ning tunnistatakse kehtetuks määrus (EÜ) nr 1774/2002 (edaspidi: loomsete kõrvalsaaduste määrus)) artikli 3 lõike 2 tähenduses;</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biogaas:</w:t>
      </w:r>
      <w:r>
        <w:rPr>
          <w:rFonts w:ascii="Times New Roman" w:hAnsi="Times New Roman"/>
          <w:sz w:val="24"/>
        </w:rPr>
        <w:t xml:space="preserve"> metaani, süsinikdioksiidi ja gaaside jääkide segu, mis tekib biolaguneva aine anaeroobsel lagunemisel;</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biogaasi tootmine:</w:t>
      </w:r>
      <w:r>
        <w:rPr>
          <w:rFonts w:ascii="Times New Roman" w:hAnsi="Times New Roman"/>
          <w:sz w:val="24"/>
        </w:rPr>
        <w:t xml:space="preserve"> taaskasutamistoiming, mille käigus biolagunev materjal või jäätmed lagunevad kontrollitud tingimustes anaeroobses keskkonnas mikroorganismide abil, mille tulemuseks on biogaasi ja käärimisjääkide tekkimine lagunemise tagajärjel;</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bioloogiline töötlemine:</w:t>
      </w:r>
      <w:r>
        <w:rPr>
          <w:rFonts w:ascii="Times New Roman" w:hAnsi="Times New Roman"/>
          <w:sz w:val="24"/>
        </w:rPr>
        <w:t xml:space="preserve"> biogaasi tootmine, roheliste jäätmete eeltöötlus, kompostimine ja stabiliseerimine;</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eeltöötluspiirkond:</w:t>
      </w:r>
      <w:r>
        <w:rPr>
          <w:rFonts w:ascii="Times New Roman" w:hAnsi="Times New Roman"/>
          <w:sz w:val="24"/>
        </w:rPr>
        <w:t xml:space="preserve"> tehnilise kaitsega koht või ala, mis on bioloogilise töötlemise ettevalmistamiseks kasutatava koha osa ja kus alustatakse biolagunevate jäätmete töötlemist;</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käärimisjäägid:</w:t>
      </w:r>
      <w:r>
        <w:rPr>
          <w:rFonts w:ascii="Times New Roman" w:hAnsi="Times New Roman"/>
          <w:sz w:val="24"/>
        </w:rPr>
        <w:t xml:space="preserve"> biogaasi tootmisel tekkinud tahked või vedelad jäätmed;</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toidujäätmed:</w:t>
      </w:r>
      <w:r>
        <w:rPr>
          <w:rFonts w:ascii="Times New Roman" w:hAnsi="Times New Roman"/>
          <w:sz w:val="24"/>
        </w:rPr>
        <w:t xml:space="preserve"> komisjoni määruse (EL) nr 142/2011 (millega rakendatakse Euroopa Parlamendi ja nõukogu määrust (EÜ) nr 1069/2009, milles sätestatakse muuks otstarbeks kui inimtoiduks ettenähtud loomsete kõrvalsaaduste ja nendest saadud toodete tervise-eeskirjad, ja nõukogu direktiivi 97/78/EÜ seoses teatavate selle direktiivi alusel piiril toimuvast veterinaarkontrollist vabastatud proovide ja näidistega) 1. lisas määratletud toidujäätmed ning toit Euroopa Parlamendi ja nõukogu 28. jaanuari 2002. aasta määruse (EÜ) nr 178/2002 (millega sätestatakse toidualaste õigusnormide üldised põhimõtted ja nõuded, asutatakse </w:t>
      </w:r>
      <w:r>
        <w:rPr>
          <w:rFonts w:ascii="Times New Roman" w:hAnsi="Times New Roman"/>
          <w:sz w:val="24"/>
        </w:rPr>
        <w:lastRenderedPageBreak/>
        <w:t>Euroopa Toiduohutusamet ja kehtestatakse toidu ohutusega seotud menetlused) artikli 2 tähenduses toiduained, mis on muutunud jäätmeteks;</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kodune kompostimine:</w:t>
      </w:r>
      <w:r>
        <w:rPr>
          <w:rFonts w:ascii="Times New Roman" w:hAnsi="Times New Roman"/>
          <w:sz w:val="24"/>
        </w:rPr>
        <w:t xml:space="preserve"> haljasjäätmete ja köögi haljasjäätmete või muude taimset päritolu orgaaniliste ainete töötlemine oma tarbeks kinnistul, kus need tekivad või muu majapidamises kompostimine kinnistu territooriumil, et anda taimedele toitaineid, kusjuures töötlemise tulemusel tekib kodukompost;</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hügieeniliseks muutmine:</w:t>
      </w:r>
      <w:r>
        <w:rPr>
          <w:rFonts w:ascii="Times New Roman" w:hAnsi="Times New Roman"/>
          <w:sz w:val="24"/>
        </w:rPr>
        <w:t xml:space="preserve"> nakkusohtlike mikroobide vegetatiivse vormi minimeerimine biolagunevates jäätmetes, et vältida nakatumist;</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w:t>
      </w:r>
      <w:r>
        <w:rPr>
          <w:rFonts w:ascii="Times New Roman" w:hAnsi="Times New Roman"/>
          <w:sz w:val="24"/>
        </w:rPr>
        <w:t xml:space="preserve"> jäätmed vastavalt lisale 1, samuti eraldi õigusaktides määratletud suure orgaanilise aine sisaldusega huumuselaadne materjal, mis on toodetud kodumajapidamiste haljasjäätmetest ja köögi haljasjäätmetest töötlemisabi abil majapidamises ja kogukonnas või kohapeal kompostimise käigus ning mis ei ole enam jäätmed;</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kompostimisüksus:</w:t>
      </w:r>
      <w:r>
        <w:rPr>
          <w:rFonts w:ascii="Times New Roman" w:hAnsi="Times New Roman"/>
          <w:sz w:val="24"/>
        </w:rPr>
        <w:t xml:space="preserve"> biolagunevate jäätmete ja abiainete partii, mida on pärast eeltöötlemistoiminguid töödeldud ühetaoliselt vastavalt kasutatavale tehnoloogiale;</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kompostipartii:</w:t>
      </w:r>
      <w:r>
        <w:rPr>
          <w:rFonts w:ascii="Times New Roman" w:hAnsi="Times New Roman"/>
          <w:sz w:val="24"/>
        </w:rPr>
        <w:t xml:space="preserve"> sama kompostimisüksuse kompostimine;</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kontsessiooniga hõlmatud biolagunevad jäätmed:</w:t>
      </w:r>
      <w:r>
        <w:rPr>
          <w:rFonts w:ascii="Times New Roman" w:hAnsi="Times New Roman"/>
          <w:sz w:val="24"/>
        </w:rPr>
        <w:t xml:space="preserve"> rohelised köögiviljajäätmed, mis on biolagunevad, pärinevad aiast või pargist ja on hõlmatud jäätmeseaduse kohase kontsessiooniga, samuti köögi haljas- ja toidujäätmed, mida käsitletakse olmejäätmetega sarnaste jäätmetena ja mis tekivad kodumajapidamise või (majandusüksuse) kinnistu kasutaja poolt või köögi haljas- ja toidujäätmed, mis tekivad (majandusorganisatsiooni) kinnisvara omaniku poolt, kes ei ole ettevõtja vastavalt ministri määrusele, millega kehtestatakse loomatervishoiu eeskirjad muuks kui inimtoiduks ettenähtud loomsete kõrvalsaaduste kohta;</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köögi toidujäätmed:</w:t>
      </w:r>
      <w:r>
        <w:rPr>
          <w:rFonts w:ascii="Times New Roman" w:hAnsi="Times New Roman"/>
          <w:sz w:val="24"/>
        </w:rPr>
        <w:t xml:space="preserve"> köögitoit ja kodumajapidamistes inimtoiduks ettenähtud toit, mis on muutunud jäätmeteks ning mida ei loeta köögi haljasjäätmeteks;</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köögi haljasjäätmed:</w:t>
      </w:r>
      <w:r>
        <w:rPr>
          <w:rFonts w:ascii="Times New Roman" w:hAnsi="Times New Roman"/>
          <w:sz w:val="24"/>
        </w:rPr>
        <w:t xml:space="preserve"> köögiviljajäätmeteks loetakse kodumajapidamiste köögi haljasjäätmed, kus köögiviljajäätmed sisaldavad tooreid köögivilja- ja puuviljajääke, kohvipaksu (v.a filtrid, kapslid ja muud pakendimaterjalid), teelehti (ilma koti ja muu pakendimaterjalita), vürtse, maitsetaimi, munakoori;</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kogukondlik kogumine:</w:t>
      </w:r>
      <w:r>
        <w:rPr>
          <w:rFonts w:ascii="Times New Roman" w:hAnsi="Times New Roman"/>
          <w:sz w:val="24"/>
        </w:rPr>
        <w:t xml:space="preserve"> haljasjäätmete ja köögi haljasjäätmete eraldi kogumine elamute läheduses elamukompleksis elavate kinnistu kasutajate (füüsiliste isikute) kogukonna poolt;</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kogukondlik kompostimine:</w:t>
      </w:r>
      <w:r>
        <w:rPr>
          <w:rFonts w:ascii="Times New Roman" w:hAnsi="Times New Roman"/>
          <w:sz w:val="24"/>
        </w:rPr>
        <w:t xml:space="preserve"> kodukompostimine, kus kompostimise eeltöötlemine, kompostimine ja komposti kasutamine toimub ühiselt korteriühistute, majakooperatiivide või väikeste kogukondade poolt;</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hingamise intensiivsus:</w:t>
      </w:r>
      <w:r>
        <w:rPr>
          <w:rFonts w:ascii="Times New Roman" w:hAnsi="Times New Roman"/>
          <w:sz w:val="24"/>
        </w:rPr>
        <w:t xml:space="preserve"> biolagunevate jäätmete orgaanilise aine sisalduse hapnikutarbimine [mg O</w:t>
      </w:r>
      <w:r>
        <w:rPr>
          <w:rFonts w:ascii="Times New Roman" w:hAnsi="Times New Roman"/>
          <w:sz w:val="24"/>
          <w:vertAlign w:val="subscript"/>
        </w:rPr>
        <w:t>2</w:t>
      </w:r>
      <w:r>
        <w:rPr>
          <w:rFonts w:ascii="Times New Roman" w:hAnsi="Times New Roman"/>
          <w:sz w:val="24"/>
        </w:rPr>
        <w:t>/kuivaine g];</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sertifitseeritud tootekompost:</w:t>
      </w:r>
      <w:r>
        <w:rPr>
          <w:rFonts w:ascii="Times New Roman" w:hAnsi="Times New Roman"/>
          <w:sz w:val="24"/>
        </w:rPr>
        <w:t xml:space="preserve"> jäätmed vastavalt 1. lisale, samuti väetise- ja mullaparandustooted, mis ei ole enam jäätmestaatuses ning sobivad loas sätestatud põllumajanduslikuks kasutamiseks; selliseid huumuselaadseid väetamis- ja mullaparandusaineid toodetakse kohapealse kompostimise teel töötlemisvahendite abil, neis on palju taimseid toitaineid, on suure orgaanilise aine sisaldusega ning neid on lubatud turustada </w:t>
      </w:r>
      <w:r>
        <w:rPr>
          <w:rFonts w:ascii="Times New Roman" w:hAnsi="Times New Roman"/>
          <w:sz w:val="24"/>
        </w:rPr>
        <w:lastRenderedPageBreak/>
        <w:t>vastavalt saaki suurendavate toodete lubamist, ladustamist, turustamist ja kasutamist käsitlevale ministri määrusele;</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avatud kompostimissüsteem:</w:t>
      </w:r>
      <w:r>
        <w:rPr>
          <w:rFonts w:ascii="Times New Roman" w:hAnsi="Times New Roman"/>
          <w:sz w:val="24"/>
        </w:rPr>
        <w:t xml:space="preserve"> kompostimiskohas kasutatav kompostimistehnoloogia, mille puhul kompostimisüksus on otseses kokkupuutes õhuga ja komposteerimisüksus ei ole kaetud tehniliste või arhitektuuriliste elementidega;</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stabiliseerimine:</w:t>
      </w:r>
      <w:r>
        <w:rPr>
          <w:rFonts w:ascii="Times New Roman" w:hAnsi="Times New Roman"/>
          <w:sz w:val="24"/>
        </w:rPr>
        <w:t xml:space="preserve"> eeltöötlus, mille käigus segajäätmete (mis sisaldavad biolagunevaid jäätmeid) biolagunevust vähendatakse vajalike mehaaniliste ja bioloogiliste protsesside kombinatsioonide abil, mille tulemuseks on hingamisintensiivsuse vähenemine ja hügieeninõuetele vastavate stabiliseeritud jäätmete teke, mille hingamisintensiivsus (AT4) on alla 10 mg O</w:t>
      </w:r>
      <w:r>
        <w:rPr>
          <w:rFonts w:ascii="Times New Roman" w:hAnsi="Times New Roman"/>
          <w:sz w:val="24"/>
          <w:vertAlign w:val="subscript"/>
        </w:rPr>
        <w:t>2</w:t>
      </w:r>
      <w:r>
        <w:rPr>
          <w:rFonts w:ascii="Times New Roman" w:hAnsi="Times New Roman"/>
          <w:sz w:val="24"/>
        </w:rPr>
        <w:t>/kuivaine g;</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stabiliseeritud jäätmed:</w:t>
      </w:r>
      <w:r>
        <w:rPr>
          <w:rFonts w:ascii="Times New Roman" w:hAnsi="Times New Roman"/>
          <w:sz w:val="24"/>
        </w:rPr>
        <w:t xml:space="preserve"> aine, mis on saadud kompostimiseks või anaeroobseks biolagunemiseks kõlbmatute biojäätmete mehaanilisel-bioloogilisel töötlemisel ja mille puhul pärast stabiliseerumist langeb hingamisintensiivsus (AT4) 4 päeva pärast alla 10 mg O</w:t>
      </w:r>
      <w:r>
        <w:rPr>
          <w:rFonts w:ascii="Times New Roman" w:hAnsi="Times New Roman"/>
          <w:sz w:val="24"/>
          <w:vertAlign w:val="subscript"/>
        </w:rPr>
        <w:t>2</w:t>
      </w:r>
      <w:r>
        <w:rPr>
          <w:rFonts w:ascii="Times New Roman" w:hAnsi="Times New Roman"/>
          <w:sz w:val="24"/>
        </w:rPr>
        <w:t>/g ja dünaamiline hingamisintensiivsus on alla 1000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kohapealne kompostimine:</w:t>
      </w:r>
      <w:r>
        <w:rPr>
          <w:rFonts w:ascii="Times New Roman" w:hAnsi="Times New Roman"/>
          <w:sz w:val="24"/>
        </w:rPr>
        <w:t xml:space="preserve"> taaskasutamistoiming kompostimiskohas, kus biolagunevad jäätmed ja lisatud töötlemisvahendid lagundatakse autotermiliste ja termofiilsete bioloogiliste protsesside abil mikroorganismide ja muude elusorganismide abil hapniku juuresolekul, ning selle tulemusena moodustub kompost bioloogiliselt stabiilsete orgaaniliste ja anorgaaniliste komponentide ning patogeenidega, mille kontsentratsioon kompostis ei ületa 2. lisas nimetatud väärtusi;</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kohapeal kompostimiseks sobivad bioplastid:</w:t>
      </w:r>
      <w:r>
        <w:rPr>
          <w:rFonts w:ascii="Times New Roman" w:hAnsi="Times New Roman"/>
          <w:sz w:val="24"/>
        </w:rPr>
        <w:t xml:space="preserve"> biolagunemiseks märgistatud või sertifitseeritud plastijäätmed, mis vastavad standardile MSZ EN 13432 või samaväärsele tehnilisele lahendusele ning mida võib lisaks kohapealsele kompostimisele kasutada biogaasi tootmiseks, kui neid kogutakse koos köögitoidujäätmetega;</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suletud kompostimissüsteem:</w:t>
      </w:r>
      <w:r>
        <w:rPr>
          <w:rFonts w:ascii="Times New Roman" w:hAnsi="Times New Roman"/>
          <w:sz w:val="24"/>
        </w:rPr>
        <w:t xml:space="preserve"> kompostimiskohas kasutatav kompostimistehnoloogia, kus kompostimine toimub suletud üksuses, kasutades tehnilisi või arhitektuurilisi elemente.</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Biolagunevate jäätmetekke vältimise eeskirjad</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w:t>
      </w:r>
      <w:r>
        <w:rPr>
          <w:rFonts w:ascii="Times New Roman" w:hAnsi="Times New Roman"/>
          <w:sz w:val="24"/>
        </w:rPr>
        <w:t> 1 Kui see on tehniliselt teostatav, keskkonnasõbralik ja majanduslikult proportsionaalne, tuleb taimset orgaanilist ainet kodus või kogukonnas kompostida.</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Komisjoni 7. juuni 2019. aasta rakendusotsuse (EL) 2019/1004 (millega kehtestatakse jäätmeandmete arvutamise, kontrollimise ja esitamise eeskirjad kooskõlas Euroopa Parlamendi ja nõukogu direktiiviga 2008/98/EÜ ning tunnistatakse kehtetuks komisjoni rakendusotsus C(2012) 2384) kohase sihtväärtuse saavutamiseks võib käesoleva dekreedi eeskirjade kohast komposti arvesse võtta.</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Vähemalt iga viie aasta järel kogub kontsessionäär andmeid kodus või kogukondliku kompostimise teel toodetud komposti koguse ja kasutamise kohta.</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Elanikkonna teadlikkuse tõstmist ja harimist biolagunevate jäätmetekke vältimise kohta rakendatakse toidujäätmete vältimise riikliku programmi abil. See programm, mida haldab riiklik toiduahela ohutusamet (NÉBIH), aitab sellele kaasa mitmete üleriigiliste loengutega pealkirjaga „Maradék nélkül“ („Jäätmeteta“), et võimaldada Ungaril saavutada 2030. aastaks ÜRO kestliku arengu eesmärkide eesmärk nr 12.3.</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 Biolagunevate jäätmete liigiti kogumise eeskirjad</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 1 Jäätmete valdaja kogub biolagunevaid jäätmeid vabatahtlikult jäätmetekke kohas jäätmete kogumiskonteinerisse, mis on ette nähtud üksnes selleks otstarbeks ja viisil, mis ei ohusta keskkonda.</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Lõikes 9 osutatud tegevuse raames annab kontsessionäär jäätmevaldajale spetsiaalse mahuti köögi haljasjäätmete ja köögi toidujäätmete kogumiseks.</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Kui töötlemine toimub biogaasi- või kompostimisettevõttes, kohaldatakse muuks otstarbeks kui inimtoiduks ettenähtud loomsete kõrvalsaaduste tervishoiueeskirju käsitleva ministri dekreedi asjakohaseid sätteid köögitoidujäätmete veol ja järelevalvel. Kontsessiooniga hõlmatud biolagunevate jäätmete puhul ei kohaldata muuks otstarbeks kui inimtoiduks ettenähtud loomsete kõrvalsaaduste suhtes ministri dekreedis ette nähtud äridokumendi väljastamise nõudeid kodumajapidamistest vastuvõtmise ja heakskiitmise suhtes.</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Kodumajapidamiste liigiti kogutud toidujäätmete kasutamine söötmiseks on keelatud ning litsentsisaajal ei ole õigust selliseid jäätmeid otseselt ega kaudselt kasutada.</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Biogaasi- ja kompostimisettevõttes töödeldavate majandusorganisatsioonide toidujäätmete kogumine, transportimine ja seire toimub vastavalt muuks otstarbeks kui inimtoiduks ettenähtud loomsete kõrvalsaaduste loomatervishoiu eeskirjade kehtestamise ministri dekreedi asjakohastele sätetele.</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Kontsessiooniga hõlmatud biolagunevate jäätmete vastuvõtmise, kogumise ja veo meetodi ning sageduse määrab kontsessionäär.</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Kontsessiooniga hõlmatud biolagunevate jäätmete kogumine ja vedu võib toimuda jäätmekäitlusloa alusel.</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Jäätmevaldaja tagab, et kontsessionäärile antud biolagunevad jäätmed ei sisalda muid jäätmeid, sealhulgas pakendimaterjale ja võõrmaterjale.</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Kontsessionäär tagab käesoleva dekreedi kohased liigiti kogumise tingimused, kui see on tehniliselt ja professionaalselt teostatav. Kontsessionäär tagab peamiselt uksest ukseni kogumise, kui sellega ei kaasne ebaproportsionaalseid majanduslikke kulusid. Kontsessionäär rajab jäätmekogumispunktid suuruses, mis vastab elanike arvule, kui uksest ukseni kogumine ei ole võimalik.</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Olenemata teatavate jäätmekäitlusrajatiste projekteerimist ja käitamist käsitleva valitsuse dekreedi sätetest määrab kontsessionäär jäätmekogumisjaama, mida käitab kontsessionäär või kontsessiooni alltöövõtja.</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Paragrahv 5</w:t>
      </w:r>
      <w:r>
        <w:rPr>
          <w:rFonts w:ascii="Times New Roman" w:hAnsi="Times New Roman"/>
          <w:sz w:val="24"/>
        </w:rPr>
        <w:t> Biolagunevaid jäätmeid, mis sisaldavad määruse (EL) 2019/1021 (püsivate orgaaniliste saasteainete kohta) I ja II lisas loetletud aineid, ei tohi kompostida ning neid ei tohi muuta käärimisjääkideks.</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Eeskirjad haljasjäätmete ja köögi haljasjäätmete liigiti kogumise kohta ühenduse tasandil</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Paragrahv 6</w:t>
      </w:r>
      <w:r>
        <w:rPr>
          <w:rFonts w:ascii="Times New Roman" w:hAnsi="Times New Roman"/>
          <w:sz w:val="24"/>
        </w:rPr>
        <w:t xml:space="preserve"> Kui haljasjäätmeid ja köögi haljasrohelisi jäätmeid ei ole võimalik kasutada muul viisil, nagu on määratletud 8. jaos, kasutatakse liigiti kogutud haljasjäätmeid ja köögi </w:t>
      </w:r>
      <w:r>
        <w:rPr>
          <w:rFonts w:ascii="Times New Roman" w:hAnsi="Times New Roman"/>
          <w:sz w:val="24"/>
        </w:rPr>
        <w:lastRenderedPageBreak/>
        <w:t xml:space="preserve">haljasjäätmeid peamiselt kohapeal kompostimise või biogaasi tootmise teel ning viimase abinõuna kasutatakse neid biomassil töötavas elektrijaamas energia taaskasutamise teel.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 1 Kogukondlik kogumine võib toimuda kontsessionääri poolt kindlaks määratud ja kohaliku kogukonnaga kokku lepitud piirkonnas või elamukogukonna hallatavas erapiirkonnas, kuid ainult kindlaks määratud kohas kinnistu piires.</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Jätkuvalt tagatakse tasuta juurdepääs kogukondlikule kogumiskohale, isegi puuetega inimestele.</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Kogukondlikul tasandil kogumine võib toimuda ilma jäätmekäitlusloata.</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Kogukondlikus kogumispunktis ohtlikke komponente sisaldavaid haljasjäätmeid, kodustes kompostimistingimustes biolagunevuse sertifitseeritud plasti ning muid jäätmeid peale haljasjäätmete ja köögi haljasjäätmete ei tohi ladestada.</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Kinnisvara omanik või isik, kellele kogukond või elamukogukond on kirjaliku kokkuleppe alusel andnud volituse, näeb ette:</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kogukondliku kogumiskoha puhastamise ja hooldamise ning vajaliku personali ja materiaalsete tingimuste tagamise; ning</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teabetahvli paigaldamise kohapeal, kus on täpsustatud kasutustingimused.</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Kogumisega seotud kinnisvara omanik või tema volitatud isik teavitab kontsessionääri kogukondlikust kogumistegevusest vahetult kinnise ala asukoha kindlaks määramise ajal enne ühiskogumise algust ja pärast selle lõppu.</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Kodus kompostimise, kogukondliku kompostimise ja kohapealse kompostimise eeskirjad</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 1 Mittepõllumajanduslike kompostide füüsikalised, keemilised ja bioloogilised nõuded on täpsustatud 2. lisas.</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Kompostimiseks kasutatava kinnisvara omanik vastutab kogukondliku ja koduse kompostimise ülesannete täitmise eest.</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Lõikes 2 osutatud kompostimisülesannete täitmist kogukondlikul tasandil juhitakse kogukonnas selle poolt määratud isiku või organisatsiooni kaudu või ühenduse kirjaliku kokkuleppe alusel volitatud isiku või organisatsiooni kaudu.</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Lõikes 3 osutatud isik või üksus hoolitseb</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kogumiskoha puhastamise ja hooldamise ning vajaliku personali ja materiaalsete tingimuste tagamise eest;</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teabetahvli paigaldamise eest kohapeal, kus on täpsustatud kasutustingimused;</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toodetud komposti kasutamise eest;</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andmete eest toodetud komposti koguse ja kasutamise kohta, mis esitatakse kontsessionäärile kontsessionääri poolt ettenähtud viisil.</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(5) Kodus või kogukondlikku kompostimist ei tohi kasutada loomsete kõrvalsaaduste ja nendest saadud toodete või plasti töötlemiseks, mis ei ole tunnistatud koduses kompostimise tingimustes biolagunevateks.</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Ohtlikke komponente sisaldavaid haljasjäätmeid ja muid jäätmeid peale roheliste jäätmete ei tohi kasutada kodus ega kogukondlikus kompostimises.</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 1 Kohapeal võib kompostida üksnes taaskasutatavate jäätmete käitlemise loa alusel ning seda tehakse kompostimiskohas R3c taaskasutamistoimingu kaudu, mis on kindlaks määratud ministri dekreedis, milles on loetletud jäätmekäitlusega seotud kõrvaldamis- ja taaskasutamistoimingud.</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Biolagunevatest jäätmetest kohapealseks kompostimiseks võib kasutada 1. lisas nimetatud jäätmeliike ja abiaineid ning samuti jäätmeliike, mida võib kasutada abiainetena.</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Reoveesetet võib kasutada kohapealse kompostimise ajal, kui on järgitud valitsuse dekreedis reovee ja reoveesetete põllumajandusliku kasutamise ning käitlemise eeskirjade kohta sätestatud nõudeid ning on olemas jäätmekäitlusluba, mis on välja antud vastavalt valitsuse määrusele jäätmekäitlustegevuse registreerimise ja ametliku loa andmise kohta.</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Kompostitavat bioplasti võib töödelda ainult kohapealse kompostimise käigus.</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 1 Kohapealse kompostimise, stabiliseerimise ja biogaasi tootmise tehnilised eeskirjad ning kohapealseks kompostimiseks vajalikud tehnilised ja töötingimused on esitatud 3. lisas.</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Biolagunevaid jäätmeid, sealhulgas bioplasti, mida on võimalik kohapeal kompostimise teel töödelda, ladustatakse kuni kompostimise alguseni eeltöötlusalal muudest jäätmetest ja materjalidest eraldi.</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Eeltöötluspiirkonnas tuleks alustada biolagunevate jäätmete, sealhulgas kohapealse kompostimise teel töödeldavate bioplasti kompostimise ettevalmistamist. Seejärel tuleb jäätmed edasise töötlemise eesmärgil kompostimisalale üle viia.</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Kohapeal kompostimine toimub kompostimisalal</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avatud kompostimissüsteemis,</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suletud kompostimissüsteemis või</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ühikute kombinatsioonis vastavalt punktile a ja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Biolagunevad jäätmed, sealhulgas bioplastid, mida saab töödelda kohapealse kompostimise teel, paigutatakse sõltuvalt valitud kompostimissüsteemist kompostimisalal asuvasse kompostimisüksusesse.</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Toidutarneahela kontrolliasutuse kogutud andmeid (nagu on ette nähtud muuks otstarbeks kui inimtoiduks ettenähtud loomsete kõrvalsaaduste loomatervishoiu eeskirjadega) toidujäätmete koguse kohta, mida võib liigitada loomseteks kõrvalsaadusteks, võib töötlemise korral eesmärgi täitmise kontrollimisel arvesse võtta ringlussevõtu sihtnumbri puhul.</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7. Stabiliseerimiseeskirjad</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 1 Jäätmete liigid ja abiained, mida saab kasutada bioloogiliseks töötlemiseks ja stabiliseerimiseks, samuti jäätmeliigid, mida võib kasutada abiainena, on täpsustatud 1. lisas.</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Stabiliseerimiseks võib kasutada ainult 1. lisas loetletud jäätmeid, mille bioloogiline töötlemine võib toimuda jäätmekäitlusloa alusel vastavalt jäätmekäitlustegevuse registreerimist ja ametlikku lubamist käsitlevas valitsuse määruses sätestatud eeskirjadele.</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Stabiliseerimisel tekkivaid stabiliseeritud jäätmeid kasutatakse üksnes jäätmehooldusasutuse määratud taaskasutamiseks või kõrvaldamiseks.</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Stabiliseerimine toimub tahke teekattega alal.</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Prügila käitamise ajal võib stabiliseeritud jäätmeid kasutada kattekihina või kasutada nende rekultiveerimiseks tasandus- või kattekihina ülemise lõppkihi osana vastavalt ministri määrusele teatavate jäätmete ladestamise ja prügilaga seotud eeskirjade ja tingimuste kohta, kusjuures stabiliseeritud jäätmeid võib kasutada tehnilise kaitse ja tehnoloogia suunistes kirjeldatud ulatuses, võttes arvesse parimaid olemasolevaid lähenemisviise keskkonnareostuse vältimiseks ja vähendamiseks, nagu on määratletud jäätmekäitlusloas jäätmete kõrvaldamiseks. Suuremal määral ei kasutata stabiliseeritud biojäätmeid prügila käitamise ajal taaskasutamise eesmärgil.</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Stabiliseeritud jäätmete kogus, mida võib kasutada prügila taaskultiveerimiseks, ei tohi ületada 500 tonni kuivaines hektari kohta.</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Stabiliseerimiseks vajalikud tehnilised tingimused on täpsustatud 3. lisas.</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Biogaasi tootmise eeskirjad</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 1 Kui biolagunevad jäätmed transporditakse biogaasitehasesse, võib jäätmekäitlusloaga biogaasi tootmiseks kasutada R3 taaskasutamistoimingut, nagu on määratletud jäätmekäitlusega seotud kõrvaldamis- ja taaskasutamistoimingute loetelus.</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Biogaasitehase rajamise, lubamise ja käitamise suhtes, kus töödeldakse ka loomseid kõrvalsaadusi, kohaldatakse ministri dekreeti, milles sätestatakse muuks otstarbeks kui inimtoiduks ettenähtud loomsete kõrvalsaaduste loomatervishoiu eeskirjad, Euroopa Parlamendi ja nõukogu 21. oktoobri 2009. aasta määruse (EÜ) nr 1069/2009 (milles sätestatakse muuks otstarbeks kui inimtoiduks ettenähtud loomsete kõrvalsaaduste ja nendest saadud toodete tervise-eeskirjad ning tunnistatakse kehtetuks määrus (EÜ) nr 1774/2002 (loomsete kõrvalsaaduste määrus)) artiklit 24 ning komisjoni määruse (EL) nr 142/2011 (millega rakendatakse määruse (EÜ) nr 1069/2009) V lisa. Euroopa Parlament ja nõukogu, milles sätestatakse muuks otstarbeks kui inimtoiduks ettenähtud loomsete kõrvalsaaduste ja nendest saadud toodete sanitaareeskirjad ning millega rakendatakse nõukogu direktiivi 97/78/EÜ teatavate kõnealuse direktiivi alusel piiril toimuvast veterinaarkontrollist vabastatud proovide ja näidiste suhtes (edaspidi: komisjoni määrus (EL) nr 142/2011;</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Biogaasi tootmiseks biolagunevatest jäätmetest võib kasutada 1. lisas nimetatud jäätmeliike, sealhulgas kohapealseks kompostimiseks sobivaid bioplastilisi jäätmeid.</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Biogaasi tootmine biolagunevatest jäätmetest biogaasitehases toimub</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märjas või</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kuivas</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fermentatsiooniprotsess.</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Biogaasi tootmiseks vajalikud tehnilised tingimused on täpsustatud 3. lisas.</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Toidutarneahela kontrolliasutuse kogutud andmeid (nagu on ette nähtud muuks otstarbeks kui inimtoiduks ettenähtud loomsete kõrvalsaaduste loomatervishoiu eeskirjadega) toidujäätmete koguse kohta, mida võib liigitada loomseteks kõrvalsaadusteks, võib töötlemise korral eesmärgi täitmise kontrollimisel arvesse võtta ringlussevõtu sihtnumbri puhul.</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Jäätmeks oleku lakkamise eeskirjad</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 1 Põllumajanduses kasutamise korral lakkab biolagunevate jäätmete jäätmeteks oleku staatus, kui nendest toodetud kompost ja käärimisjäägid vastavad erinõuetele, mis on sätestatud:</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ministri dekreedis saagikust suurendavate ainete lubamise, ladustamise, turustamise ja kasutamise kohta; ning</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määruses (EL) 2019/1009, millega kehtestatakse ELi väetisetoodete turul kättesaadavaks tegemise eeskirjad.</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Mittepõllumajandusliku kasutuse korral lakkab biolagunevate jäätmete staatus, kui sellest toodetud kompost ja käärimisjäägid vastavad 2. lisas punktis 1 sätestatud nõuetele.</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 1 Komposti võib kompostimisjaama käitaja ja käärimisjääke võib biogaasijaama käitaja anda teisele isikule kasutamiseks üle, kui käitleja kinnitab jäätmeid käsitleva 2012. aasta seaduse CLXXXV § 9 lõike 1 sätete täitmist jäätmete lõppkasutuse staatuse osas 4. lisas kohase vastavusdeklaratsiooniga, välja arvatud juhul, kui kompost või käärimisjäägid antakse üle edasiseks töötlemiseks jäätme staatuses.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Vastavusdeklaratsioon koostatakse iga vastuvõtja ja tehingu kohta individuaalselt.</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Vastavusdeklaratsioon tõendab selles sisalduvat teavet kuni järgmise vastavusdeklaratsiooni koostamiseni.</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Lõikes 1 osutatud ettevõtja teeb vastavusdeklaratsioonist kaks koopiat, kes säilitab esimese eksemplari sertifikaadina ning annab duplikaadi edasi kasutajale lähetamise ajal või edastab selle kontrollitaval viisil.</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Käitaja ja kasutaja säilitavad vastavusdeklaratsiooni vähemalt viis aastat.</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 1 Mittepõllumajanduslike kasutusviiside puhul kontrollib komposti füüsikaliste, keemiliste, bioloogiliste ja hügieeniliste mikrobioloogiliste omaduste vastavust käesoleva dekreedi alusel komposti käitaja komposti representatiivse valimi abil. Akrediteeritud proovide võtmine ja proovide ettevalmistamine toimub standardi alusel.</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Kompostimiskohas toodetud kompostiproovid võetakse kompostimispartii kohta järgmistel juhtudel ja sagedusel:</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kui kompostimiskoha võimsus ei ületa 10 000 tonni biolagunevate jäätmete võrdlusaasta kohta toodetud kompostist vähemalt kord aastas;</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kui kompostitehase tootmisvõimsus on üle 10 000 tonni biolagunevaid jäätmeid võrdlusaastal, vähemalt kaks korda aastas toodetud kompostist; või</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kui kompostimiskoha tehnoloogia muutub.</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Kompostiproovi laboratoorsed uuringud tehakse standardi või samaväärse meetodi kohaselt katsetamiseks akrediteeritud laboris. Laborikatse aruannet, mis sisaldab katse tulemusi, säilitatakse vähemalt viis aastat.</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Orgaaniliste saasteainete katsed tehakse juhul, kui üht või mitut kasutatud ainet peetakse ohtlikuks aineks vastavalt 1. lisale.</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Kui kompost ei vasta 2. lisas sätestatud jäätmeks oleku lakkamise nõuetele, jätkatakse selle töötlemist ja liigitamist jäätmeteks vastavalt ministri käskkirjale jäätmete nimistu kohta ning antakse seejärel üle jäätmevaldajale, kellel on kehtiv jäätmekäitlus või ühtne keskkonnakasutusluba.</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 1 Mittepõllumajandusliku kasutamise korral kontrollib biogaasijaama käimisjäägi füüsikaliste, keemiliste, bioloogiliste ja hügieenilis-mikrobioloogiliste omaduste nõuetekohasust vastavalt käesolevale määrusele biogaasijaama käitaja käimisjäägi representatiivse proovi abil.</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Biogaasitehases toodetud käärimisjäägist võetakse proov järgmistel juhtudel ja sagedusega:</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kui biogaasitehase võimsus ei ületa 10 000 tonni biolagunevate jäätmete võrdlusaasta kohta, siis vähemalt üks kord aastas saadud käärimisjäägist;</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kui biogaasitehase tootmisvõimsus on üle 10 000 tonni biolagunevate jäätmete võrdlusaasta kohta, siis vähemalt kaks korda aastas saadud käärimisjäägist; või</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kui biogaasitehase tehnoloogia muutub.</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Käärimisjääkide proovi laboratoorsed uuringud tehakse standardi kohaselt akrediteeritud laboris katsetamiseks. Laborikatse aruannet, mis sisaldab katse tulemusi, säilitatakse vähemalt viis aastat.</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Orgaaniliste saasteainete katsed tehakse juhul, kui ühte või mitut kasutatud ainet peetakse ohtlikuks aineks vastavalt 1. lisale.</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Lõppsätted</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Paragrahv 17</w:t>
      </w:r>
      <w:r>
        <w:rPr>
          <w:rFonts w:ascii="Times New Roman" w:hAnsi="Times New Roman"/>
          <w:sz w:val="24"/>
        </w:rPr>
        <w:t> Dekreet jõustub 31. detsembril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 1 Käesoleva määruse eesmärk on järgida</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Euroopa Parlamendi ja nõukogu 19. novembri 2008. aasta direktiivi 2008/98/EÜ jäätmete kohta ja millega tunnistatakse kehtetuks teatud direktiivid; ja</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nõukogu 26. aprilli 1999. aasta direktiivi 1999/31/EÜ prügilate kohta</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Dekreedi eelnõust on eelnevalt teatatud vastavalt Euroopa Parlamendi ja nõukogu 9. septembri 2015. aasta direktiivile (EL) 2015/1535, millega nähakse ette tehnilistest eeskirjadest ning infoühiskonna teenuste eeskirjadest teatamise kord.</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Paragrahv 19</w:t>
      </w:r>
      <w:r>
        <w:rPr>
          <w:rFonts w:ascii="Times New Roman" w:hAnsi="Times New Roman"/>
          <w:sz w:val="24"/>
        </w:rPr>
        <w:t> Isikud, kes käitlesid oma toidujäätmeid enne käesoleva dekreedi jõustumist vastavalt muuks otstarbeks kui inimtoiduks ettenähtud loomsete kõrvalsaaduste loomatervishoiueeskirjade kohta (edaspidi: määrus) võivad jätkata oma tegevust pärast käesoleva dekreedi jõustumist vastavalt kõnealuse määruse eeskirjadele.</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Paragrahv 20</w:t>
      </w:r>
      <w:r>
        <w:rPr>
          <w:rFonts w:ascii="Times New Roman" w:hAnsi="Times New Roman"/>
          <w:sz w:val="24"/>
        </w:rPr>
        <w:t xml:space="preserve"> Käesolevaga tunnistatakse kehtetuks KvVMi keskkonnakaitse ja veemajanduse ministeeriumi 29. detsembri 2003. aasta dekreet nr 23/2003 biojäätmete töötlemise ja kompostimise tehniliste nõuete kohta.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Peaminister (allkirjastatud)</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Valitsuse määruse nr 559/2023 (14. detsember 2023) 1. lisa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Jäätmete liigid ja töötlemise abiained, mida võib kasutada bioloogiliseks töötlemiseks ja stabiliseerimiseks, ning jäätmeliigid, mida võib kasutada abiainena</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Jäätmeliigid, mida võib kasutada bioloogiliseks töötlemiseks.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6"/>
        <w:gridCol w:w="1100"/>
        <w:gridCol w:w="1007"/>
        <w:gridCol w:w="3391"/>
        <w:gridCol w:w="2200"/>
        <w:gridCol w:w="1010"/>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Tunnuskood</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Jäätmeliigi kirjeldus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Märkus</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Riskantne aine</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Põhirühma number</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Alarühma number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PÕLLUMAJANDUSEST, AIANDUSEST, VESIVILJELUSEST, METSANDUSEST, JAHIPIDAMISEST JA KALAPÜÜGIST, TOIDUVALMISTAMISEST JA TÖÖTLEMISEST TEKKINUD JÄÄTMED</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Põllumajanduses, vesiviljeluses, metsanduses, jahinduses ja kalanduses tekkinud jäätmetest</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pesemisel ja puhastamisel tekkinud setted</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loomsete kudede jäätmed</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Välja arvatud luukude.</w:t>
            </w:r>
            <w:r>
              <w:rPr>
                <w:rFonts w:ascii="Times New Roman" w:hAnsi="Times New Roman"/>
                <w:sz w:val="24"/>
              </w:rPr>
              <w:b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Taimsete kudede jäätmed</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loomade väljaheited, uriin ja sõnnik (sh riknenud õled), heitvesi, kogutud eraldi ja töödeldud väljaspool tegevuskohta</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Riknenud õled – allapanu, mida kasutatakse loomade väljaheite, uriini ja sõnniku leotamiseks. 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metsandusjäätmed</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töötlemata puit.</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liha, kala ja muu loomse toidu valmistamisel ning töötlemisel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pesemisel ja puhastamisel tekkinud setted</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loomsete kudede jäätmed</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tarbimiseks või töötlemiseks sobimatud materjalid</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r>
              <w:rPr>
                <w:rFonts w:ascii="Times New Roman" w:hAnsi="Times New Roman"/>
                <w:sz w:val="24"/>
              </w:rPr>
              <w:b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puu-, köögivilja-, teravilja-, toiduõli-, kakao-, kohvi-, tee- ja tubakatööstuse jäätmed; konservitootmine; pärmi ja pärmiekstrakti tootmine, melassi ettevalmistamine ja kääritamine</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pesemis-, puhastamis-, koorimis-, tsentrifuugimis- ja separeerimissetted</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tarbimiseks või töötlemiseks sobimatud materjalid</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Ekstraheerimisvahendeid ei ole kasutatud.</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suhkru töötlemise jäätmed</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piimatööstuse jäätmed</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tarbimiseks või töötlemiseks sobimatud materjalid</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r>
              <w:rPr>
                <w:rFonts w:ascii="Times New Roman" w:hAnsi="Times New Roman"/>
                <w:sz w:val="24"/>
              </w:rPr>
              <w:b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pagari- ja kondiitritööstuse jäätmed</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tarbimiseks või töötlemiseks sobimatud materjalid</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alkohoolsete ja mittealkohoolsete jookide (v.a kohv, tee ja kakao) tootmisel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tooraine pesemisel, puhastamisel ja mehaanilisel redutseerimisel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piiritusjookide destilleerimisel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tarbimiseks või töötlemiseks sobimatud materjalid</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PUIDUTÖÖTLEMISEL NING PANEELIDE JA MÖÖBLI, TSELLULOOSI, PABERI JA PAPI TOOTMISEL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puidutöötlemisel ning laudade ja mööbli tootmisel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koore- ja korgijäätmed</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töötlemata puit.</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aaepuru, laastud, raie, puit, puitlaastplaadid ja spoon, mida ei ole nimetatud koodinumbriga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töötlemata puit.</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Tselluloosi, paberi ja kartongi tootmise ja töötlemise jäätmed</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koor ja puidujäätmed</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paberi- ja papijäätmete tselluloosimassist mehaaniliselt eraldatud lõiked</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jäägid, mis ei sisalda keemilisi töötlemisaineid.</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ringlussevõtmiseks ettenähtud paberi ja papi sorteerimise jäätmed</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jäägid, mis ei sisalda keemilisi töötlemisaineid.</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pulbi mehaanilisel lahutamisel tekkinud kiujäägid ning kiu-, täiteaine- ja katteainesetted</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 mida ei ole nimetatud koodinumbriga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NAHA-, KARUSNAHA- JA TEKSTIILITÖÖSTUSE JÄÄTMED</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naha- ja karusnahatööstuse jäätmed</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kroomivabad setted, eelkõige reovee kohtpuhastussetted</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setted, mis ei sisalda keemilisi puhastus-, kalgestamis- ega ekstraheerimisaineid.</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tekstiilitööstuse jäätmed</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looduslikest saadustest (nt rasvast, vahast) saadud orgaaniline aine</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reovee kohtpuhastussetted, mida ei ole nimetatud koodinumbriga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töötlemata tekstiilkiudude jäätmed</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looduslik.</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töödeldud tekstiilkiudude jäätmed</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need, mis on vabad keemilisest saastumisest.</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PAKENDIJÄÄTMED; MUJAL NIMETAMATA ABSORBENDID, PÜHKIMISLAPID, FILTERMATERJALID JA KAITSERIIETUS</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Pakendijäätmed (sh liigiti kogutud biolagunevad olmepakendijäätmed)</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Paber- ja kartongpakendijäätmed</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Kui paberitööstuses ei ole ringlussevõtt võimalik või on vajalik töötlemiseks ettevalmistatud biolagunevate jäätmete süsiniku-lämmastiku suhe.</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puidust pakendijäätmed</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JÄÄTMED, MIDA EI OLE JÄÄTMELOENDIS TEISITI MÄRGITUD</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nõuetele mittevastavad ja kasutamata tooted</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orgaanilised jäätmed, mida ei ole nimetatud koodinumbriga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JÄÄTMED, MIS PÄRINEVAD JÄÄTMEKÄITLUSRAJATISTEST, KÄITISEVÄLISTEST REOVEEPUHASTITEST NING OLMEVEE JA TÖÖSTUSLIKUKS KASUTAMISEKS MÕELDUD VEE ETTEVALMISTAMISEST</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praakkompost</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See osa töödeldud materjalist, mis on saadud mehaanilis-bioloogilise jäätmetöötluse lõppsõelumisel ja mida saab uuesti sisse viia sellesse töötlemisse, et seda uuesti stabiliseerida või kasutada </w:t>
            </w:r>
            <w:r>
              <w:rPr>
                <w:rFonts w:ascii="Times New Roman" w:hAnsi="Times New Roman"/>
                <w:sz w:val="24"/>
              </w:rPr>
              <w:lastRenderedPageBreak/>
              <w:t>bioloogilise „inokulandina“.</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jäätmete anaeroobsel töötlemisel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olmejäätmete anaeroobsel töötlemisel tekkinud sete</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loomsete ja taimsete jäätmete anaeroobsel töötlemisel saadud kääritussaadus</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mujal nimetamata reoveepuhastusjäätmed</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Jah</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olmereovee puhastussetted</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tööstusreovee biopuhastussetted, mida ei ole nimetatud koodinumbriga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tööstusreovee biopuhastussetted, mida ei ole nimetatud koodinumbriga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olmevee või tööstusvee valmistamisel tekkinud jäätmed</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Vee eelfiltreerimisjäätmed ja võrepraht</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veepuhastussetted</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CO2 heite vähendamisel tekkinud setted</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OLMEJÄÄTMED (KODUJÄÄTMED JA SAMALAADSED KAUBANDUS-, TÖÖSTUS- JA INSTITUTSIONAALSED JÄÄTMED), SEALHULGAS LIIGITI KOGUTUD FRAKTSIOONID</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siis, kui see pärineb liigiti kogumise süsteemist.</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eraldi kogutud jäätmed (v.a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paber ja papp</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biolagunevad köögi- ja sööklajäätmed</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Ilma et see piiraks loomseid </w:t>
            </w:r>
            <w:r>
              <w:rPr>
                <w:rFonts w:ascii="Times New Roman" w:hAnsi="Times New Roman"/>
                <w:sz w:val="24"/>
              </w:rPr>
              <w:lastRenderedPageBreak/>
              <w:t>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toiduõli ja -rasv</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Ilma et see piiraks loomseid kõrvalsaadusi käsitlevate riiklike ja ELi õigusaktide kohaldamist.</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puit, mida ei ole nimetatud jäätmekoodidega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Ainult juhul, kui neid ei ole töödeldud kemikaalidega (sealhulgas värvimine, pinnatöötlus).</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aia- ja pargijäätmed (sh kalmistujäätmed)</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biolagunevad jäätmed,</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Koore puhul ainult töötlemata puit. Liigiti kogutud kalmistujäätmete puhul üksnes otsese vastuvõtmise korral, tingimusel et kalmistul on olemas liigiti kogumise süsteem ja et on võimalik nõuetekohaselt kontrollida, et jäätmed on vabad võõrmaterjalidest (nt fooliumid, lilled ja pärjatraadid, plastlilled ja nende komponendid).</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muud olmejäätmed</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muud olmejäätmed, sealhulgas segaolmejäätmed</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Pärast eeltöötlust.</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Jah</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turgudelt pärinevad jäätmed</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Kui turul on kasutusel liigiti kogumise süsteem.</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septikpaagi muda</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Abiained, mida võib kasutada komposti tootmiseks, ja jäätmeliigid, mida võib kasutada abiainena: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3055"/>
        <w:gridCol w:w="2474"/>
        <w:gridCol w:w="3139"/>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Abiaine liigi nimi</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Kvaliteedistandardid ja</w:t>
            </w:r>
            <w:r>
              <w:rPr>
                <w:rFonts w:ascii="Times New Roman" w:hAnsi="Times New Roman"/>
                <w:b/>
                <w:sz w:val="24"/>
              </w:rPr>
              <w:br/>
              <w:t>märkmed</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Kivigraanulid</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basaltgraanulid,</w:t>
            </w:r>
            <w:r>
              <w:rPr>
                <w:rFonts w:ascii="Times New Roman" w:hAnsi="Times New Roman"/>
                <w:sz w:val="24"/>
              </w:rPr>
              <w:br/>
              <w:t>b) alginiidi graanulid,</w:t>
            </w:r>
            <w:r>
              <w:rPr>
                <w:rFonts w:ascii="Times New Roman" w:hAnsi="Times New Roman"/>
                <w:sz w:val="24"/>
              </w:rPr>
              <w:br/>
              <w:t>c) muude kivimite graanulid</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Reoveesetted, setted</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looduslikud reoveesetted ja setted, millele ei ole lisatud mulda ja lisandeid, sealhulgas kanalisatsiooni puhastamisel ning äravoolul tekkinud saastamata reoveesetted ja setted</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Savimineraalid</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puhtad savimineraalid</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Lubja(kivi)</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lubjakivi graanulid,</w:t>
            </w:r>
            <w:r>
              <w:rPr>
                <w:rFonts w:ascii="Times New Roman" w:hAnsi="Times New Roman"/>
                <w:sz w:val="24"/>
              </w:rPr>
              <w:br/>
              <w:t>b) dolomiidi graanulid,</w:t>
            </w:r>
            <w:r>
              <w:rPr>
                <w:rFonts w:ascii="Times New Roman" w:hAnsi="Times New Roman"/>
                <w:sz w:val="24"/>
              </w:rPr>
              <w:br/>
              <w:t>c) suhkruvabriku lubjasetted,</w:t>
            </w:r>
            <w:r>
              <w:rPr>
                <w:rFonts w:ascii="Times New Roman" w:hAnsi="Times New Roman"/>
                <w:sz w:val="24"/>
              </w:rPr>
              <w:br/>
              <w:t>d) mittestandardne kaltsiumkarbonaat,</w:t>
            </w:r>
            <w:r>
              <w:rPr>
                <w:rFonts w:ascii="Times New Roman" w:hAnsi="Times New Roman"/>
                <w:sz w:val="24"/>
              </w:rPr>
              <w:br/>
              <w:t>lubjajäätmed</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Biomassi põletamisel tekkiv tuhk</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köögiviljatuhk</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Kuni 2 m/m %.</w:t>
            </w:r>
            <w:r>
              <w:rPr>
                <w:rFonts w:ascii="Times New Roman" w:hAnsi="Times New Roman"/>
                <w:sz w:val="24"/>
              </w:rPr>
              <w:br/>
              <w:t>Ei sisalda lendtuhka maksimaalse lisanditesisaldusega (mg/kg kuivaines)</w:t>
            </w:r>
            <w:r>
              <w:rPr>
                <w:rFonts w:ascii="Times New Roman" w:hAnsi="Times New Roman"/>
                <w:sz w:val="24"/>
              </w:rPr>
              <w:br/>
              <w:t>a) tsink (Zn): 1500,</w:t>
            </w:r>
            <w:r>
              <w:rPr>
                <w:rFonts w:ascii="Times New Roman" w:hAnsi="Times New Roman"/>
                <w:sz w:val="24"/>
              </w:rPr>
              <w:br/>
              <w:t>b) vask (Cu): 250,</w:t>
            </w:r>
            <w:r>
              <w:rPr>
                <w:rFonts w:ascii="Times New Roman" w:hAnsi="Times New Roman"/>
                <w:sz w:val="24"/>
              </w:rPr>
              <w:br/>
              <w:t>c) kroom (Cr): 250,</w:t>
            </w:r>
            <w:r>
              <w:rPr>
                <w:rFonts w:ascii="Times New Roman" w:hAnsi="Times New Roman"/>
                <w:sz w:val="24"/>
              </w:rPr>
              <w:br/>
              <w:t>d) plii (Pb): 100,</w:t>
            </w:r>
            <w:r>
              <w:rPr>
                <w:rFonts w:ascii="Times New Roman" w:hAnsi="Times New Roman"/>
                <w:sz w:val="24"/>
              </w:rPr>
              <w:br/>
              <w:t>e) vanaadium (V): 100,</w:t>
            </w:r>
            <w:r>
              <w:rPr>
                <w:rFonts w:ascii="Times New Roman" w:hAnsi="Times New Roman"/>
                <w:sz w:val="24"/>
              </w:rPr>
              <w:br/>
              <w:t>f) koobalt (Co): 100,</w:t>
            </w:r>
            <w:r>
              <w:rPr>
                <w:rFonts w:ascii="Times New Roman" w:hAnsi="Times New Roman"/>
                <w:sz w:val="24"/>
              </w:rPr>
              <w:br/>
              <w:t>g) nikkel (Ni): 100,</w:t>
            </w:r>
            <w:r>
              <w:rPr>
                <w:rFonts w:ascii="Times New Roman" w:hAnsi="Times New Roman"/>
                <w:sz w:val="24"/>
              </w:rPr>
              <w:br/>
              <w:t>h) molübdeen (Mo): 20,</w:t>
            </w:r>
            <w:r>
              <w:rPr>
                <w:rFonts w:ascii="Times New Roman" w:hAnsi="Times New Roman"/>
                <w:sz w:val="24"/>
              </w:rPr>
              <w:br/>
            </w:r>
            <w:r>
              <w:rPr>
                <w:rFonts w:ascii="Times New Roman" w:hAnsi="Times New Roman"/>
                <w:sz w:val="24"/>
              </w:rPr>
              <w:lastRenderedPageBreak/>
              <w:t>i) arseen (As): 20,</w:t>
            </w:r>
            <w:r>
              <w:rPr>
                <w:rFonts w:ascii="Times New Roman" w:hAnsi="Times New Roman"/>
                <w:sz w:val="24"/>
              </w:rPr>
              <w:br/>
              <w:t>j) kaadmium (Cd): 8,</w:t>
            </w:r>
            <w:r>
              <w:rPr>
                <w:rFonts w:ascii="Times New Roman" w:hAnsi="Times New Roman"/>
                <w:sz w:val="24"/>
              </w:rPr>
              <w:br/>
              <w:t>Ei tohi sisaldada lendtuhka</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Muld (ekstraktitud või settunud)</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ehitusest või lammutamisest tulenev saastamata looduslik pinnas, juurtaimede pesemisel tekkiv muda</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Kuni 15 m/m%.</w:t>
            </w:r>
            <w:r>
              <w:rPr>
                <w:rFonts w:ascii="Times New Roman" w:hAnsi="Times New Roman"/>
                <w:sz w:val="24"/>
              </w:rPr>
              <w:br/>
              <w:t>Maksimaalne saasteainesisaldus (mg / kuivaine kg):</w:t>
            </w:r>
            <w:r>
              <w:rPr>
                <w:rFonts w:ascii="Times New Roman" w:hAnsi="Times New Roman"/>
                <w:sz w:val="24"/>
              </w:rPr>
              <w:br/>
              <w:t>a) arseen (As): 30,</w:t>
            </w:r>
            <w:r>
              <w:rPr>
                <w:rFonts w:ascii="Times New Roman" w:hAnsi="Times New Roman"/>
                <w:sz w:val="24"/>
              </w:rPr>
              <w:br/>
              <w:t>b) plii (Pb): 100,</w:t>
            </w:r>
            <w:r>
              <w:rPr>
                <w:rFonts w:ascii="Times New Roman" w:hAnsi="Times New Roman"/>
                <w:sz w:val="24"/>
              </w:rPr>
              <w:br/>
              <w:t>c) kaadmium (Cd): 1,1,</w:t>
            </w:r>
            <w:r>
              <w:rPr>
                <w:rFonts w:ascii="Times New Roman" w:hAnsi="Times New Roman"/>
                <w:sz w:val="24"/>
              </w:rPr>
              <w:br/>
              <w:t>d) kroom (Cr): 90,</w:t>
            </w:r>
            <w:r>
              <w:rPr>
                <w:rFonts w:ascii="Times New Roman" w:hAnsi="Times New Roman"/>
                <w:sz w:val="24"/>
              </w:rPr>
              <w:br/>
              <w:t>e) vask (Cu): 90;</w:t>
            </w:r>
            <w:r>
              <w:rPr>
                <w:rFonts w:ascii="Times New Roman" w:hAnsi="Times New Roman"/>
                <w:sz w:val="24"/>
              </w:rPr>
              <w:br/>
              <w:t>f) nikkel (Ni): 55,</w:t>
            </w:r>
            <w:r>
              <w:rPr>
                <w:rFonts w:ascii="Times New Roman" w:hAnsi="Times New Roman"/>
                <w:sz w:val="24"/>
              </w:rPr>
              <w:br/>
              <w:t>g) elavhõbe (Hg): 0,7,</w:t>
            </w:r>
            <w:r>
              <w:rPr>
                <w:rFonts w:ascii="Times New Roman" w:hAnsi="Times New Roman"/>
                <w:sz w:val="24"/>
              </w:rPr>
              <w:br/>
              <w:t>h) tsink (Zn): 450,</w:t>
            </w:r>
            <w:r>
              <w:rPr>
                <w:rFonts w:ascii="Times New Roman" w:hAnsi="Times New Roman"/>
                <w:sz w:val="24"/>
              </w:rPr>
              <w:br/>
              <w:t>i) polütsüklilised aromaatsed süsivesinikud (PAH16: naftaleen, fluoriin, fenantreen, antratseen, fluoroanteen, püreen, benso[a]antratseen, krüseen, benso[b]fluoroanteen, benso[k]fluoroanteen, benso[a]püreen, indeno[1,2,3-cd]püreen, dibenso[a,h]antratseen, benso[g, h, i]perüleen): 2,</w:t>
            </w:r>
            <w:r>
              <w:rPr>
                <w:rFonts w:ascii="Times New Roman" w:hAnsi="Times New Roman"/>
                <w:sz w:val="24"/>
              </w:rPr>
              <w:br/>
              <w:t xml:space="preserve">süsivesinike üldsisaldus: 200, mida uuritakse ainult juhul, kui on kahtlus, et süsivesinikud on varem saastunud või kui pesemisel tekkinud setete teke ei ole teada ja on kahtlus, et esineb lahustit, hüübimis- või ekstraheerimisainet.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Lignotselluloos</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taimset päritolu põllumajanduslikud kõrvalsaadused,</w:t>
            </w:r>
            <w:r>
              <w:rPr>
                <w:rFonts w:ascii="Times New Roman" w:hAnsi="Times New Roman"/>
                <w:sz w:val="24"/>
              </w:rPr>
              <w:br/>
              <w:t>b) tühjad terapead / täitmata tuumad,</w:t>
            </w:r>
            <w:r>
              <w:rPr>
                <w:rFonts w:ascii="Times New Roman" w:hAnsi="Times New Roman"/>
                <w:sz w:val="24"/>
              </w:rPr>
              <w:br/>
              <w:t>c) õlgedega sõnnik,</w:t>
            </w:r>
            <w:r>
              <w:rPr>
                <w:rFonts w:ascii="Times New Roman" w:hAnsi="Times New Roman"/>
                <w:sz w:val="24"/>
              </w:rPr>
              <w:br/>
              <w:t>d) haljaskärped,</w:t>
            </w:r>
            <w:r>
              <w:rPr>
                <w:rFonts w:ascii="Times New Roman" w:hAnsi="Times New Roman"/>
                <w:sz w:val="24"/>
              </w:rPr>
              <w:br/>
              <w:t>haljasjäätmed</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Tooted, mis aitavad kaasa kompostimisprotsessile</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mikrobioloogilised preparaadid, bioloogilised käivitid</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Turustamiseks ja kasutamiseks lubatud toode.</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Jäätmekäitlusrajatiste jäätmed, reoveepuhastite jäätmed, mis </w:t>
            </w:r>
            <w:r>
              <w:rPr>
                <w:rFonts w:ascii="Times New Roman" w:hAnsi="Times New Roman"/>
                <w:sz w:val="24"/>
              </w:rPr>
              <w:lastRenderedPageBreak/>
              <w:t>puhastavad heitvett väljaspool tegevuskohta, samuti joogivee- ja tööstusveevarustusjäätmed</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a) peenfiltreerimise ja sõelumise tahked </w:t>
            </w:r>
            <w:r>
              <w:rPr>
                <w:rFonts w:ascii="Times New Roman" w:hAnsi="Times New Roman"/>
                <w:sz w:val="24"/>
              </w:rPr>
              <w:lastRenderedPageBreak/>
              <w:t>jäätmed,</w:t>
            </w:r>
            <w:r>
              <w:rPr>
                <w:rFonts w:ascii="Times New Roman" w:hAnsi="Times New Roman"/>
                <w:sz w:val="24"/>
              </w:rPr>
              <w:br/>
              <w:t>b) veepuhastamisel tekkinud setted,</w:t>
            </w:r>
            <w:r>
              <w:rPr>
                <w:rFonts w:ascii="Times New Roman" w:hAnsi="Times New Roman"/>
                <w:sz w:val="24"/>
              </w:rPr>
              <w:br/>
              <w:t>CO2-heitme vähendamisel tekkinud setted</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Valitsuse määruse nr 559/2023 (14. detsember 2023) 2. lisa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Mittepõllumajanduslike kompostide füüsikalised, keemilised ja bioloogilised nõuded</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Biolagunevatest jäätmetest toodetud komposti jäätmete staatus kõrvaldatakse, järgides järgmiste kasutuskategooriate piirväärtusi: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983"/>
        <w:gridCol w:w="2463"/>
        <w:gridCol w:w="3343"/>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 kategooria</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 kategooria</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III kategooria</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Kui biolagunevatest jäätmetest toodetud komposti kasutatakse alal, kus see võib otseselt ohustada inimeste tervist (eelkõige elamu- ja puhkealade juurde kuuluvatel haljasaladel, mänguväljakutel, parkides, teeäärsetes lillepeenardes, metsades, avalikel promenaadidel, koerte jalutusaladel, avalikes lillekastides, spordirajatiste juurde kuuluvatel aladel, rannaaladel ja avalikele asutustele kuuluvad aladel), peab see kompost vastama ka põllumajandus- ja maaelu arengu ministri 18. mai 2006. aasta FVM määruse nr 36/2006 (saagikust suurendavate ainete lubamise, ladustamise, turustamise ja kasutamise kohta) 3. lisa punktis 4 sätestatud nõuetele.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Kui biolagunevatest jäätmetest toodetud komposti kasutatakse metsaseadusega hõlmatud piirkonnas, seal reguleeritud viisil või muul välisel metsamaal, peab kompost vastama ka nõuetele, mis on täpsustatud punktides 1.1 </w:t>
            </w:r>
            <w:r>
              <w:rPr>
                <w:rFonts w:ascii="Times New Roman" w:hAnsi="Times New Roman"/>
                <w:i/>
                <w:iCs/>
                <w:sz w:val="24"/>
              </w:rPr>
              <w:t>ja</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Kui biolagunevatest jäätmetest toodetud komposti kasutatakse taaskultiveerimiseks, maastikuhaavade parandamiseks või suletud rikastamiskohtades kasutamiseks vastavalt keskkonnakaitse- ja veeministeeriumi 5. aprilli 2006. aasta KvVMi dekreedile nr 20/2006 jäätmete ladestamist ja prügilaid käsitlevate eeskirjade ning tingimuste kohta, peab see kompost vastama ka eespool punktides 1.1 ja 1.2.nimetatud nõuetele.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Füüsikalised ja bioloogilised omadused: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037"/>
        <w:gridCol w:w="2332"/>
        <w:gridCol w:w="2236"/>
        <w:gridCol w:w="2184"/>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Omadused</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 kategooria</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III kategooria</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Märkus</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Orgaanilise aine sisaldus protsentides</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Komposti orgaanilise aine sisaldus on vähemalt 15 % kuivainesisaldusest.</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Komposti orgaanilise aine sisaldus on vähemalt 15 % kuivainesisaldusest.</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Orgaanilise aine minimaalne sisaldus viitab tootele kompostimisfaasi lõpus enne segamist teiste ainetega. Eesmärk on vältida koostisosade lahjendamist (nt liiva, pinnasega).</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Komposti valmimisaeg</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Isekuumenemiskatse ajal saavutatav maksimaalne temperatuur ei tohi ületada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Patogeenid</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 × 5 g negatiivne,</w:t>
            </w:r>
            <w:r>
              <w:rPr>
                <w:rFonts w:ascii="Times New Roman" w:hAnsi="Times New Roman"/>
                <w:sz w:val="24"/>
              </w:rPr>
              <w:br/>
              <w:t>b) väljaheite kolibakteri number 500/g,</w:t>
            </w:r>
            <w:r>
              <w:rPr>
                <w:rFonts w:ascii="Times New Roman" w:hAnsi="Times New Roman"/>
                <w:sz w:val="24"/>
              </w:rPr>
              <w:br/>
              <w:t>c) fekaalstreptokokkide number 500/g,</w:t>
            </w:r>
            <w:r>
              <w:rPr>
                <w:rFonts w:ascii="Times New Roman" w:hAnsi="Times New Roman"/>
                <w:sz w:val="24"/>
              </w:rPr>
              <w:br/>
              <w:t>d) inimese parasiitide helmintide munad 25 g negatiivne</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Selle parameetri mõõtmisega kaasnevad regulaarsed temperatuuri mõõtmised.</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Elujõulised umbrohuseemned ja taimede paljunduskoostis</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Kompostis ei tohi olla rohkem kui 2 elujõulist umbrohuseemnet liitri kohta.</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Selle parameetri mõõtmisega kaasnevad regulaarsed temperatuuri mõõtmised.</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Makroskoopilised lisandid</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Üle 2 mm suuruste osakeste puhul võib kompost sisaldada klaasi, metalli ja plasti kuni 0,5 % kuivainesisaldusest.</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Üle 2 mm suuruste osakeste puhul võib kompost sisaldada klaasi, metalli ja plasti kuni 0,5 % kuivainesisaldusest.</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Eristada tuleb kive ja kunstlikke lisandeid.</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Keemilised omadused:</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Raskmetallide sisaldus: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696"/>
        <w:gridCol w:w="2087"/>
        <w:gridCol w:w="2181"/>
        <w:gridCol w:w="2705"/>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Raskmetallid</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Kogus (mg/kg kuivaines) II kategooria</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Kogus (mg/kg kuivaines) III kategooria</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Märkus</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Arseen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Tsink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Elavhõbe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Kaadmium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Kroomi (Cr) koguhulk</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Valmistoode enne teiste ainetega segamist. Kroomi III puhul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Kroom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Molübdeen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Nikkel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Plii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Vask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Seleen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Orgaanilised lisandid: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321"/>
        <w:gridCol w:w="1430"/>
        <w:gridCol w:w="1524"/>
        <w:gridCol w:w="1514"/>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Orgaanilised lisandid</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Kogus</w:t>
            </w:r>
            <w:r>
              <w:rPr>
                <w:rFonts w:ascii="Times New Roman" w:hAnsi="Times New Roman"/>
                <w:b/>
                <w:sz w:val="24"/>
              </w:rPr>
              <w:br/>
              <w:t>II kategooria</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Kogus</w:t>
            </w:r>
            <w:r>
              <w:rPr>
                <w:rFonts w:ascii="Times New Roman" w:hAnsi="Times New Roman"/>
                <w:b/>
                <w:sz w:val="24"/>
              </w:rPr>
              <w:br/>
              <w:t>III kategooria</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Märkus</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Indikatiivne polüklooritud bifenüüli sisaldus kokku (PCB7: PCBd 28, 52, 101, 118, 138, 153, 180) (mg/kg kuivaines)</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Polütsükliliste aromaatsete süsivesinike üldsisaldus (PAH16: naftaleen, fluoriin, fenantreen, antratseen, fluoroanteen, püreen, benso[a]antratseen, krüseen, benso[b]fluoroanteen, benso[k]fluoroanteen, benso[a]püreen, indeno[1,2,3-cd]püreen, dibenso[a,h]antratseen, benso[g, h, i]perüleen (sisaldus mg/kg kuivaines)</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Valmistoode enne teiste ainetega segamist.</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Alifaatsete süsivesinike üldsisaldus (mg/kg kuivaines)</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Käärimisjääkide ärajuhtimisel reoveepuhastisse lõpeb biogaasitehases tekkivate käärimisjääkide jäätmete staatus, täites vee saasteainete piirväärtusi käsitleva ministri dekreedi 4. ja 5. lisas sätestatud piirväärtused ja teatavad nende rakenduseeskirjad.</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Valitsuse määruse nr 559/2023 (14. detsember 2023) 3. lisa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Kohapealse kompostimise, stabiliseerimise ja biogaasi tootmise tehnilised eeskirjad</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Kohapealne kompostimine</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Kompostimissüsteemi puhul paragrahvi 10 lõike 3 tähenduses, välja arvatud juhul, kui kohapeal kompostimisel kasutatakse loomseid kõrvalsaadusi, tagatakse kompostimiskohas vähemalt järgmised temperatuurid ning segamis- ja rotatsioonisagedus: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hügieeni tagamiseks hoitakse avatud komposteerimisüksuses temperatuuri 55 °C vähemalt 14 päeva, kusjuures tehakse vähemalt viis segamist või pööramist;</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hügieeni tagamiseks hoitakse avatud komposteerimisüksuses temperatuuri 65 °C vähemalt 7 päeva, kusjuures tehakse vähemalt kaks segamist või pööramist;</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suletud kompostimisüksuse hügieeni tagamiseks hoitakse temperatuuri 60 °C vähemalt seitse päeva.</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Selleks et saavutada kompostimise ajal kõrge bioloogilise aktiivsuse tase, tuleb tagada vähemalt järgmised tingimused:</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parim võimalik struktuur ja õhutamine;</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piisav hapnikuvarustus;</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piisav niiskuse- ja toitainesisaldus;</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süsiniku-lämmastiku suhe 25–35 : 1; ja</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pH vahemik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Pärast intensiivse laagerdumise lõpetamist peab kompostimispaiga käitaja komposti seejärel järeltöötlemisalal laagerduma, kuni selle temperatuur isesoojenduskatsel ületab 30 °C. Järelvalmimisele võib eelneda sõelumine või fraktsioneerimine.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Loomsete kõrvalsaaduste või nendest saadud toodete kompostimisel tuleb järgida komisjoni määruse (EL) nr 142/2011 V lisa III peatüki 1. ja 3. jaos sätestatud muundamise ja mikrobioloogilisi parameetreid.</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Stabiliseerimine</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Stabiliseerimist saab teostada ainult veekindla töötlemiskohaga jäätmekäitluskohas.</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Stabiliseerimine peab tagama vähemalt järgmised tingimused:</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staadiumid vastavalt psühhofiilsete, mesofiilsete ja termofiilsete mikroorganismide temperatuurinõudlusele;</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bioloogilise aktiivsuse kõrge tase ja piisav niiskusesisaldus biolagunevate jäätmete puhul, asjakohaste pH tingimuste kujunemine;</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c) hügieenistamisel parim võimalik struktuur, aeratsioon ja homogeniseerimine.</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Segajäätmeid tuleb stabiliseerida, kuni hingamisintensiivsus (AT4) langeb alla 10 mg O</w:t>
      </w:r>
      <w:r>
        <w:rPr>
          <w:rFonts w:ascii="Times New Roman" w:hAnsi="Times New Roman"/>
          <w:sz w:val="24"/>
          <w:vertAlign w:val="subscript"/>
        </w:rPr>
        <w:t>2</w:t>
      </w:r>
      <w:r>
        <w:rPr>
          <w:rFonts w:ascii="Times New Roman" w:hAnsi="Times New Roman"/>
          <w:sz w:val="24"/>
        </w:rPr>
        <w:t>g kuivaine kohta.</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Biogaasi tootmine</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Paragrahvi 12 lõikes 3 nimetatud protseduuride puhul tagatakse järgmiste tabelite kohased minimaalsed temperatuuriväärtused ja -perioodid: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841"/>
        <w:gridCol w:w="2320"/>
        <w:gridCol w:w="3628"/>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Biogaasi operatsioonisüsteem</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Temperatuuri väärtused</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Temperatuuri väärtuste säilitamise kestus</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Märgkääritusprotsess</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vähemalt 25–35 päeva</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Kuivkääritusprotsess</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vähemalt 20–30 päeva</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Optimaalne süsiniku/lämmastiku suhe: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Sobiv pH vahemik: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Loomsete kõrvalsaaduste või nendest saadud toodete kasutamisel biogaasitehases kohaldatakse komisjoni määruse (EL) nr 142/2011 V lisa III peatüki 1. ja 3. jaos sätestatud muundamise ja mikrobioloogilisi parameetreid.</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Valitsuse määruse nr 559/2023 (14. detsember 2023) 4. lisa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Vastavusdeklaratsioon ja selle sisu</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Kompostipartii kohta koostatakse vastavusdeklaratsioon vastavalt järgmisele tabelile:</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w:t>
            </w:r>
            <w:r>
              <w:rPr>
                <w:b/>
                <w:sz w:val="17"/>
              </w:rPr>
              <w:br/>
              <w:t>VASTAVUSDEKLARATSIOON</w:t>
            </w:r>
          </w:p>
        </w:tc>
        <w:tc>
          <w:tcPr>
            <w:tcW w:w="4549" w:type="dxa"/>
          </w:tcPr>
          <w:p w14:paraId="386EEDDB" w14:textId="77777777" w:rsidR="00D75B38" w:rsidRDefault="00D75B38" w:rsidP="00D75B38">
            <w:pPr>
              <w:pStyle w:val="TableParagraph"/>
              <w:spacing w:line="195" w:lineRule="exact"/>
              <w:ind w:left="106"/>
              <w:rPr>
                <w:sz w:val="17"/>
              </w:rPr>
            </w:pPr>
            <w:r>
              <w:rPr>
                <w:sz w:val="17"/>
              </w:rPr>
              <w:t>1. Kompostimiskoha käitaja nimi:</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Ettevõtja registrijärgse asukoha aadress:</w:t>
            </w:r>
          </w:p>
        </w:tc>
        <w:tc>
          <w:tcPr>
            <w:tcW w:w="4549" w:type="dxa"/>
          </w:tcPr>
          <w:p w14:paraId="6FBDFC63" w14:textId="77777777" w:rsidR="00D75B38" w:rsidRDefault="00D75B38" w:rsidP="00D75B38">
            <w:pPr>
              <w:pStyle w:val="TableParagraph"/>
              <w:spacing w:line="195" w:lineRule="exact"/>
              <w:ind w:left="106"/>
              <w:rPr>
                <w:sz w:val="17"/>
              </w:rPr>
            </w:pPr>
            <w:r>
              <w:rPr>
                <w:sz w:val="17"/>
              </w:rPr>
              <w:t>3. Tootmiskoha aadress:</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w:t>
            </w:r>
          </w:p>
        </w:tc>
        <w:tc>
          <w:tcPr>
            <w:tcW w:w="4549" w:type="dxa"/>
          </w:tcPr>
          <w:p w14:paraId="4BF075C6" w14:textId="77777777" w:rsidR="00D75B38" w:rsidRDefault="00D75B38" w:rsidP="00D75B38">
            <w:pPr>
              <w:pStyle w:val="TableParagraph"/>
              <w:spacing w:before="4"/>
              <w:ind w:left="106"/>
              <w:rPr>
                <w:sz w:val="17"/>
              </w:rPr>
            </w:pPr>
            <w:r>
              <w:rPr>
                <w:sz w:val="17"/>
              </w:rPr>
              <w:t>5. E-post:</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(Keskkonnakliendi ID):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(keskkonnaalane territoriaalne tunnus):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Statistika number Ungari statistikaameti (HCSO) järgi: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Jäätmekäitlusloa number:</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Komposti (kui see on olemas) turuleviimise ja kasutamise luba:</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Jäätmeks oleku lakkamise proovide ja laborikatsete aruannete arv (jäätmeproovi identifitseerimistunnus):</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Töötlemisoperatsioon:</w:t>
            </w:r>
          </w:p>
        </w:tc>
        <w:tc>
          <w:tcPr>
            <w:tcW w:w="4549" w:type="dxa"/>
          </w:tcPr>
          <w:p w14:paraId="65F30F63" w14:textId="77777777" w:rsidR="00D75B38" w:rsidRDefault="00D75B38" w:rsidP="00D75B38">
            <w:pPr>
              <w:pStyle w:val="TableParagraph"/>
              <w:spacing w:line="195" w:lineRule="exact"/>
              <w:ind w:left="97"/>
              <w:rPr>
                <w:sz w:val="17"/>
              </w:rPr>
            </w:pPr>
            <w:r>
              <w:rPr>
                <w:sz w:val="17"/>
              </w:rPr>
              <w:t>13. Töötlemistehnoloogia:</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Komposti tootmiseks kasutatud jäätmed:</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Tüüp:</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Kogus:</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Komposti tootmiseks kasutatav abiaine (kui see on olemas):</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Tüüp:</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Kogus:</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Komposti tootmise suhtes kohaldatav standard (kui see on olemas):</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Komposti kasutuskategooria:</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Kompostimiskohast eemaldatud komposti kogus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Sisemiste kompostide sisunäitajad:</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reaktsioon:</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mahukaal:</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kuivainesisaldus,</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orgaanilise aine sisaldus;</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vees lahustuv soolsus kokku:</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osakeste suuruse jaotus</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Toimeaine sisaldus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Komposti füüsikalised ja bioloogilised omadused:</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orgaanilise aine sisaldus;</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komposti küpsus:</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patogeenid:</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elujõulised umbrohuseemned ja taimede paljundamise valemid:</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makroskoopilised lisandid:</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Komposti keemilised omadused:</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Raskmetallide sisaldus:</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Orgaanilised lisandid:</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Selle kasutaja nimi, aadress, registrijärgne asukoht, kellele kompost üle antakse:</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Kättetoimetamise aadress:</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Kinnitan, et kompost vastab tingimustele, mis on sätestatud valitsuse 14. detsembri 2023. aasta dekreedis nr 559/2023 biolagunevate jäätmete tekke vältimise tegevuste kohta, biolagunevate jäätmetega seotud jäätmekäitlustegevuse üksikasjalikele eeskirjadele ja biojäätmetest toodetud komposti klassifitseerimise eeskirjadele ja 2012. aasta CLXXXV seaduse (jäätmete kohta) § 9 lõikes 1:</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Allkiri ja kuupäev:</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Käärimisjääkide partii kohta koostatakse vastavusdeklaratsioon vastavalt järgmisele tabelile:</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KÄÄRIMISJÄÄGID</w:t>
            </w:r>
            <w:r>
              <w:rPr>
                <w:b/>
                <w:sz w:val="17"/>
              </w:rPr>
              <w:br/>
              <w:t>VASTAVUSDEKLARATSIOON</w:t>
            </w:r>
          </w:p>
        </w:tc>
        <w:tc>
          <w:tcPr>
            <w:tcW w:w="4546" w:type="dxa"/>
          </w:tcPr>
          <w:p w14:paraId="16F7218D" w14:textId="77777777" w:rsidR="00D75B38" w:rsidRDefault="00D75B38" w:rsidP="00D75B38">
            <w:pPr>
              <w:pStyle w:val="TableParagraph"/>
              <w:spacing w:line="195" w:lineRule="exact"/>
              <w:rPr>
                <w:sz w:val="17"/>
              </w:rPr>
            </w:pPr>
            <w:r>
              <w:rPr>
                <w:sz w:val="17"/>
              </w:rPr>
              <w:t>1. Biogaasitehase käitaja nimi:</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Ettevõtja registrijärgse asukoha aadress:</w:t>
            </w:r>
          </w:p>
        </w:tc>
        <w:tc>
          <w:tcPr>
            <w:tcW w:w="4546" w:type="dxa"/>
          </w:tcPr>
          <w:p w14:paraId="61677E8E" w14:textId="77777777" w:rsidR="00D75B38" w:rsidRDefault="00D75B38" w:rsidP="00D75B38">
            <w:pPr>
              <w:pStyle w:val="TableParagraph"/>
              <w:spacing w:line="195" w:lineRule="exact"/>
              <w:rPr>
                <w:sz w:val="17"/>
              </w:rPr>
            </w:pPr>
            <w:r>
              <w:rPr>
                <w:sz w:val="17"/>
              </w:rPr>
              <w:t>3. Tootmiskoha aadress:</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w:t>
            </w:r>
          </w:p>
        </w:tc>
        <w:tc>
          <w:tcPr>
            <w:tcW w:w="4546" w:type="dxa"/>
          </w:tcPr>
          <w:p w14:paraId="6313FF0B" w14:textId="77777777" w:rsidR="00D75B38" w:rsidRDefault="00D75B38" w:rsidP="00D75B38">
            <w:pPr>
              <w:pStyle w:val="TableParagraph"/>
              <w:spacing w:line="195" w:lineRule="exact"/>
              <w:rPr>
                <w:sz w:val="17"/>
              </w:rPr>
            </w:pPr>
            <w:r>
              <w:rPr>
                <w:sz w:val="17"/>
              </w:rPr>
              <w:t>5. E-post:</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käärimisjääke,</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käärimisjääke,</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(Keskkonnakliendi ID):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(keskkonnaalane territoriaalne tunnus):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Statistika number Ungari statistikaameti (HCSO) järgi: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Jäätmekäitlusloa number:</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Käärimisjäägi (kui see on olemas) turuleviimise ja kasutamise luba:</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Töötlemisoperatsioon:</w:t>
            </w:r>
          </w:p>
        </w:tc>
        <w:tc>
          <w:tcPr>
            <w:tcW w:w="4549" w:type="dxa"/>
          </w:tcPr>
          <w:p w14:paraId="12765214" w14:textId="77777777" w:rsidR="00D75B38" w:rsidRDefault="00D75B38" w:rsidP="00D75B38">
            <w:pPr>
              <w:pStyle w:val="TableParagraph"/>
              <w:spacing w:line="195" w:lineRule="exact"/>
              <w:ind w:left="97"/>
              <w:rPr>
                <w:sz w:val="17"/>
              </w:rPr>
            </w:pPr>
            <w:r>
              <w:rPr>
                <w:sz w:val="17"/>
              </w:rPr>
              <w:t>12. Töötlemistehnoloogia:</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Käärimisjääkide tootmiseks kasutatud jäätmed:</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Tüüp:</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Kogus:</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t>Käärimisjäägi tootmiseks kasutatav abiaine (kui see on olemas):</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Tüüp:</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Kogus:</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Biogaasi tootmise suhtes kohaldatav standard (kui see on olemas):</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Moodustunud käärimisjäägi kogus (kg või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Käärimisjäägi keemilised omadused:</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Keemilised omadused:</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reaktsioon:</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orgaanilise aine sisaldus;</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üldlämmastik:</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üldfosfor:</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Riskantsed elemendid:</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Kui kuivainesisaldus on alla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Kui kuivainesisaldus on üle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Orgaanilised saasteained</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Kui kuivainesisaldus on alla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loomsed ja taimsed rasvad:</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anioonne pindaktiivne aine:</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Kui kuivainesisaldus on üle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Käärimisjäägi bioloogilised omadused:</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Mikrobioloogilised saasteained:</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Fekaalse kolibakteri number:</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Inimese parasiidi helminti munade arv:</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Väljaheite streptokokkide arv:</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Pseudomonas aeroginosa number:</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w:t>
            </w:r>
            <w:r>
              <w:rPr>
                <w:i/>
                <w:sz w:val="17"/>
              </w:rPr>
              <w:t>Azotobacter agile</w:t>
            </w:r>
            <w:r>
              <w:rPr>
                <w:sz w:val="17"/>
              </w:rPr>
              <w:t xml:space="preserve"> katse tulemus:</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Selle kasutaja nimi, aadress, tegevuskoht, kellele käärimisjääk üle antakse:</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Kättetoimetamise aadress:</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Kinnitan, et käärimisjääk vastab tingimustele, mis on sätestatud valitsuse 14. detsembri 2023. aasta dekreedis nr 559/2023 biolagunevate jäätmete tekke vältimise tegevuste kohta, biolagunevate jäätmetega seotud jäätmekäitlustegevuse üksikasjalikele eeskirjadele ja biojäätmetest toodetud komposti klassifitseerimise eeskirjadele ning</w:t>
            </w:r>
          </w:p>
          <w:p w14:paraId="15E63BCD" w14:textId="77777777" w:rsidR="00D75B38" w:rsidRDefault="00D75B38" w:rsidP="00D75B38">
            <w:pPr>
              <w:pStyle w:val="TableParagraph"/>
              <w:spacing w:before="2"/>
              <w:rPr>
                <w:sz w:val="17"/>
              </w:rPr>
            </w:pPr>
            <w:r>
              <w:rPr>
                <w:sz w:val="17"/>
              </w:rPr>
              <w:t>2012. aasta jäätmeseaduse CLXXXV paragrahvi 9 lõikele 1:</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Allkiri ja kuupäev:</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10FE" w14:textId="77777777" w:rsidR="005C2E33" w:rsidRDefault="005C2E33" w:rsidP="00D75B38">
      <w:pPr>
        <w:spacing w:after="0" w:line="240" w:lineRule="auto"/>
      </w:pPr>
      <w:r>
        <w:separator/>
      </w:r>
    </w:p>
  </w:endnote>
  <w:endnote w:type="continuationSeparator" w:id="0">
    <w:p w14:paraId="1CC06B57" w14:textId="77777777" w:rsidR="005C2E33" w:rsidRDefault="005C2E33"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1A5F" w14:textId="77777777" w:rsidR="005C2E33" w:rsidRDefault="005C2E33" w:rsidP="00D75B38">
      <w:pPr>
        <w:spacing w:after="0" w:line="240" w:lineRule="auto"/>
      </w:pPr>
      <w:r>
        <w:separator/>
      </w:r>
    </w:p>
  </w:footnote>
  <w:footnote w:type="continuationSeparator" w:id="0">
    <w:p w14:paraId="6C4437DC" w14:textId="77777777" w:rsidR="005C2E33" w:rsidRDefault="005C2E33"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4B077F"/>
    <w:rsid w:val="005C2E33"/>
    <w:rsid w:val="009478CF"/>
    <w:rsid w:val="009D57B8"/>
    <w:rsid w:val="00A321C1"/>
    <w:rsid w:val="00AA287C"/>
    <w:rsid w:val="00C34BDC"/>
    <w:rsid w:val="00C82FFE"/>
    <w:rsid w:val="00CC0AB7"/>
    <w:rsid w:val="00D620CD"/>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6032</Words>
  <Characters>43676</Characters>
  <Application>Microsoft Office Word</Application>
  <DocSecurity>0</DocSecurity>
  <Lines>1819</Lines>
  <Paragraphs>920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48788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2024-07-24T13:54:00Z</dcterms:created>
  <dcterms:modified xsi:type="dcterms:W3CDTF">2024-07-24T13:54:00Z</dcterms:modified>
</cp:coreProperties>
</file>