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60B1F" w14:textId="77777777" w:rsidR="00D21EA2" w:rsidRPr="003A3CEF" w:rsidRDefault="00D21EA2">
      <w:pPr>
        <w:pStyle w:val="BodyText"/>
        <w:spacing w:before="61"/>
        <w:ind w:left="0"/>
        <w:rPr>
          <w:sz w:val="28"/>
        </w:rPr>
      </w:pPr>
    </w:p>
    <w:p w14:paraId="495570D7" w14:textId="77777777" w:rsidR="00D21EA2" w:rsidRPr="003A3CEF" w:rsidRDefault="00EB3A6C">
      <w:pPr>
        <w:spacing w:before="1"/>
        <w:ind w:left="1691" w:right="1686"/>
        <w:jc w:val="center"/>
        <w:rPr>
          <w:b/>
          <w:sz w:val="28"/>
        </w:rPr>
      </w:pPr>
      <w:r>
        <w:rPr>
          <w:b/>
          <w:sz w:val="28"/>
        </w:rPr>
        <w:t>Savezna agencija za okoliš</w:t>
      </w:r>
    </w:p>
    <w:p w14:paraId="6DD6B401" w14:textId="77777777" w:rsidR="00D21EA2" w:rsidRPr="003A3CEF" w:rsidRDefault="00D21EA2">
      <w:pPr>
        <w:pStyle w:val="BodyText"/>
        <w:spacing w:before="107"/>
        <w:ind w:left="0"/>
        <w:rPr>
          <w:b/>
          <w:sz w:val="28"/>
        </w:rPr>
      </w:pPr>
    </w:p>
    <w:p w14:paraId="6F078E37" w14:textId="4BD687E2" w:rsidR="00D21EA2" w:rsidRPr="003A3CEF" w:rsidRDefault="00EB3A6C" w:rsidP="00C752E8">
      <w:pPr>
        <w:spacing w:before="1" w:line="225" w:lineRule="exact"/>
        <w:ind w:left="1691" w:right="1687"/>
        <w:jc w:val="center"/>
        <w:rPr>
          <w:b/>
          <w:bCs/>
          <w:sz w:val="20"/>
        </w:rPr>
      </w:pPr>
      <w:r>
        <w:rPr>
          <w:b/>
          <w:sz w:val="20"/>
        </w:rPr>
        <w:t>Četvrta izmjena</w:t>
      </w:r>
      <w:r>
        <w:rPr>
          <w:b/>
          <w:sz w:val="20"/>
        </w:rPr>
        <w:br/>
        <w:t>preinačene obavijesti</w:t>
      </w:r>
      <w:r>
        <w:rPr>
          <w:b/>
          <w:sz w:val="20"/>
        </w:rPr>
        <w:br/>
        <w:t>o osnovi za procjenu</w:t>
      </w:r>
      <w:r>
        <w:rPr>
          <w:b/>
          <w:sz w:val="20"/>
        </w:rPr>
        <w:br/>
        <w:t>metalnih materijala u dodiru s</w:t>
      </w:r>
      <w:r>
        <w:rPr>
          <w:b/>
          <w:sz w:val="20"/>
        </w:rPr>
        <w:br/>
        <w:t>vodom za piće</w:t>
      </w:r>
    </w:p>
    <w:p w14:paraId="0FE7CF9E" w14:textId="3A56FB14" w:rsidR="00D21EA2" w:rsidRPr="003A3CEF" w:rsidRDefault="00EB3A6C">
      <w:pPr>
        <w:spacing w:line="221" w:lineRule="exact"/>
        <w:ind w:left="1691" w:right="1685"/>
        <w:jc w:val="center"/>
        <w:rPr>
          <w:b/>
          <w:bCs/>
          <w:sz w:val="20"/>
        </w:rPr>
      </w:pPr>
      <w:r>
        <w:rPr>
          <w:b/>
          <w:sz w:val="20"/>
        </w:rPr>
        <w:t>(Osnova za procjenu metala)</w:t>
      </w:r>
      <w:r w:rsidR="00C752E8" w:rsidRPr="003A3CEF">
        <w:rPr>
          <w:rStyle w:val="FootnoteReference"/>
          <w:b/>
          <w:bCs/>
          <w:sz w:val="20"/>
        </w:rPr>
        <w:footnoteReference w:id="1"/>
      </w:r>
      <w:r>
        <w:rPr>
          <w:b/>
          <w:sz w:val="20"/>
          <w:vertAlign w:val="superscript"/>
        </w:rPr>
        <w:t xml:space="preserve">, </w:t>
      </w:r>
      <w:r w:rsidR="00C752E8" w:rsidRPr="003A3CEF">
        <w:rPr>
          <w:rStyle w:val="FootnoteReference"/>
          <w:b/>
          <w:bCs/>
          <w:sz w:val="20"/>
        </w:rPr>
        <w:footnoteReference w:id="2"/>
      </w:r>
    </w:p>
    <w:p w14:paraId="4B1488C9" w14:textId="77777777" w:rsidR="00D21EA2" w:rsidRPr="003A3CEF" w:rsidRDefault="00EB3A6C">
      <w:pPr>
        <w:pStyle w:val="BodyText"/>
        <w:spacing w:before="221"/>
        <w:ind w:left="1691" w:right="1686"/>
        <w:jc w:val="center"/>
      </w:pPr>
      <w:r>
        <w:t>Sastavljeno 10. lipnja 2024.</w:t>
      </w:r>
    </w:p>
    <w:p w14:paraId="6DD05D2F" w14:textId="77777777" w:rsidR="00D21EA2" w:rsidRPr="003A3CEF" w:rsidRDefault="00D21EA2">
      <w:pPr>
        <w:pStyle w:val="BodyText"/>
        <w:spacing w:before="17"/>
        <w:ind w:left="0"/>
      </w:pPr>
    </w:p>
    <w:p w14:paraId="6D93CFEE" w14:textId="77777777" w:rsidR="00D21EA2" w:rsidRPr="003A3CEF" w:rsidRDefault="00EB3A6C">
      <w:pPr>
        <w:pStyle w:val="BodyText"/>
        <w:spacing w:before="0"/>
        <w:ind w:left="1691" w:right="1687"/>
        <w:jc w:val="center"/>
      </w:pPr>
      <w:r>
        <w:t>I.</w:t>
      </w:r>
    </w:p>
    <w:p w14:paraId="5A9CC10A" w14:textId="77777777" w:rsidR="00D21EA2" w:rsidRPr="003A3CEF" w:rsidRDefault="00EB3A6C">
      <w:pPr>
        <w:pStyle w:val="BodyText"/>
        <w:ind w:left="4433"/>
      </w:pPr>
      <w:r>
        <w:t>Izmjene</w:t>
      </w:r>
    </w:p>
    <w:p w14:paraId="4AA685E8" w14:textId="77777777" w:rsidR="00D21EA2" w:rsidRPr="003A3CEF" w:rsidRDefault="00EB3A6C">
      <w:pPr>
        <w:pStyle w:val="ListParagraph"/>
        <w:numPr>
          <w:ilvl w:val="0"/>
          <w:numId w:val="4"/>
        </w:numPr>
        <w:tabs>
          <w:tab w:val="left" w:pos="435"/>
        </w:tabs>
        <w:spacing w:before="75"/>
        <w:ind w:hanging="216"/>
        <w:jc w:val="left"/>
        <w:rPr>
          <w:sz w:val="18"/>
        </w:rPr>
      </w:pPr>
      <w:r>
        <w:rPr>
          <w:sz w:val="18"/>
        </w:rPr>
        <w:t>U točki 1. prvi stavak zamjenjuje se sljedećim stavkom:</w:t>
      </w:r>
    </w:p>
    <w:p w14:paraId="55EF1C5A" w14:textId="7C931817" w:rsidR="00D21EA2" w:rsidRPr="003A3CEF" w:rsidRDefault="00EB3A6C" w:rsidP="003A3CEF">
      <w:pPr>
        <w:pStyle w:val="BodyText"/>
        <w:spacing w:line="252" w:lineRule="auto"/>
      </w:pPr>
      <w:r>
        <w:t>Tvari i materijali koji se upotrebljavaju za obnovu ili održavanje postrojenja za proizvodnju, pročišćavanje ili distribuciju vode za piće koji su u dodiru s vodom za piće ne smiju, u skladu s člankom</w:t>
      </w:r>
      <w:r>
        <w:t> 14. Pravilnika o vodi za piće (</w:t>
      </w:r>
      <w:proofErr w:type="spellStart"/>
      <w:r>
        <w:t>TrinkwV</w:t>
      </w:r>
      <w:proofErr w:type="spellEnd"/>
      <w:r>
        <w:t>)</w:t>
      </w:r>
    </w:p>
    <w:p w14:paraId="511F9DCF" w14:textId="77777777" w:rsidR="00D21EA2" w:rsidRPr="003A3CEF" w:rsidRDefault="00EB3A6C">
      <w:pPr>
        <w:pStyle w:val="ListParagraph"/>
        <w:numPr>
          <w:ilvl w:val="1"/>
          <w:numId w:val="4"/>
        </w:numPr>
        <w:tabs>
          <w:tab w:val="left" w:pos="675"/>
        </w:tabs>
        <w:spacing w:before="75"/>
        <w:ind w:left="675" w:hanging="209"/>
        <w:rPr>
          <w:sz w:val="18"/>
        </w:rPr>
      </w:pPr>
      <w:r>
        <w:rPr>
          <w:sz w:val="18"/>
        </w:rPr>
        <w:t>izravno ili neizravno smanjiti predviđenu zaštitu zdravlja ljudi;</w:t>
      </w:r>
    </w:p>
    <w:p w14:paraId="44F5E45E" w14:textId="77777777" w:rsidR="00D21EA2" w:rsidRPr="003A3CEF" w:rsidRDefault="00EB3A6C">
      <w:pPr>
        <w:pStyle w:val="ListParagraph"/>
        <w:numPr>
          <w:ilvl w:val="1"/>
          <w:numId w:val="4"/>
        </w:numPr>
        <w:tabs>
          <w:tab w:val="left" w:pos="675"/>
        </w:tabs>
        <w:spacing w:before="75"/>
        <w:ind w:left="675" w:hanging="219"/>
        <w:rPr>
          <w:sz w:val="18"/>
        </w:rPr>
      </w:pPr>
      <w:r>
        <w:rPr>
          <w:sz w:val="18"/>
        </w:rPr>
        <w:t>narušavati boju, miris ili okus vode;</w:t>
      </w:r>
    </w:p>
    <w:p w14:paraId="2846BFA5" w14:textId="77777777" w:rsidR="00D21EA2" w:rsidRPr="003A3CEF" w:rsidRDefault="00EB3A6C">
      <w:pPr>
        <w:pStyle w:val="ListParagraph"/>
        <w:numPr>
          <w:ilvl w:val="1"/>
          <w:numId w:val="4"/>
        </w:numPr>
        <w:tabs>
          <w:tab w:val="left" w:pos="675"/>
        </w:tabs>
        <w:spacing w:before="76"/>
        <w:ind w:left="675" w:hanging="209"/>
        <w:rPr>
          <w:sz w:val="18"/>
        </w:rPr>
      </w:pPr>
      <w:r>
        <w:rPr>
          <w:sz w:val="18"/>
        </w:rPr>
        <w:t>poticati razmnožavanje mikroorganizama; ili</w:t>
      </w:r>
    </w:p>
    <w:p w14:paraId="3D32DA15" w14:textId="77777777" w:rsidR="00D21EA2" w:rsidRPr="003A3CEF" w:rsidRDefault="00EB3A6C">
      <w:pPr>
        <w:pStyle w:val="ListParagraph"/>
        <w:numPr>
          <w:ilvl w:val="1"/>
          <w:numId w:val="4"/>
        </w:numPr>
        <w:tabs>
          <w:tab w:val="left" w:pos="676"/>
        </w:tabs>
        <w:spacing w:before="75" w:line="249" w:lineRule="auto"/>
        <w:ind w:right="106" w:hanging="220"/>
        <w:rPr>
          <w:sz w:val="18"/>
        </w:rPr>
      </w:pPr>
      <w:r>
        <w:rPr>
          <w:sz w:val="18"/>
        </w:rPr>
        <w:t>ispuštati tvari u vodu u većim količinama nego što je neizbježno ak</w:t>
      </w:r>
      <w:r>
        <w:rPr>
          <w:sz w:val="18"/>
        </w:rPr>
        <w:t>o su u skladu s općeprihvaćenim tehnološkim pravilima.</w:t>
      </w:r>
    </w:p>
    <w:p w14:paraId="62E539DC" w14:textId="77777777" w:rsidR="00D21EA2" w:rsidRPr="003A3CEF" w:rsidRDefault="00EB3A6C">
      <w:pPr>
        <w:pStyle w:val="ListParagraph"/>
        <w:numPr>
          <w:ilvl w:val="0"/>
          <w:numId w:val="4"/>
        </w:numPr>
        <w:tabs>
          <w:tab w:val="left" w:pos="435"/>
        </w:tabs>
        <w:spacing w:before="67"/>
        <w:ind w:hanging="216"/>
        <w:jc w:val="left"/>
        <w:rPr>
          <w:sz w:val="18"/>
        </w:rPr>
      </w:pPr>
      <w:r>
        <w:rPr>
          <w:sz w:val="18"/>
        </w:rPr>
        <w:t>U točki 1. drugi stavak zamjenjuje se sljedećim stavkom:</w:t>
      </w:r>
    </w:p>
    <w:p w14:paraId="0EE98BC9" w14:textId="77777777" w:rsidR="00D21EA2" w:rsidRPr="003A3CEF" w:rsidRDefault="00EB3A6C">
      <w:pPr>
        <w:pStyle w:val="BodyText"/>
        <w:spacing w:before="76" w:line="249" w:lineRule="auto"/>
      </w:pPr>
      <w:r>
        <w:t>Ovom osnovom za procjenu u skladu s člankom 15. stavkom 1. Pravilnika o vodi za piće utvrđuju se prethodno navedeni opći higijenski zahtjevi za metalne materijale navedene u području primjene.</w:t>
      </w:r>
    </w:p>
    <w:p w14:paraId="30A44FD9" w14:textId="77777777" w:rsidR="00D21EA2" w:rsidRPr="003A3CEF" w:rsidRDefault="00EB3A6C">
      <w:pPr>
        <w:pStyle w:val="ListParagraph"/>
        <w:numPr>
          <w:ilvl w:val="0"/>
          <w:numId w:val="4"/>
        </w:numPr>
        <w:tabs>
          <w:tab w:val="left" w:pos="435"/>
        </w:tabs>
        <w:spacing w:before="67"/>
        <w:ind w:hanging="216"/>
        <w:jc w:val="left"/>
        <w:rPr>
          <w:sz w:val="18"/>
        </w:rPr>
      </w:pPr>
      <w:r>
        <w:rPr>
          <w:sz w:val="18"/>
        </w:rPr>
        <w:t xml:space="preserve">U točki 1. prva rečenica trećeg stavka zamjenjuje se sljedećom </w:t>
      </w:r>
      <w:r>
        <w:rPr>
          <w:sz w:val="18"/>
        </w:rPr>
        <w:t>rečenicom:</w:t>
      </w:r>
    </w:p>
    <w:p w14:paraId="2A9809A8" w14:textId="77777777" w:rsidR="00D21EA2" w:rsidRPr="003A3CEF" w:rsidRDefault="00EB3A6C">
      <w:pPr>
        <w:pStyle w:val="BodyText"/>
        <w:spacing w:line="249" w:lineRule="auto"/>
      </w:pPr>
      <w:r>
        <w:t>Osnova za procjenu sadržava u prilogu konačni pozitivni popis metalnih materijala (članak 15. stavak 3. točka 3. Pravilnika o vodi za piće).</w:t>
      </w:r>
    </w:p>
    <w:p w14:paraId="25B732FF" w14:textId="77777777" w:rsidR="00D21EA2" w:rsidRPr="003A3CEF" w:rsidRDefault="00EB3A6C">
      <w:pPr>
        <w:pStyle w:val="ListParagraph"/>
        <w:numPr>
          <w:ilvl w:val="0"/>
          <w:numId w:val="4"/>
        </w:numPr>
        <w:tabs>
          <w:tab w:val="left" w:pos="435"/>
        </w:tabs>
        <w:spacing w:before="67"/>
        <w:ind w:hanging="216"/>
        <w:jc w:val="left"/>
        <w:rPr>
          <w:sz w:val="18"/>
        </w:rPr>
      </w:pPr>
      <w:r>
        <w:rPr>
          <w:sz w:val="18"/>
        </w:rPr>
        <w:t>U točki 1. prva rečenica četvrtog stavka zamjenjuje se sljedećom rečenicom:</w:t>
      </w:r>
    </w:p>
    <w:p w14:paraId="002C26A0" w14:textId="5F4C4828" w:rsidR="00D21EA2" w:rsidRPr="003A3CEF" w:rsidRDefault="00EB3A6C">
      <w:pPr>
        <w:pStyle w:val="BodyText"/>
        <w:spacing w:before="76" w:line="252" w:lineRule="auto"/>
      </w:pPr>
      <w:r>
        <w:t>Proizvođači proizvoda u dodi</w:t>
      </w:r>
      <w:r>
        <w:t>ru s vodom za piće moraju izjaviti udovoljavaju li njihovi proizvodi zahtjevima načela ocjenjivanja u skladu s člankom 15. Pravilnika o vodi za piće.</w:t>
      </w:r>
    </w:p>
    <w:p w14:paraId="38D26E44" w14:textId="77777777" w:rsidR="00D21EA2" w:rsidRPr="003A3CEF" w:rsidRDefault="00EB3A6C">
      <w:pPr>
        <w:pStyle w:val="ListParagraph"/>
        <w:numPr>
          <w:ilvl w:val="0"/>
          <w:numId w:val="4"/>
        </w:numPr>
        <w:tabs>
          <w:tab w:val="left" w:pos="435"/>
        </w:tabs>
        <w:spacing w:before="63"/>
        <w:ind w:hanging="216"/>
        <w:jc w:val="left"/>
        <w:rPr>
          <w:sz w:val="18"/>
        </w:rPr>
      </w:pPr>
      <w:r>
        <w:rPr>
          <w:sz w:val="18"/>
        </w:rPr>
        <w:t>U točki 1. prva rečenica šestog stavka zamjenjuje se sljedećom rečenicom:</w:t>
      </w:r>
    </w:p>
    <w:p w14:paraId="7BDCEBA3" w14:textId="77777777" w:rsidR="00D21EA2" w:rsidRPr="003A3CEF" w:rsidRDefault="00EB3A6C">
      <w:pPr>
        <w:pStyle w:val="BodyText"/>
        <w:spacing w:line="252" w:lineRule="auto"/>
        <w:ind w:right="124"/>
      </w:pPr>
      <w:r>
        <w:t>U skladu s člankom 15. stavkom 2</w:t>
      </w:r>
      <w:r>
        <w:t>. točkom 2. Pravilnika o vodi za piće, osnova za procjenu primjenjuje se dvije godine od njezine objave (tj. od 10. travnja 2017.).</w:t>
      </w:r>
    </w:p>
    <w:p w14:paraId="6548B8A2" w14:textId="77777777" w:rsidR="00D21EA2" w:rsidRPr="003A3CEF" w:rsidRDefault="00EB3A6C">
      <w:pPr>
        <w:pStyle w:val="ListParagraph"/>
        <w:numPr>
          <w:ilvl w:val="0"/>
          <w:numId w:val="4"/>
        </w:numPr>
        <w:tabs>
          <w:tab w:val="left" w:pos="435"/>
        </w:tabs>
        <w:spacing w:before="65"/>
        <w:ind w:hanging="216"/>
        <w:jc w:val="left"/>
        <w:rPr>
          <w:sz w:val="18"/>
        </w:rPr>
      </w:pPr>
      <w:r>
        <w:rPr>
          <w:sz w:val="18"/>
        </w:rPr>
        <w:t>U točki 1. četvrta rečenica šestog stavka zamjenjuje se sljedećom rečenicom:</w:t>
      </w:r>
    </w:p>
    <w:p w14:paraId="31E018C3" w14:textId="1CCA6340" w:rsidR="00D21EA2" w:rsidRPr="003A3CEF" w:rsidRDefault="00EB3A6C">
      <w:pPr>
        <w:pStyle w:val="BodyText"/>
        <w:spacing w:before="74" w:line="249" w:lineRule="auto"/>
        <w:ind w:right="106"/>
        <w:jc w:val="both"/>
      </w:pPr>
      <w:r>
        <w:t>Od tog datuma operatori vodoopskrbe osiguravaju</w:t>
      </w:r>
      <w:r>
        <w:t xml:space="preserve"> da se, u skladu s člankom 13. stavkom 2. Pravilnika o vodi za piće, za izgradnju ili održavanje sustava vode za piće upotrebljavaju samo metalni materijali koji su navedeni na pozitivnom popisu metalnih materijala prikladnih za higijenu vode za piće, uzim</w:t>
      </w:r>
      <w:r>
        <w:t>ajući u obzir ograničenja (skupine proizvoda ili uporabu s određenom vodom za piće) navedena u ovoj osnovi za procjenu.</w:t>
      </w:r>
    </w:p>
    <w:p w14:paraId="7D22B89E" w14:textId="77777777" w:rsidR="00D21EA2" w:rsidRPr="003A3CEF" w:rsidRDefault="00EB3A6C">
      <w:pPr>
        <w:pStyle w:val="ListParagraph"/>
        <w:numPr>
          <w:ilvl w:val="0"/>
          <w:numId w:val="4"/>
        </w:numPr>
        <w:tabs>
          <w:tab w:val="left" w:pos="435"/>
        </w:tabs>
        <w:spacing w:before="71"/>
        <w:ind w:hanging="216"/>
        <w:jc w:val="both"/>
        <w:rPr>
          <w:sz w:val="18"/>
        </w:rPr>
      </w:pPr>
      <w:r>
        <w:rPr>
          <w:sz w:val="18"/>
        </w:rPr>
        <w:t>U točki 1. osmi stavak zamjenjuje se sljedećim stavkom:</w:t>
      </w:r>
    </w:p>
    <w:p w14:paraId="3811860D" w14:textId="77777777" w:rsidR="00D21EA2" w:rsidRPr="003A3CEF" w:rsidRDefault="00EB3A6C">
      <w:pPr>
        <w:pStyle w:val="BodyText"/>
        <w:spacing w:line="249" w:lineRule="auto"/>
        <w:ind w:right="106"/>
        <w:jc w:val="both"/>
      </w:pPr>
      <w:r>
        <w:t>U skladu s revidiranom Direktivom o kvaliteti vode namijenjene za ljudsku potroš</w:t>
      </w:r>
      <w:r>
        <w:t>nju (Direktiva (EU) 2020/2184) u budućnosti će se uvesti jedinstveni zahtjevi za materijale u dodiru s vodom za piće u cijeloj Europi. Ta će pravila zamijeniti ovu osnovu za procjenu.</w:t>
      </w:r>
    </w:p>
    <w:p w14:paraId="135075EB" w14:textId="77777777" w:rsidR="00D21EA2" w:rsidRPr="003A3CEF" w:rsidRDefault="00EB3A6C">
      <w:pPr>
        <w:pStyle w:val="ListParagraph"/>
        <w:numPr>
          <w:ilvl w:val="0"/>
          <w:numId w:val="4"/>
        </w:numPr>
        <w:tabs>
          <w:tab w:val="left" w:pos="435"/>
        </w:tabs>
        <w:spacing w:before="68"/>
        <w:ind w:hanging="216"/>
        <w:jc w:val="both"/>
        <w:rPr>
          <w:sz w:val="18"/>
        </w:rPr>
      </w:pPr>
      <w:r>
        <w:rPr>
          <w:sz w:val="18"/>
        </w:rPr>
        <w:t>U točki 3.2.1. pretposljednja rečenica zamjenjuje se sljedećom rečenicom:</w:t>
      </w:r>
    </w:p>
    <w:p w14:paraId="10C88001" w14:textId="77777777" w:rsidR="00D21EA2" w:rsidRPr="003A3CEF" w:rsidRDefault="00EB3A6C">
      <w:pPr>
        <w:pStyle w:val="BodyText"/>
        <w:spacing w:line="252" w:lineRule="auto"/>
        <w:ind w:right="106"/>
        <w:jc w:val="both"/>
      </w:pPr>
      <w:r>
        <w:t>Primjereno ocijenjeni premazi navedeni su na pozitivnom popisu metalnih materijala prikladnih za higijenu vode za piće (vidjeti Prilog 3. Premazi).</w:t>
      </w:r>
    </w:p>
    <w:p w14:paraId="76E372B6" w14:textId="77777777" w:rsidR="00D21EA2" w:rsidRPr="003A3CEF" w:rsidRDefault="00EB3A6C">
      <w:pPr>
        <w:pStyle w:val="ListParagraph"/>
        <w:numPr>
          <w:ilvl w:val="0"/>
          <w:numId w:val="4"/>
        </w:numPr>
        <w:tabs>
          <w:tab w:val="left" w:pos="435"/>
        </w:tabs>
        <w:spacing w:before="64"/>
        <w:ind w:hanging="216"/>
        <w:jc w:val="both"/>
        <w:rPr>
          <w:sz w:val="18"/>
        </w:rPr>
      </w:pPr>
      <w:r>
        <w:rPr>
          <w:sz w:val="18"/>
        </w:rPr>
        <w:t>U točki 5.1. prva rečenica prvog stavka zamjenjuje se sljedećom rečenicom:</w:t>
      </w:r>
    </w:p>
    <w:p w14:paraId="0EB4B3D8" w14:textId="77777777" w:rsidR="00D21EA2" w:rsidRPr="003A3CEF" w:rsidRDefault="00EB3A6C">
      <w:pPr>
        <w:pStyle w:val="BodyText"/>
        <w:spacing w:line="252" w:lineRule="auto"/>
        <w:ind w:right="106"/>
        <w:jc w:val="both"/>
      </w:pPr>
      <w:r>
        <w:t xml:space="preserve">UBA ocjenjuje metalne materijale na zahtjev (članak 15. stavak 5. Pravilnika o vodi za piće) proizvođača ili udruženja </w:t>
      </w:r>
      <w:r>
        <w:lastRenderedPageBreak/>
        <w:t>(„podnositelj zahtjeva”).</w:t>
      </w:r>
    </w:p>
    <w:p w14:paraId="45642588" w14:textId="77777777" w:rsidR="00D21EA2" w:rsidRPr="003A3CEF" w:rsidRDefault="00EB3A6C">
      <w:pPr>
        <w:pStyle w:val="ListParagraph"/>
        <w:numPr>
          <w:ilvl w:val="0"/>
          <w:numId w:val="4"/>
        </w:numPr>
        <w:tabs>
          <w:tab w:val="left" w:pos="435"/>
        </w:tabs>
        <w:spacing w:before="64"/>
        <w:ind w:hanging="318"/>
        <w:jc w:val="both"/>
        <w:rPr>
          <w:sz w:val="18"/>
        </w:rPr>
      </w:pPr>
      <w:r>
        <w:rPr>
          <w:sz w:val="18"/>
        </w:rPr>
        <w:t>Pojam „postrojenje za pitku vodu” za</w:t>
      </w:r>
      <w:r>
        <w:rPr>
          <w:sz w:val="18"/>
        </w:rPr>
        <w:t>mjenjuje se pojmom „postrojenje za vodu za piće” u cijelom dokumentu.</w:t>
      </w:r>
    </w:p>
    <w:p w14:paraId="016FC2DD" w14:textId="52B8DD9F" w:rsidR="00D21EA2" w:rsidRPr="003A3CEF" w:rsidRDefault="00EB3A6C" w:rsidP="007B018D">
      <w:pPr>
        <w:pStyle w:val="ListParagraph"/>
        <w:numPr>
          <w:ilvl w:val="0"/>
          <w:numId w:val="4"/>
        </w:numPr>
        <w:tabs>
          <w:tab w:val="left" w:pos="435"/>
        </w:tabs>
        <w:spacing w:before="64"/>
        <w:ind w:hanging="318"/>
        <w:jc w:val="both"/>
        <w:rPr>
          <w:sz w:val="18"/>
        </w:rPr>
      </w:pPr>
      <w:r>
        <w:rPr>
          <w:sz w:val="18"/>
        </w:rPr>
        <w:t>Pojam „poduzetnik i drugi posjednik” zamjenjuje se pojmom „operator” u cijelom dokumentu.</w:t>
      </w:r>
    </w:p>
    <w:p w14:paraId="37933A14" w14:textId="1B4E4E2B" w:rsidR="00D21EA2" w:rsidRPr="003A3CEF" w:rsidRDefault="00EB3A6C">
      <w:pPr>
        <w:pStyle w:val="ListParagraph"/>
        <w:numPr>
          <w:ilvl w:val="0"/>
          <w:numId w:val="4"/>
        </w:numPr>
        <w:tabs>
          <w:tab w:val="left" w:pos="435"/>
        </w:tabs>
        <w:spacing w:line="249" w:lineRule="auto"/>
        <w:ind w:right="107" w:hanging="319"/>
        <w:jc w:val="both"/>
        <w:rPr>
          <w:sz w:val="18"/>
        </w:rPr>
      </w:pPr>
      <w:r>
        <w:rPr>
          <w:sz w:val="18"/>
        </w:rPr>
        <w:t xml:space="preserve">U Prilogu „Pozitivni popis metalnih materijala koji su prikladni za uporabu u sustavima vode za </w:t>
      </w:r>
      <w:r>
        <w:rPr>
          <w:sz w:val="18"/>
        </w:rPr>
        <w:t>piće” postojeći unosi na popisu mijenjaju se kako slijedi:</w:t>
      </w:r>
    </w:p>
    <w:p w14:paraId="2627E809" w14:textId="77777777" w:rsidR="00D21EA2" w:rsidRPr="003A3CEF" w:rsidRDefault="00EB3A6C">
      <w:pPr>
        <w:pStyle w:val="ListParagraph"/>
        <w:numPr>
          <w:ilvl w:val="0"/>
          <w:numId w:val="3"/>
        </w:numPr>
        <w:tabs>
          <w:tab w:val="left" w:pos="635"/>
        </w:tabs>
        <w:spacing w:before="74"/>
        <w:ind w:hanging="170"/>
        <w:rPr>
          <w:sz w:val="18"/>
        </w:rPr>
      </w:pPr>
      <w:r>
        <w:rPr>
          <w:sz w:val="18"/>
        </w:rPr>
        <w:t>2.1.3.4. CW506L-DW (CuZn33): Brisanje dodatka „-DW”</w:t>
      </w:r>
    </w:p>
    <w:p w14:paraId="63FD6D3F" w14:textId="77777777" w:rsidR="00D21EA2" w:rsidRPr="003A3CEF" w:rsidRDefault="00EB3A6C">
      <w:pPr>
        <w:pStyle w:val="ListParagraph"/>
        <w:numPr>
          <w:ilvl w:val="0"/>
          <w:numId w:val="3"/>
        </w:numPr>
        <w:tabs>
          <w:tab w:val="left" w:pos="635"/>
        </w:tabs>
        <w:ind w:hanging="170"/>
        <w:rPr>
          <w:sz w:val="18"/>
        </w:rPr>
      </w:pPr>
      <w:r>
        <w:rPr>
          <w:sz w:val="18"/>
        </w:rPr>
        <w:t>2.1.3.5. CW507L-DW (CuZn36): neizbježni prateći element Pb: Dopuna *-znaku</w:t>
      </w:r>
    </w:p>
    <w:p w14:paraId="0C54EAC6" w14:textId="77777777" w:rsidR="00D21EA2" w:rsidRPr="003A3CEF" w:rsidRDefault="00EB3A6C">
      <w:pPr>
        <w:pStyle w:val="ListParagraph"/>
        <w:numPr>
          <w:ilvl w:val="0"/>
          <w:numId w:val="3"/>
        </w:numPr>
        <w:tabs>
          <w:tab w:val="left" w:pos="635"/>
        </w:tabs>
        <w:spacing w:line="249" w:lineRule="auto"/>
        <w:ind w:right="106"/>
        <w:rPr>
          <w:sz w:val="18"/>
        </w:rPr>
      </w:pPr>
      <w:r>
        <w:rPr>
          <w:sz w:val="18"/>
        </w:rPr>
        <w:t xml:space="preserve">2.1.3.7. CW509L-DW (CuZn40): Najbolji omjer legure Cu: Promjena donje </w:t>
      </w:r>
      <w:r>
        <w:rPr>
          <w:sz w:val="18"/>
        </w:rPr>
        <w:t>granice s 59,5 % (m/m) na 59,0 % (m/m)</w:t>
      </w:r>
    </w:p>
    <w:p w14:paraId="30BF5C16" w14:textId="77777777" w:rsidR="00D21EA2" w:rsidRPr="003A3CEF" w:rsidRDefault="00EB3A6C">
      <w:pPr>
        <w:pStyle w:val="ListParagraph"/>
        <w:numPr>
          <w:ilvl w:val="0"/>
          <w:numId w:val="3"/>
        </w:numPr>
        <w:tabs>
          <w:tab w:val="left" w:pos="635"/>
        </w:tabs>
        <w:spacing w:before="74"/>
        <w:ind w:hanging="170"/>
        <w:rPr>
          <w:sz w:val="18"/>
        </w:rPr>
      </w:pPr>
      <w:r>
        <w:rPr>
          <w:sz w:val="18"/>
        </w:rPr>
        <w:t>2.2.3.1. CuZn42Al: Dopuna standardnoj oznaci „CC773S”</w:t>
      </w:r>
    </w:p>
    <w:p w14:paraId="383C8DA3" w14:textId="3A3B23C3" w:rsidR="00D21EA2" w:rsidRPr="003A3CEF" w:rsidRDefault="00EB3A6C">
      <w:pPr>
        <w:pStyle w:val="ListParagraph"/>
        <w:numPr>
          <w:ilvl w:val="0"/>
          <w:numId w:val="3"/>
        </w:numPr>
        <w:tabs>
          <w:tab w:val="left" w:pos="635"/>
        </w:tabs>
        <w:spacing w:before="83" w:line="249" w:lineRule="auto"/>
        <w:ind w:right="106"/>
        <w:rPr>
          <w:sz w:val="18"/>
        </w:rPr>
      </w:pPr>
      <w:r>
        <w:rPr>
          <w:sz w:val="18"/>
        </w:rPr>
        <w:t xml:space="preserve">2.5.3.1. CW511L (CuZn38As): Dopuna objašnjenju uz *-znak: </w:t>
      </w:r>
      <w:r>
        <w:rPr>
          <w:sz w:val="18"/>
        </w:rPr>
        <w:t>„* daljnja ograničenja sastava (vidjeti u nastavku) u usporedbi s europskim standardiziranim sastavom CW511L”, dopuna *-znaku o oznaci CW511L i dopuna dodatka „-DW” u standardnoj oznaci</w:t>
      </w:r>
    </w:p>
    <w:p w14:paraId="0612714C" w14:textId="77777777" w:rsidR="00D21EA2" w:rsidRPr="003A3CEF" w:rsidRDefault="00EB3A6C">
      <w:pPr>
        <w:pStyle w:val="ListParagraph"/>
        <w:numPr>
          <w:ilvl w:val="0"/>
          <w:numId w:val="3"/>
        </w:numPr>
        <w:tabs>
          <w:tab w:val="left" w:pos="635"/>
        </w:tabs>
        <w:spacing w:before="75"/>
        <w:ind w:hanging="170"/>
        <w:rPr>
          <w:sz w:val="18"/>
        </w:rPr>
      </w:pPr>
      <w:r>
        <w:rPr>
          <w:sz w:val="18"/>
        </w:rPr>
        <w:t>2.7.3.1. CC771S: Dodatak „-C” kemijskom nazivu „CuZn36AlAsSb-C”</w:t>
      </w:r>
    </w:p>
    <w:p w14:paraId="0C91243D" w14:textId="09D7D5E5" w:rsidR="00D21EA2" w:rsidRPr="003A3CEF" w:rsidRDefault="00EB3A6C">
      <w:pPr>
        <w:pStyle w:val="ListParagraph"/>
        <w:numPr>
          <w:ilvl w:val="0"/>
          <w:numId w:val="3"/>
        </w:numPr>
        <w:tabs>
          <w:tab w:val="left" w:pos="635"/>
        </w:tabs>
        <w:spacing w:line="249" w:lineRule="auto"/>
        <w:ind w:right="106"/>
        <w:rPr>
          <w:sz w:val="18"/>
        </w:rPr>
      </w:pPr>
      <w:r>
        <w:rPr>
          <w:sz w:val="18"/>
        </w:rPr>
        <w:t>2.9.3.</w:t>
      </w:r>
      <w:r>
        <w:rPr>
          <w:sz w:val="18"/>
        </w:rPr>
        <w:t>1. (novo numeriranje!) CW617N (CuZn40Pb2)/CW612N (CuZn39Pb2) i 2.9.3.2. CW614N (CuZn39Pb3)/CW603N (CuZn36Pb3): Dopuna dodatka „-DW” u standardnim nazivima i neizbježnom pratećem elementu Si: Dopuna *-znaku</w:t>
      </w:r>
    </w:p>
    <w:p w14:paraId="3727F168" w14:textId="383574CE" w:rsidR="00D21EA2" w:rsidRPr="003A3CEF" w:rsidRDefault="00EB3A6C">
      <w:pPr>
        <w:pStyle w:val="ListParagraph"/>
        <w:numPr>
          <w:ilvl w:val="0"/>
          <w:numId w:val="3"/>
        </w:numPr>
        <w:tabs>
          <w:tab w:val="left" w:pos="635"/>
        </w:tabs>
        <w:spacing w:before="75" w:line="249" w:lineRule="auto"/>
        <w:ind w:right="106"/>
        <w:rPr>
          <w:sz w:val="18"/>
        </w:rPr>
      </w:pPr>
      <w:r>
        <w:rPr>
          <w:sz w:val="18"/>
        </w:rPr>
        <w:t>2.11.3.2. (novo numeriranje!) CW626N i 2.11.3.3 CW</w:t>
      </w:r>
      <w:r>
        <w:rPr>
          <w:sz w:val="18"/>
        </w:rPr>
        <w:t>625N: Dopuna dodatka „-DW” u standardnim oznakama</w:t>
      </w:r>
    </w:p>
    <w:p w14:paraId="1264F3EF" w14:textId="77777777" w:rsidR="00D21EA2" w:rsidRPr="003A3CEF" w:rsidRDefault="00EB3A6C">
      <w:pPr>
        <w:pStyle w:val="ListParagraph"/>
        <w:numPr>
          <w:ilvl w:val="0"/>
          <w:numId w:val="3"/>
        </w:numPr>
        <w:tabs>
          <w:tab w:val="left" w:pos="635"/>
        </w:tabs>
        <w:spacing w:before="74"/>
        <w:ind w:hanging="170"/>
        <w:rPr>
          <w:sz w:val="18"/>
        </w:rPr>
      </w:pPr>
      <w:r>
        <w:rPr>
          <w:sz w:val="18"/>
        </w:rPr>
        <w:t>2.12.3.1. (novo numeriranje!) CC772S: Dodatak „-C” u kemijskom nazivu: „CuZn36Pb1.5AsSbAl-C”.</w:t>
      </w:r>
    </w:p>
    <w:p w14:paraId="73594D65" w14:textId="67193422" w:rsidR="00D21EA2" w:rsidRPr="003A3CEF" w:rsidRDefault="00EB3A6C" w:rsidP="00693F62">
      <w:pPr>
        <w:pStyle w:val="ListParagraph"/>
        <w:numPr>
          <w:ilvl w:val="0"/>
          <w:numId w:val="3"/>
        </w:numPr>
        <w:tabs>
          <w:tab w:val="left" w:pos="635"/>
        </w:tabs>
        <w:spacing w:before="8"/>
        <w:ind w:hanging="170"/>
      </w:pPr>
      <w:r>
        <w:rPr>
          <w:sz w:val="18"/>
        </w:rPr>
        <w:t xml:space="preserve">2.13.3.1. (novo numeriranje!) CW725R (CuZn33Pb1AlSiAs): Komponenta za </w:t>
      </w:r>
      <w:proofErr w:type="spellStart"/>
      <w:r>
        <w:rPr>
          <w:sz w:val="18"/>
        </w:rPr>
        <w:t>legiranje</w:t>
      </w:r>
      <w:proofErr w:type="spellEnd"/>
      <w:r>
        <w:rPr>
          <w:sz w:val="18"/>
        </w:rPr>
        <w:t xml:space="preserve"> As: Dodavanje *-znaka i dopuna d</w:t>
      </w:r>
      <w:r>
        <w:rPr>
          <w:sz w:val="18"/>
        </w:rPr>
        <w:t>odatka „-DW” u standardnoj oznaci</w:t>
      </w:r>
    </w:p>
    <w:p w14:paraId="10E8EEB5" w14:textId="64942B27" w:rsidR="00D21EA2" w:rsidRPr="00693F62" w:rsidRDefault="00EB3A6C" w:rsidP="00693F62">
      <w:pPr>
        <w:pStyle w:val="ListParagraph"/>
        <w:numPr>
          <w:ilvl w:val="0"/>
          <w:numId w:val="3"/>
        </w:numPr>
        <w:tabs>
          <w:tab w:val="left" w:pos="635"/>
        </w:tabs>
        <w:spacing w:before="10"/>
        <w:ind w:hanging="170"/>
        <w:rPr>
          <w:sz w:val="18"/>
          <w:szCs w:val="18"/>
        </w:rPr>
      </w:pPr>
      <w:r>
        <w:rPr>
          <w:sz w:val="18"/>
        </w:rPr>
        <w:t>2.14.3.1. (novo numeriranje!) CC499K* (CuSn5Zn5Pb2-C) Sastojci legure Pb i Ni:  Brisanje *-znaka</w:t>
      </w:r>
    </w:p>
    <w:p w14:paraId="531A470E" w14:textId="77777777" w:rsidR="00D21EA2" w:rsidRPr="003A3CEF" w:rsidRDefault="00EB3A6C">
      <w:pPr>
        <w:pStyle w:val="ListParagraph"/>
        <w:numPr>
          <w:ilvl w:val="0"/>
          <w:numId w:val="3"/>
        </w:numPr>
        <w:tabs>
          <w:tab w:val="left" w:pos="635"/>
        </w:tabs>
        <w:ind w:hanging="170"/>
        <w:jc w:val="left"/>
        <w:rPr>
          <w:sz w:val="18"/>
        </w:rPr>
      </w:pPr>
      <w:r>
        <w:rPr>
          <w:sz w:val="18"/>
        </w:rPr>
        <w:t>2.16.3.1. (novo numeriranje!) CW724R: Dopuna dodatka „-DW” u standardnoj oznaci</w:t>
      </w:r>
    </w:p>
    <w:p w14:paraId="3224D1DB" w14:textId="77777777" w:rsidR="00D21EA2" w:rsidRPr="003A3CEF" w:rsidRDefault="00EB3A6C">
      <w:pPr>
        <w:pStyle w:val="ListParagraph"/>
        <w:numPr>
          <w:ilvl w:val="0"/>
          <w:numId w:val="3"/>
        </w:numPr>
        <w:tabs>
          <w:tab w:val="left" w:pos="635"/>
        </w:tabs>
        <w:ind w:hanging="170"/>
        <w:jc w:val="left"/>
        <w:rPr>
          <w:sz w:val="18"/>
        </w:rPr>
      </w:pPr>
      <w:r>
        <w:rPr>
          <w:sz w:val="18"/>
        </w:rPr>
        <w:t xml:space="preserve">2.16.3.2. (novo numeriranje!) CC768S: Dopuna </w:t>
      </w:r>
      <w:r>
        <w:rPr>
          <w:sz w:val="18"/>
        </w:rPr>
        <w:t>„-C” u kemijskom nazivu „CuZn21Si3P-C”.</w:t>
      </w:r>
    </w:p>
    <w:p w14:paraId="3EE2ABDF" w14:textId="3FAF457D" w:rsidR="00D21EA2" w:rsidRPr="003A3CEF" w:rsidRDefault="00EB3A6C" w:rsidP="001D7495">
      <w:pPr>
        <w:pStyle w:val="ListParagraph"/>
        <w:numPr>
          <w:ilvl w:val="0"/>
          <w:numId w:val="3"/>
        </w:numPr>
        <w:tabs>
          <w:tab w:val="left" w:pos="635"/>
        </w:tabs>
        <w:spacing w:before="3" w:line="249" w:lineRule="auto"/>
        <w:ind w:right="105"/>
      </w:pPr>
      <w:r>
        <w:rPr>
          <w:sz w:val="18"/>
        </w:rPr>
        <w:t>2.19.3.1. (novo numeriranje!): CW453K (CuSn8): Dopuna objašnjenju uz *-znak: „* daljnja ograničenja sastava (vidjeti u nastavku) u usporedbi s europskim standardiziranim sastavom CW453K.”, dopuna *-znaku u oznaci CW4</w:t>
      </w:r>
      <w:r>
        <w:rPr>
          <w:sz w:val="18"/>
        </w:rPr>
        <w:t>53K i sastavni dio legure P: Dopuna *-znaku</w:t>
      </w:r>
    </w:p>
    <w:p w14:paraId="18E86F2B" w14:textId="77777777" w:rsidR="00D21EA2" w:rsidRPr="003A3CEF" w:rsidRDefault="00EB3A6C">
      <w:pPr>
        <w:pStyle w:val="ListParagraph"/>
        <w:numPr>
          <w:ilvl w:val="0"/>
          <w:numId w:val="3"/>
        </w:numPr>
        <w:tabs>
          <w:tab w:val="left" w:pos="635"/>
        </w:tabs>
        <w:ind w:hanging="170"/>
        <w:jc w:val="left"/>
        <w:rPr>
          <w:sz w:val="18"/>
        </w:rPr>
      </w:pPr>
      <w:r>
        <w:rPr>
          <w:sz w:val="18"/>
        </w:rPr>
        <w:t>2.20.3.1. (novo numeriranje!) CuSn10-C: Sastavni dijelovi legure Pb i P: Dopuna *-znaku</w:t>
      </w:r>
    </w:p>
    <w:p w14:paraId="27FD8057" w14:textId="77777777" w:rsidR="00D21EA2" w:rsidRPr="003A3CEF" w:rsidRDefault="00EB3A6C">
      <w:pPr>
        <w:pStyle w:val="ListParagraph"/>
        <w:numPr>
          <w:ilvl w:val="0"/>
          <w:numId w:val="4"/>
        </w:numPr>
        <w:tabs>
          <w:tab w:val="left" w:pos="435"/>
        </w:tabs>
        <w:spacing w:line="249" w:lineRule="auto"/>
        <w:ind w:right="106" w:hanging="319"/>
        <w:jc w:val="both"/>
        <w:rPr>
          <w:sz w:val="18"/>
        </w:rPr>
      </w:pPr>
      <w:r>
        <w:rPr>
          <w:sz w:val="18"/>
        </w:rPr>
        <w:t>U Prilogu Pozitivni popis metalnih materijala prikladnih za higijenu vode za piće, u točki 2. dodaje se kategorija 2.8. „Legure bakra-cinka-kositra-fosfora”, uključujući materijal „CW727R-DW (CuZn35Sn1P)”:</w:t>
      </w:r>
    </w:p>
    <w:p w14:paraId="43315A87" w14:textId="77777777" w:rsidR="00D21EA2" w:rsidRPr="003A3CEF" w:rsidRDefault="00EB3A6C">
      <w:pPr>
        <w:pStyle w:val="ListParagraph"/>
        <w:numPr>
          <w:ilvl w:val="1"/>
          <w:numId w:val="2"/>
        </w:numPr>
        <w:tabs>
          <w:tab w:val="left" w:pos="871"/>
        </w:tabs>
        <w:spacing w:before="74"/>
        <w:ind w:left="871" w:hanging="436"/>
        <w:rPr>
          <w:sz w:val="18"/>
        </w:rPr>
      </w:pPr>
      <w:r>
        <w:rPr>
          <w:sz w:val="18"/>
        </w:rPr>
        <w:t>Slitine bakra-cinka-kositra-fosfora</w:t>
      </w:r>
    </w:p>
    <w:p w14:paraId="5E4220D1" w14:textId="77777777" w:rsidR="001D7495" w:rsidRPr="001D7495" w:rsidRDefault="00EB3A6C" w:rsidP="001D7495">
      <w:pPr>
        <w:pStyle w:val="ListParagraph"/>
        <w:numPr>
          <w:ilvl w:val="2"/>
          <w:numId w:val="2"/>
        </w:numPr>
        <w:tabs>
          <w:tab w:val="left" w:pos="1025"/>
        </w:tabs>
        <w:spacing w:before="83" w:line="336" w:lineRule="auto"/>
        <w:ind w:right="79" w:firstLine="0"/>
        <w:rPr>
          <w:sz w:val="18"/>
        </w:rPr>
      </w:pPr>
      <w:r>
        <w:rPr>
          <w:sz w:val="18"/>
        </w:rPr>
        <w:t>Sastavni dijel</w:t>
      </w:r>
      <w:r>
        <w:rPr>
          <w:sz w:val="18"/>
        </w:rPr>
        <w:t>ovi legure</w:t>
      </w:r>
    </w:p>
    <w:p w14:paraId="576ACD79" w14:textId="04983551" w:rsidR="00D21EA2" w:rsidRPr="003A3CEF" w:rsidRDefault="00EB3A6C" w:rsidP="001D7495">
      <w:pPr>
        <w:pStyle w:val="ListParagraph"/>
        <w:tabs>
          <w:tab w:val="left" w:pos="1025"/>
        </w:tabs>
        <w:spacing w:before="0" w:line="336" w:lineRule="auto"/>
        <w:ind w:left="437" w:right="79" w:firstLine="0"/>
        <w:rPr>
          <w:sz w:val="18"/>
        </w:rPr>
      </w:pPr>
      <w:r>
        <w:rPr>
          <w:sz w:val="18"/>
        </w:rPr>
        <w:t>Sastav legure (% (m/m)):</w:t>
      </w: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621"/>
        <w:gridCol w:w="1621"/>
        <w:gridCol w:w="1627"/>
      </w:tblGrid>
      <w:tr w:rsidR="00D21EA2" w:rsidRPr="003A3CEF" w14:paraId="28072301" w14:textId="77777777">
        <w:trPr>
          <w:trHeight w:val="216"/>
        </w:trPr>
        <w:tc>
          <w:tcPr>
            <w:tcW w:w="1615" w:type="dxa"/>
            <w:tcBorders>
              <w:left w:val="nil"/>
            </w:tcBorders>
          </w:tcPr>
          <w:p w14:paraId="37599265" w14:textId="77777777" w:rsidR="00D21EA2" w:rsidRPr="003A3CEF" w:rsidRDefault="00EB3A6C">
            <w:pPr>
              <w:pStyle w:val="TableParagraph"/>
              <w:spacing w:before="0" w:line="181" w:lineRule="exact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Cu</w:t>
            </w:r>
          </w:p>
        </w:tc>
        <w:tc>
          <w:tcPr>
            <w:tcW w:w="1621" w:type="dxa"/>
          </w:tcPr>
          <w:p w14:paraId="0251F4B4" w14:textId="77777777" w:rsidR="00D21EA2" w:rsidRPr="003A3CEF" w:rsidRDefault="00EB3A6C">
            <w:pPr>
              <w:pStyle w:val="TableParagraph"/>
              <w:spacing w:before="0" w:line="181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Zn</w:t>
            </w:r>
          </w:p>
        </w:tc>
        <w:tc>
          <w:tcPr>
            <w:tcW w:w="1621" w:type="dxa"/>
          </w:tcPr>
          <w:p w14:paraId="1D253FDC" w14:textId="77777777" w:rsidR="00D21EA2" w:rsidRPr="003A3CEF" w:rsidRDefault="00EB3A6C">
            <w:pPr>
              <w:pStyle w:val="TableParagraph"/>
              <w:spacing w:before="0" w:line="181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Sn</w:t>
            </w:r>
          </w:p>
        </w:tc>
        <w:tc>
          <w:tcPr>
            <w:tcW w:w="1627" w:type="dxa"/>
            <w:tcBorders>
              <w:right w:val="nil"/>
            </w:tcBorders>
          </w:tcPr>
          <w:p w14:paraId="390FA3AE" w14:textId="77777777" w:rsidR="00D21EA2" w:rsidRPr="003A3CEF" w:rsidRDefault="00EB3A6C">
            <w:pPr>
              <w:pStyle w:val="TableParagraph"/>
              <w:spacing w:before="0" w:line="181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</w:tr>
      <w:tr w:rsidR="00D21EA2" w:rsidRPr="003A3CEF" w14:paraId="02B0385B" w14:textId="77777777">
        <w:trPr>
          <w:trHeight w:val="329"/>
        </w:trPr>
        <w:tc>
          <w:tcPr>
            <w:tcW w:w="1615" w:type="dxa"/>
            <w:tcBorders>
              <w:left w:val="nil"/>
            </w:tcBorders>
          </w:tcPr>
          <w:p w14:paraId="34D69A35" w14:textId="77777777" w:rsidR="00D21EA2" w:rsidRPr="003A3CEF" w:rsidRDefault="00EB3A6C">
            <w:pPr>
              <w:pStyle w:val="TableParagraph"/>
              <w:spacing w:before="69"/>
              <w:rPr>
                <w:sz w:val="18"/>
              </w:rPr>
            </w:pPr>
            <w:r>
              <w:rPr>
                <w:sz w:val="18"/>
              </w:rPr>
              <w:t>≥ 63,0 %</w:t>
            </w:r>
          </w:p>
        </w:tc>
        <w:tc>
          <w:tcPr>
            <w:tcW w:w="1621" w:type="dxa"/>
          </w:tcPr>
          <w:p w14:paraId="27E6A99D" w14:textId="77777777" w:rsidR="00D21EA2" w:rsidRPr="003A3CEF" w:rsidRDefault="00EB3A6C">
            <w:pPr>
              <w:pStyle w:val="TableParagraph"/>
              <w:spacing w:before="69"/>
              <w:ind w:left="37"/>
              <w:rPr>
                <w:sz w:val="18"/>
              </w:rPr>
            </w:pPr>
            <w:r>
              <w:rPr>
                <w:sz w:val="18"/>
              </w:rPr>
              <w:t>Ostatak</w:t>
            </w:r>
          </w:p>
        </w:tc>
        <w:tc>
          <w:tcPr>
            <w:tcW w:w="1621" w:type="dxa"/>
          </w:tcPr>
          <w:p w14:paraId="5705B504" w14:textId="77777777" w:rsidR="00D21EA2" w:rsidRPr="003A3CEF" w:rsidRDefault="00EB3A6C">
            <w:pPr>
              <w:pStyle w:val="TableParagraph"/>
              <w:spacing w:before="69"/>
              <w:ind w:left="36"/>
              <w:rPr>
                <w:sz w:val="18"/>
              </w:rPr>
            </w:pPr>
            <w:r>
              <w:rPr>
                <w:sz w:val="18"/>
              </w:rPr>
              <w:t>0,5 % – 1,0 %</w:t>
            </w:r>
          </w:p>
        </w:tc>
        <w:tc>
          <w:tcPr>
            <w:tcW w:w="1627" w:type="dxa"/>
            <w:tcBorders>
              <w:right w:val="nil"/>
            </w:tcBorders>
          </w:tcPr>
          <w:p w14:paraId="10FE3126" w14:textId="77777777" w:rsidR="00D21EA2" w:rsidRPr="003A3CEF" w:rsidRDefault="00EB3A6C">
            <w:pPr>
              <w:pStyle w:val="TableParagraph"/>
              <w:spacing w:before="69"/>
              <w:ind w:left="36"/>
              <w:rPr>
                <w:sz w:val="18"/>
              </w:rPr>
            </w:pPr>
            <w:r>
              <w:rPr>
                <w:sz w:val="18"/>
              </w:rPr>
              <w:t>0,05 % – 0,2 %</w:t>
            </w:r>
          </w:p>
        </w:tc>
      </w:tr>
    </w:tbl>
    <w:p w14:paraId="3D6E9B5A" w14:textId="77777777" w:rsidR="00D21EA2" w:rsidRPr="003A3CEF" w:rsidRDefault="00EB3A6C">
      <w:pPr>
        <w:pStyle w:val="BodyText"/>
        <w:spacing w:before="115"/>
      </w:pPr>
      <w:r>
        <w:t>Neizbježni popratni elementi (% (m/m)):</w:t>
      </w:r>
    </w:p>
    <w:p w14:paraId="574AB08D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637"/>
        <w:gridCol w:w="1637"/>
        <w:gridCol w:w="1637"/>
        <w:gridCol w:w="1643"/>
      </w:tblGrid>
      <w:tr w:rsidR="00D21EA2" w:rsidRPr="003A3CEF" w14:paraId="60E2E989" w14:textId="77777777">
        <w:trPr>
          <w:trHeight w:val="216"/>
        </w:trPr>
        <w:tc>
          <w:tcPr>
            <w:tcW w:w="1631" w:type="dxa"/>
            <w:tcBorders>
              <w:left w:val="nil"/>
            </w:tcBorders>
          </w:tcPr>
          <w:p w14:paraId="6763EE6E" w14:textId="77777777" w:rsidR="00D21EA2" w:rsidRPr="003A3CEF" w:rsidRDefault="00EB3A6C">
            <w:pPr>
              <w:pStyle w:val="TableParagraph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Al</w:t>
            </w:r>
          </w:p>
        </w:tc>
        <w:tc>
          <w:tcPr>
            <w:tcW w:w="1637" w:type="dxa"/>
          </w:tcPr>
          <w:p w14:paraId="7FBEF0A9" w14:textId="77777777" w:rsidR="00D21EA2" w:rsidRPr="003A3CEF" w:rsidRDefault="00EB3A6C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1637" w:type="dxa"/>
          </w:tcPr>
          <w:p w14:paraId="5B238984" w14:textId="77777777" w:rsidR="00D21EA2" w:rsidRPr="003A3CEF" w:rsidRDefault="00EB3A6C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Ni</w:t>
            </w:r>
          </w:p>
        </w:tc>
        <w:tc>
          <w:tcPr>
            <w:tcW w:w="1637" w:type="dxa"/>
          </w:tcPr>
          <w:p w14:paraId="7D5F6C2F" w14:textId="77777777" w:rsidR="00D21EA2" w:rsidRPr="003A3CEF" w:rsidRDefault="00EB3A6C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Pb</w:t>
            </w:r>
          </w:p>
        </w:tc>
        <w:tc>
          <w:tcPr>
            <w:tcW w:w="1643" w:type="dxa"/>
            <w:tcBorders>
              <w:right w:val="nil"/>
            </w:tcBorders>
          </w:tcPr>
          <w:p w14:paraId="50C6421B" w14:textId="77777777" w:rsidR="00D21EA2" w:rsidRPr="003A3CEF" w:rsidRDefault="00EB3A6C">
            <w:pPr>
              <w:pStyle w:val="TableParagraph"/>
              <w:ind w:left="69" w:right="36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D21EA2" w:rsidRPr="003A3CEF" w14:paraId="6AEF240C" w14:textId="77777777">
        <w:trPr>
          <w:trHeight w:val="329"/>
        </w:trPr>
        <w:tc>
          <w:tcPr>
            <w:tcW w:w="1631" w:type="dxa"/>
            <w:tcBorders>
              <w:left w:val="nil"/>
            </w:tcBorders>
          </w:tcPr>
          <w:p w14:paraId="7C2623E7" w14:textId="77777777" w:rsidR="00D21EA2" w:rsidRPr="003A3CEF" w:rsidRDefault="00EB3A6C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≤ 0,1 %</w:t>
            </w:r>
          </w:p>
        </w:tc>
        <w:tc>
          <w:tcPr>
            <w:tcW w:w="1637" w:type="dxa"/>
          </w:tcPr>
          <w:p w14:paraId="5E3C4DC7" w14:textId="77777777" w:rsidR="00D21EA2" w:rsidRPr="003A3CEF" w:rsidRDefault="00EB3A6C">
            <w:pPr>
              <w:pStyle w:val="TableParagraph"/>
              <w:spacing w:before="80"/>
              <w:ind w:left="37"/>
              <w:rPr>
                <w:sz w:val="18"/>
              </w:rPr>
            </w:pPr>
            <w:r>
              <w:rPr>
                <w:sz w:val="18"/>
              </w:rPr>
              <w:t>≤ 0,1 %</w:t>
            </w:r>
          </w:p>
        </w:tc>
        <w:tc>
          <w:tcPr>
            <w:tcW w:w="1637" w:type="dxa"/>
          </w:tcPr>
          <w:p w14:paraId="4A80A4AF" w14:textId="77777777" w:rsidR="00D21EA2" w:rsidRPr="003A3CEF" w:rsidRDefault="00EB3A6C">
            <w:pPr>
              <w:pStyle w:val="TableParagraph"/>
              <w:spacing w:before="80"/>
              <w:ind w:left="37"/>
              <w:rPr>
                <w:sz w:val="18"/>
              </w:rPr>
            </w:pPr>
            <w:r>
              <w:rPr>
                <w:sz w:val="18"/>
              </w:rPr>
              <w:t>≤ 0,1 %</w:t>
            </w:r>
          </w:p>
        </w:tc>
        <w:tc>
          <w:tcPr>
            <w:tcW w:w="1637" w:type="dxa"/>
          </w:tcPr>
          <w:p w14:paraId="443A9BCD" w14:textId="77777777" w:rsidR="00D21EA2" w:rsidRPr="003A3CEF" w:rsidRDefault="00EB3A6C">
            <w:pPr>
              <w:pStyle w:val="TableParagraph"/>
              <w:spacing w:before="80"/>
              <w:ind w:left="36"/>
              <w:rPr>
                <w:sz w:val="18"/>
              </w:rPr>
            </w:pPr>
            <w:r>
              <w:rPr>
                <w:sz w:val="18"/>
              </w:rPr>
              <w:t>≤ 0,1 %</w:t>
            </w:r>
          </w:p>
        </w:tc>
        <w:tc>
          <w:tcPr>
            <w:tcW w:w="1643" w:type="dxa"/>
            <w:tcBorders>
              <w:right w:val="nil"/>
            </w:tcBorders>
          </w:tcPr>
          <w:p w14:paraId="1777D33A" w14:textId="77777777" w:rsidR="00D21EA2" w:rsidRPr="003A3CEF" w:rsidRDefault="00EB3A6C">
            <w:pPr>
              <w:pStyle w:val="TableParagraph"/>
              <w:spacing w:before="80"/>
              <w:ind w:left="35"/>
              <w:rPr>
                <w:sz w:val="18"/>
              </w:rPr>
            </w:pPr>
            <w:r>
              <w:rPr>
                <w:sz w:val="18"/>
              </w:rPr>
              <w:t>≤ 0,10 %</w:t>
            </w:r>
          </w:p>
        </w:tc>
      </w:tr>
    </w:tbl>
    <w:p w14:paraId="46CEFC27" w14:textId="77777777" w:rsidR="001D7495" w:rsidRPr="001D7495" w:rsidRDefault="00EB3A6C">
      <w:pPr>
        <w:pStyle w:val="ListParagraph"/>
        <w:numPr>
          <w:ilvl w:val="2"/>
          <w:numId w:val="2"/>
        </w:numPr>
        <w:tabs>
          <w:tab w:val="left" w:pos="1025"/>
        </w:tabs>
        <w:spacing w:before="126" w:line="336" w:lineRule="auto"/>
        <w:ind w:right="6586" w:firstLine="0"/>
        <w:rPr>
          <w:sz w:val="18"/>
        </w:rPr>
      </w:pPr>
      <w:r>
        <w:rPr>
          <w:sz w:val="18"/>
        </w:rPr>
        <w:t>Referentni materijal</w:t>
      </w:r>
    </w:p>
    <w:p w14:paraId="7346C13D" w14:textId="7456F3AC" w:rsidR="00D21EA2" w:rsidRPr="003A3CEF" w:rsidRDefault="00EB3A6C" w:rsidP="001D7495">
      <w:pPr>
        <w:pStyle w:val="ListParagraph"/>
        <w:tabs>
          <w:tab w:val="left" w:pos="1025"/>
        </w:tabs>
        <w:spacing w:before="0" w:line="336" w:lineRule="auto"/>
        <w:ind w:left="437" w:right="79" w:firstLine="0"/>
        <w:rPr>
          <w:sz w:val="18"/>
        </w:rPr>
      </w:pPr>
      <w:r>
        <w:rPr>
          <w:sz w:val="18"/>
        </w:rPr>
        <w:t>Sastavni dijelovi legure (% (m/m)):</w:t>
      </w: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5"/>
        <w:gridCol w:w="1621"/>
        <w:gridCol w:w="1621"/>
        <w:gridCol w:w="1627"/>
      </w:tblGrid>
      <w:tr w:rsidR="00D21EA2" w:rsidRPr="003A3CEF" w14:paraId="1600CCC3" w14:textId="77777777">
        <w:trPr>
          <w:trHeight w:val="216"/>
        </w:trPr>
        <w:tc>
          <w:tcPr>
            <w:tcW w:w="1615" w:type="dxa"/>
            <w:tcBorders>
              <w:left w:val="nil"/>
            </w:tcBorders>
          </w:tcPr>
          <w:p w14:paraId="7C703C1D" w14:textId="77777777" w:rsidR="00D21EA2" w:rsidRPr="003A3CEF" w:rsidRDefault="00EB3A6C">
            <w:pPr>
              <w:pStyle w:val="TableParagraph"/>
              <w:spacing w:before="0" w:line="182" w:lineRule="exact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Cu</w:t>
            </w:r>
          </w:p>
        </w:tc>
        <w:tc>
          <w:tcPr>
            <w:tcW w:w="1621" w:type="dxa"/>
          </w:tcPr>
          <w:p w14:paraId="78BF2795" w14:textId="77777777" w:rsidR="00D21EA2" w:rsidRPr="003A3CEF" w:rsidRDefault="00EB3A6C">
            <w:pPr>
              <w:pStyle w:val="TableParagraph"/>
              <w:spacing w:before="0" w:line="182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Zn</w:t>
            </w:r>
          </w:p>
        </w:tc>
        <w:tc>
          <w:tcPr>
            <w:tcW w:w="1621" w:type="dxa"/>
          </w:tcPr>
          <w:p w14:paraId="585E737E" w14:textId="77777777" w:rsidR="00D21EA2" w:rsidRPr="003A3CEF" w:rsidRDefault="00EB3A6C">
            <w:pPr>
              <w:pStyle w:val="TableParagraph"/>
              <w:spacing w:before="0" w:line="182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Sn</w:t>
            </w:r>
          </w:p>
        </w:tc>
        <w:tc>
          <w:tcPr>
            <w:tcW w:w="1627" w:type="dxa"/>
            <w:tcBorders>
              <w:right w:val="nil"/>
            </w:tcBorders>
          </w:tcPr>
          <w:p w14:paraId="3A81860F" w14:textId="77777777" w:rsidR="00D21EA2" w:rsidRPr="003A3CEF" w:rsidRDefault="00EB3A6C">
            <w:pPr>
              <w:pStyle w:val="TableParagraph"/>
              <w:spacing w:before="0" w:line="182" w:lineRule="exact"/>
              <w:ind w:left="32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</w:tr>
      <w:tr w:rsidR="00D21EA2" w:rsidRPr="003A3CEF" w14:paraId="31E3E0AF" w14:textId="77777777">
        <w:trPr>
          <w:trHeight w:val="329"/>
        </w:trPr>
        <w:tc>
          <w:tcPr>
            <w:tcW w:w="1615" w:type="dxa"/>
            <w:tcBorders>
              <w:left w:val="nil"/>
            </w:tcBorders>
          </w:tcPr>
          <w:p w14:paraId="37BC0A1D" w14:textId="77777777" w:rsidR="00D21EA2" w:rsidRPr="003A3CEF" w:rsidRDefault="00EB3A6C">
            <w:pPr>
              <w:pStyle w:val="TableParagraph"/>
              <w:spacing w:before="70"/>
              <w:rPr>
                <w:sz w:val="18"/>
              </w:rPr>
            </w:pPr>
            <w:r>
              <w:rPr>
                <w:sz w:val="18"/>
              </w:rPr>
              <w:t>63,5 % – 65,0 %</w:t>
            </w:r>
          </w:p>
        </w:tc>
        <w:tc>
          <w:tcPr>
            <w:tcW w:w="1621" w:type="dxa"/>
          </w:tcPr>
          <w:p w14:paraId="43DCD9FE" w14:textId="77777777" w:rsidR="00D21EA2" w:rsidRPr="003A3CEF" w:rsidRDefault="00EB3A6C">
            <w:pPr>
              <w:pStyle w:val="TableParagraph"/>
              <w:spacing w:before="70"/>
              <w:ind w:left="37"/>
              <w:rPr>
                <w:sz w:val="18"/>
              </w:rPr>
            </w:pPr>
            <w:r>
              <w:rPr>
                <w:sz w:val="18"/>
              </w:rPr>
              <w:t>Ostatak</w:t>
            </w:r>
          </w:p>
        </w:tc>
        <w:tc>
          <w:tcPr>
            <w:tcW w:w="1621" w:type="dxa"/>
          </w:tcPr>
          <w:p w14:paraId="0AA3CEDA" w14:textId="77777777" w:rsidR="00D21EA2" w:rsidRPr="003A3CEF" w:rsidRDefault="00EB3A6C">
            <w:pPr>
              <w:pStyle w:val="TableParagraph"/>
              <w:spacing w:before="70"/>
              <w:ind w:left="36"/>
              <w:rPr>
                <w:sz w:val="18"/>
              </w:rPr>
            </w:pPr>
            <w:r>
              <w:rPr>
                <w:sz w:val="18"/>
              </w:rPr>
              <w:t>0,5 % – 1,0 %</w:t>
            </w:r>
          </w:p>
        </w:tc>
        <w:tc>
          <w:tcPr>
            <w:tcW w:w="1627" w:type="dxa"/>
            <w:tcBorders>
              <w:right w:val="nil"/>
            </w:tcBorders>
          </w:tcPr>
          <w:p w14:paraId="4943320C" w14:textId="77777777" w:rsidR="00D21EA2" w:rsidRPr="003A3CEF" w:rsidRDefault="00EB3A6C">
            <w:pPr>
              <w:pStyle w:val="TableParagraph"/>
              <w:spacing w:before="70"/>
              <w:ind w:left="36"/>
              <w:rPr>
                <w:sz w:val="18"/>
              </w:rPr>
            </w:pPr>
            <w:r>
              <w:rPr>
                <w:sz w:val="18"/>
              </w:rPr>
              <w:t>0,05 % – 0,10 %</w:t>
            </w:r>
          </w:p>
        </w:tc>
      </w:tr>
    </w:tbl>
    <w:p w14:paraId="0E2F69C0" w14:textId="77777777" w:rsidR="00D21EA2" w:rsidRPr="003A3CEF" w:rsidRDefault="00EB3A6C">
      <w:pPr>
        <w:pStyle w:val="BodyText"/>
        <w:spacing w:before="115"/>
      </w:pPr>
      <w:r>
        <w:t>Neizbježni popratni elementi (% (m/m)):</w:t>
      </w:r>
    </w:p>
    <w:p w14:paraId="4BF8ABDD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637"/>
        <w:gridCol w:w="1637"/>
        <w:gridCol w:w="1637"/>
        <w:gridCol w:w="1643"/>
      </w:tblGrid>
      <w:tr w:rsidR="00D21EA2" w:rsidRPr="003A3CEF" w14:paraId="048C3806" w14:textId="77777777">
        <w:trPr>
          <w:trHeight w:val="216"/>
        </w:trPr>
        <w:tc>
          <w:tcPr>
            <w:tcW w:w="1631" w:type="dxa"/>
            <w:tcBorders>
              <w:left w:val="nil"/>
            </w:tcBorders>
          </w:tcPr>
          <w:p w14:paraId="1DE61135" w14:textId="77777777" w:rsidR="00D21EA2" w:rsidRPr="003A3CEF" w:rsidRDefault="00EB3A6C">
            <w:pPr>
              <w:pStyle w:val="TableParagraph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Al</w:t>
            </w:r>
          </w:p>
        </w:tc>
        <w:tc>
          <w:tcPr>
            <w:tcW w:w="1637" w:type="dxa"/>
          </w:tcPr>
          <w:p w14:paraId="1E2EE284" w14:textId="77777777" w:rsidR="00D21EA2" w:rsidRPr="003A3CEF" w:rsidRDefault="00EB3A6C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1637" w:type="dxa"/>
          </w:tcPr>
          <w:p w14:paraId="07B4A7A4" w14:textId="77777777" w:rsidR="00D21EA2" w:rsidRPr="003A3CEF" w:rsidRDefault="00EB3A6C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Ni</w:t>
            </w:r>
          </w:p>
        </w:tc>
        <w:tc>
          <w:tcPr>
            <w:tcW w:w="1637" w:type="dxa"/>
          </w:tcPr>
          <w:p w14:paraId="388FEF35" w14:textId="77777777" w:rsidR="00D21EA2" w:rsidRPr="003A3CEF" w:rsidRDefault="00EB3A6C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Pb</w:t>
            </w:r>
          </w:p>
        </w:tc>
        <w:tc>
          <w:tcPr>
            <w:tcW w:w="1643" w:type="dxa"/>
            <w:tcBorders>
              <w:right w:val="nil"/>
            </w:tcBorders>
          </w:tcPr>
          <w:p w14:paraId="04D899AD" w14:textId="77777777" w:rsidR="00D21EA2" w:rsidRPr="003A3CEF" w:rsidRDefault="00EB3A6C">
            <w:pPr>
              <w:pStyle w:val="TableParagraph"/>
              <w:ind w:left="69" w:right="36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D21EA2" w:rsidRPr="003A3CEF" w14:paraId="2FE1B2EA" w14:textId="77777777">
        <w:trPr>
          <w:trHeight w:val="329"/>
        </w:trPr>
        <w:tc>
          <w:tcPr>
            <w:tcW w:w="1631" w:type="dxa"/>
            <w:tcBorders>
              <w:left w:val="nil"/>
            </w:tcBorders>
          </w:tcPr>
          <w:p w14:paraId="124DFE2C" w14:textId="77777777" w:rsidR="00D21EA2" w:rsidRPr="003A3CEF" w:rsidRDefault="00EB3A6C">
            <w:pPr>
              <w:pStyle w:val="TableParagraph"/>
              <w:spacing w:before="80"/>
              <w:rPr>
                <w:sz w:val="18"/>
              </w:rPr>
            </w:pPr>
            <w:r>
              <w:rPr>
                <w:sz w:val="18"/>
              </w:rPr>
              <w:t>≤ 0,05 %</w:t>
            </w:r>
          </w:p>
        </w:tc>
        <w:tc>
          <w:tcPr>
            <w:tcW w:w="1637" w:type="dxa"/>
          </w:tcPr>
          <w:p w14:paraId="551C961B" w14:textId="77777777" w:rsidR="00D21EA2" w:rsidRPr="003A3CEF" w:rsidRDefault="00EB3A6C">
            <w:pPr>
              <w:pStyle w:val="TableParagraph"/>
              <w:spacing w:before="80"/>
              <w:ind w:left="37"/>
              <w:rPr>
                <w:sz w:val="18"/>
              </w:rPr>
            </w:pPr>
            <w:r>
              <w:rPr>
                <w:sz w:val="18"/>
              </w:rPr>
              <w:t>≤ 0,10 %</w:t>
            </w:r>
          </w:p>
        </w:tc>
        <w:tc>
          <w:tcPr>
            <w:tcW w:w="1637" w:type="dxa"/>
          </w:tcPr>
          <w:p w14:paraId="44B76585" w14:textId="77777777" w:rsidR="00D21EA2" w:rsidRPr="003A3CEF" w:rsidRDefault="00EB3A6C">
            <w:pPr>
              <w:pStyle w:val="TableParagraph"/>
              <w:spacing w:before="80"/>
              <w:ind w:left="37"/>
              <w:rPr>
                <w:sz w:val="18"/>
              </w:rPr>
            </w:pPr>
            <w:r>
              <w:rPr>
                <w:sz w:val="18"/>
              </w:rPr>
              <w:t>0,06 % – 0,10 %</w:t>
            </w:r>
          </w:p>
        </w:tc>
        <w:tc>
          <w:tcPr>
            <w:tcW w:w="1637" w:type="dxa"/>
          </w:tcPr>
          <w:p w14:paraId="4ABE85BE" w14:textId="77777777" w:rsidR="00D21EA2" w:rsidRPr="003A3CEF" w:rsidRDefault="00EB3A6C">
            <w:pPr>
              <w:pStyle w:val="TableParagraph"/>
              <w:spacing w:before="80"/>
              <w:ind w:left="36"/>
              <w:rPr>
                <w:sz w:val="18"/>
              </w:rPr>
            </w:pPr>
            <w:r>
              <w:rPr>
                <w:sz w:val="18"/>
              </w:rPr>
              <w:t>0,06 % – 0,10 %</w:t>
            </w:r>
          </w:p>
        </w:tc>
        <w:tc>
          <w:tcPr>
            <w:tcW w:w="1643" w:type="dxa"/>
            <w:tcBorders>
              <w:right w:val="nil"/>
            </w:tcBorders>
          </w:tcPr>
          <w:p w14:paraId="0A1DAF7B" w14:textId="77777777" w:rsidR="00D21EA2" w:rsidRPr="003A3CEF" w:rsidRDefault="00EB3A6C">
            <w:pPr>
              <w:pStyle w:val="TableParagraph"/>
              <w:spacing w:before="80"/>
              <w:ind w:left="35"/>
              <w:rPr>
                <w:sz w:val="18"/>
              </w:rPr>
            </w:pPr>
            <w:r>
              <w:rPr>
                <w:sz w:val="18"/>
              </w:rPr>
              <w:t>≤ 0,10 %</w:t>
            </w:r>
          </w:p>
        </w:tc>
      </w:tr>
    </w:tbl>
    <w:p w14:paraId="00997B73" w14:textId="77777777" w:rsidR="00D21EA2" w:rsidRPr="003A3CEF" w:rsidRDefault="00EB3A6C">
      <w:pPr>
        <w:pStyle w:val="BodyText"/>
        <w:spacing w:before="127" w:line="249" w:lineRule="auto"/>
      </w:pPr>
      <w:r>
        <w:t xml:space="preserve">Elementi koje treba odrediti usporednim ispitivanjem prema normi DIN EN 15664-1 u kontaktnoj vodi: olovo, bakar, nikal, cink </w:t>
      </w:r>
    </w:p>
    <w:p w14:paraId="2256FA56" w14:textId="77777777" w:rsidR="001D7495" w:rsidRDefault="00EB3A6C">
      <w:pPr>
        <w:pStyle w:val="BodyText"/>
        <w:spacing w:before="74" w:line="336" w:lineRule="auto"/>
        <w:ind w:right="6536"/>
      </w:pPr>
      <w:r>
        <w:t xml:space="preserve">Najkritičnija ispitna voda: </w:t>
      </w:r>
    </w:p>
    <w:p w14:paraId="1B21A659" w14:textId="5A9507BE" w:rsidR="00D21EA2" w:rsidRPr="003A3CEF" w:rsidRDefault="00EB3A6C" w:rsidP="001D7495">
      <w:pPr>
        <w:pStyle w:val="BodyText"/>
        <w:spacing w:before="0" w:line="336" w:lineRule="auto"/>
        <w:ind w:left="437" w:right="6538"/>
      </w:pPr>
      <w:r>
        <w:t xml:space="preserve">Ispitna voda 1 u skladu s </w:t>
      </w:r>
      <w:r>
        <w:lastRenderedPageBreak/>
        <w:t>normom DIN EN 15664-2</w:t>
      </w:r>
    </w:p>
    <w:p w14:paraId="5243829A" w14:textId="77777777" w:rsidR="00D21EA2" w:rsidRPr="003A3CEF" w:rsidRDefault="00EB3A6C">
      <w:pPr>
        <w:pStyle w:val="ListParagraph"/>
        <w:numPr>
          <w:ilvl w:val="2"/>
          <w:numId w:val="2"/>
        </w:numPr>
        <w:tabs>
          <w:tab w:val="left" w:pos="1025"/>
        </w:tabs>
        <w:spacing w:before="101"/>
        <w:ind w:left="1025" w:hanging="590"/>
        <w:rPr>
          <w:sz w:val="18"/>
        </w:rPr>
      </w:pPr>
      <w:r>
        <w:rPr>
          <w:sz w:val="18"/>
        </w:rPr>
        <w:t>Materijali pogodni za uporabu u sustavima pitke vode</w:t>
      </w:r>
    </w:p>
    <w:p w14:paraId="02F62D09" w14:textId="77777777" w:rsidR="00D21EA2" w:rsidRPr="003A3CEF" w:rsidRDefault="00EB3A6C">
      <w:pPr>
        <w:pStyle w:val="ListParagraph"/>
        <w:numPr>
          <w:ilvl w:val="3"/>
          <w:numId w:val="2"/>
        </w:numPr>
        <w:tabs>
          <w:tab w:val="left" w:pos="1179"/>
        </w:tabs>
        <w:spacing w:before="77"/>
        <w:ind w:left="1179" w:hanging="744"/>
        <w:rPr>
          <w:sz w:val="18"/>
        </w:rPr>
      </w:pPr>
      <w:r>
        <w:rPr>
          <w:sz w:val="18"/>
        </w:rPr>
        <w:t>CW727R-DW (CuZn35Sn1P)</w:t>
      </w:r>
    </w:p>
    <w:p w14:paraId="392A52A4" w14:textId="77777777" w:rsidR="00D21EA2" w:rsidRPr="003A3CEF" w:rsidRDefault="00D21EA2">
      <w:pPr>
        <w:pStyle w:val="BodyText"/>
        <w:spacing w:before="4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2679"/>
      </w:tblGrid>
      <w:tr w:rsidR="00D21EA2" w:rsidRPr="003A3CEF" w14:paraId="1E5A04ED" w14:textId="77777777">
        <w:trPr>
          <w:trHeight w:val="216"/>
        </w:trPr>
        <w:tc>
          <w:tcPr>
            <w:tcW w:w="2668" w:type="dxa"/>
            <w:tcBorders>
              <w:left w:val="nil"/>
            </w:tcBorders>
          </w:tcPr>
          <w:p w14:paraId="27B1230A" w14:textId="77777777" w:rsidR="00D21EA2" w:rsidRPr="003A3CEF" w:rsidRDefault="00EB3A6C">
            <w:pPr>
              <w:pStyle w:val="TableParagraph"/>
              <w:ind w:left="846"/>
              <w:rPr>
                <w:sz w:val="16"/>
              </w:rPr>
            </w:pPr>
            <w:r>
              <w:rPr>
                <w:sz w:val="16"/>
              </w:rPr>
              <w:t>Oznaka:</w:t>
            </w:r>
          </w:p>
        </w:tc>
        <w:tc>
          <w:tcPr>
            <w:tcW w:w="2679" w:type="dxa"/>
            <w:tcBorders>
              <w:right w:val="nil"/>
            </w:tcBorders>
          </w:tcPr>
          <w:p w14:paraId="519A0FB9" w14:textId="77777777" w:rsidR="00D21EA2" w:rsidRPr="003A3CEF" w:rsidRDefault="00EB3A6C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Skupina proizvoda</w:t>
            </w:r>
          </w:p>
        </w:tc>
      </w:tr>
      <w:tr w:rsidR="00D21EA2" w:rsidRPr="003A3CEF" w14:paraId="1D1406F2" w14:textId="77777777">
        <w:trPr>
          <w:trHeight w:val="316"/>
        </w:trPr>
        <w:tc>
          <w:tcPr>
            <w:tcW w:w="2668" w:type="dxa"/>
            <w:tcBorders>
              <w:left w:val="nil"/>
            </w:tcBorders>
          </w:tcPr>
          <w:p w14:paraId="7E7BADF8" w14:textId="77777777" w:rsidR="00D21EA2" w:rsidRPr="003A3CEF" w:rsidRDefault="00EB3A6C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CW727R-DW (CuZn35Sn1P)</w:t>
            </w:r>
          </w:p>
        </w:tc>
        <w:tc>
          <w:tcPr>
            <w:tcW w:w="2679" w:type="dxa"/>
            <w:tcBorders>
              <w:right w:val="nil"/>
            </w:tcBorders>
          </w:tcPr>
          <w:p w14:paraId="69CDF3EF" w14:textId="77777777" w:rsidR="00D21EA2" w:rsidRPr="003A3CEF" w:rsidRDefault="00EB3A6C">
            <w:pPr>
              <w:pStyle w:val="TableParagraph"/>
              <w:spacing w:before="76"/>
              <w:ind w:left="37"/>
              <w:rPr>
                <w:sz w:val="18"/>
              </w:rPr>
            </w:pPr>
            <w:r>
              <w:rPr>
                <w:sz w:val="18"/>
              </w:rPr>
              <w:t>B – D</w:t>
            </w:r>
          </w:p>
        </w:tc>
      </w:tr>
    </w:tbl>
    <w:p w14:paraId="245B33B4" w14:textId="77777777" w:rsidR="00D21EA2" w:rsidRPr="003A3CEF" w:rsidRDefault="00EB3A6C">
      <w:pPr>
        <w:pStyle w:val="BodyText"/>
        <w:spacing w:before="117"/>
      </w:pPr>
      <w:r>
        <w:t>Sastavni dijelovi legure (% (m/m)):</w:t>
      </w:r>
    </w:p>
    <w:p w14:paraId="59DB464C" w14:textId="77777777" w:rsidR="00D21EA2" w:rsidRPr="003A3CEF" w:rsidRDefault="00D21EA2">
      <w:pPr>
        <w:pStyle w:val="BodyText"/>
        <w:spacing w:before="4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3"/>
        <w:gridCol w:w="1649"/>
        <w:gridCol w:w="1649"/>
        <w:gridCol w:w="1655"/>
      </w:tblGrid>
      <w:tr w:rsidR="00D21EA2" w:rsidRPr="003A3CEF" w14:paraId="388A4C83" w14:textId="77777777">
        <w:trPr>
          <w:trHeight w:val="216"/>
        </w:trPr>
        <w:tc>
          <w:tcPr>
            <w:tcW w:w="1643" w:type="dxa"/>
            <w:tcBorders>
              <w:left w:val="nil"/>
            </w:tcBorders>
          </w:tcPr>
          <w:p w14:paraId="4C24BD81" w14:textId="77777777" w:rsidR="00D21EA2" w:rsidRPr="003A3CEF" w:rsidRDefault="00EB3A6C">
            <w:pPr>
              <w:pStyle w:val="TableParagraph"/>
              <w:ind w:left="33" w:right="69"/>
              <w:jc w:val="center"/>
              <w:rPr>
                <w:sz w:val="16"/>
              </w:rPr>
            </w:pPr>
            <w:r>
              <w:rPr>
                <w:sz w:val="16"/>
              </w:rPr>
              <w:t>Cu</w:t>
            </w:r>
          </w:p>
        </w:tc>
        <w:tc>
          <w:tcPr>
            <w:tcW w:w="1649" w:type="dxa"/>
          </w:tcPr>
          <w:p w14:paraId="3886ED48" w14:textId="77777777" w:rsidR="00D21EA2" w:rsidRPr="003A3CEF" w:rsidRDefault="00EB3A6C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Zn</w:t>
            </w:r>
          </w:p>
        </w:tc>
        <w:tc>
          <w:tcPr>
            <w:tcW w:w="1649" w:type="dxa"/>
          </w:tcPr>
          <w:p w14:paraId="2B49C0D1" w14:textId="77777777" w:rsidR="00D21EA2" w:rsidRPr="003A3CEF" w:rsidRDefault="00EB3A6C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Sn</w:t>
            </w:r>
          </w:p>
        </w:tc>
        <w:tc>
          <w:tcPr>
            <w:tcW w:w="1655" w:type="dxa"/>
            <w:tcBorders>
              <w:right w:val="nil"/>
            </w:tcBorders>
          </w:tcPr>
          <w:p w14:paraId="4776EDB6" w14:textId="77777777" w:rsidR="00D21EA2" w:rsidRPr="003A3CEF" w:rsidRDefault="00EB3A6C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</w:tr>
      <w:tr w:rsidR="00D21EA2" w:rsidRPr="003A3CEF" w14:paraId="72F1B245" w14:textId="77777777">
        <w:trPr>
          <w:trHeight w:val="316"/>
        </w:trPr>
        <w:tc>
          <w:tcPr>
            <w:tcW w:w="1643" w:type="dxa"/>
            <w:tcBorders>
              <w:left w:val="nil"/>
            </w:tcBorders>
          </w:tcPr>
          <w:p w14:paraId="2CA61EEC" w14:textId="77777777" w:rsidR="00D21EA2" w:rsidRPr="003A3CEF" w:rsidRDefault="00EB3A6C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63,5 % – 65,0 %</w:t>
            </w:r>
          </w:p>
        </w:tc>
        <w:tc>
          <w:tcPr>
            <w:tcW w:w="1649" w:type="dxa"/>
          </w:tcPr>
          <w:p w14:paraId="7BFD1BB2" w14:textId="77777777" w:rsidR="00D21EA2" w:rsidRPr="003A3CEF" w:rsidRDefault="00EB3A6C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Ostatak</w:t>
            </w:r>
          </w:p>
        </w:tc>
        <w:tc>
          <w:tcPr>
            <w:tcW w:w="1649" w:type="dxa"/>
          </w:tcPr>
          <w:p w14:paraId="381C854F" w14:textId="77777777" w:rsidR="00D21EA2" w:rsidRPr="003A3CEF" w:rsidRDefault="00EB3A6C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0,5 % – 1,0 %</w:t>
            </w:r>
          </w:p>
        </w:tc>
        <w:tc>
          <w:tcPr>
            <w:tcW w:w="1655" w:type="dxa"/>
            <w:tcBorders>
              <w:right w:val="nil"/>
            </w:tcBorders>
          </w:tcPr>
          <w:p w14:paraId="3932F51A" w14:textId="77777777" w:rsidR="00D21EA2" w:rsidRPr="003A3CEF" w:rsidRDefault="00EB3A6C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0,05 % – 0,15 %</w:t>
            </w:r>
          </w:p>
        </w:tc>
      </w:tr>
    </w:tbl>
    <w:p w14:paraId="3D50FA60" w14:textId="77777777" w:rsidR="00D21EA2" w:rsidRPr="003A3CEF" w:rsidRDefault="00EB3A6C">
      <w:pPr>
        <w:pStyle w:val="BodyText"/>
        <w:spacing w:before="117"/>
      </w:pPr>
      <w:r>
        <w:t>Neizbježni popratni elementi (% (m/m)):</w:t>
      </w:r>
    </w:p>
    <w:p w14:paraId="66A211B6" w14:textId="77777777" w:rsidR="00D21EA2" w:rsidRPr="003A3CEF" w:rsidRDefault="00D21EA2">
      <w:pPr>
        <w:pStyle w:val="BodyText"/>
        <w:spacing w:before="4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1637"/>
        <w:gridCol w:w="1637"/>
        <w:gridCol w:w="1637"/>
        <w:gridCol w:w="1643"/>
      </w:tblGrid>
      <w:tr w:rsidR="00D21EA2" w:rsidRPr="003A3CEF" w14:paraId="15387E81" w14:textId="77777777">
        <w:trPr>
          <w:trHeight w:val="216"/>
        </w:trPr>
        <w:tc>
          <w:tcPr>
            <w:tcW w:w="1631" w:type="dxa"/>
            <w:tcBorders>
              <w:left w:val="nil"/>
            </w:tcBorders>
          </w:tcPr>
          <w:p w14:paraId="728E4EFA" w14:textId="77777777" w:rsidR="00D21EA2" w:rsidRPr="003A3CEF" w:rsidRDefault="00EB3A6C">
            <w:pPr>
              <w:pStyle w:val="TableParagraph"/>
              <w:ind w:right="35"/>
              <w:jc w:val="center"/>
              <w:rPr>
                <w:sz w:val="16"/>
              </w:rPr>
            </w:pPr>
            <w:r>
              <w:rPr>
                <w:sz w:val="16"/>
              </w:rPr>
              <w:t>Al</w:t>
            </w:r>
          </w:p>
        </w:tc>
        <w:tc>
          <w:tcPr>
            <w:tcW w:w="1637" w:type="dxa"/>
          </w:tcPr>
          <w:p w14:paraId="5878C12F" w14:textId="77777777" w:rsidR="00D21EA2" w:rsidRPr="003A3CEF" w:rsidRDefault="00EB3A6C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1637" w:type="dxa"/>
          </w:tcPr>
          <w:p w14:paraId="2B98055D" w14:textId="77777777" w:rsidR="00D21EA2" w:rsidRPr="003A3CEF" w:rsidRDefault="00EB3A6C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Ni</w:t>
            </w:r>
          </w:p>
        </w:tc>
        <w:tc>
          <w:tcPr>
            <w:tcW w:w="1637" w:type="dxa"/>
          </w:tcPr>
          <w:p w14:paraId="021279BC" w14:textId="77777777" w:rsidR="00D21EA2" w:rsidRPr="003A3CEF" w:rsidRDefault="00EB3A6C">
            <w:pPr>
              <w:pStyle w:val="TableParagraph"/>
              <w:ind w:left="1" w:right="1"/>
              <w:jc w:val="center"/>
              <w:rPr>
                <w:sz w:val="16"/>
              </w:rPr>
            </w:pPr>
            <w:r>
              <w:rPr>
                <w:sz w:val="16"/>
              </w:rPr>
              <w:t>Pb</w:t>
            </w:r>
          </w:p>
        </w:tc>
        <w:tc>
          <w:tcPr>
            <w:tcW w:w="1643" w:type="dxa"/>
            <w:tcBorders>
              <w:right w:val="nil"/>
            </w:tcBorders>
          </w:tcPr>
          <w:p w14:paraId="19D4D693" w14:textId="77777777" w:rsidR="00D21EA2" w:rsidRPr="003A3CEF" w:rsidRDefault="00EB3A6C">
            <w:pPr>
              <w:pStyle w:val="TableParagraph"/>
              <w:ind w:left="69" w:right="36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D21EA2" w:rsidRPr="003A3CEF" w14:paraId="1B292E15" w14:textId="77777777">
        <w:trPr>
          <w:trHeight w:val="316"/>
        </w:trPr>
        <w:tc>
          <w:tcPr>
            <w:tcW w:w="1631" w:type="dxa"/>
            <w:tcBorders>
              <w:left w:val="nil"/>
            </w:tcBorders>
          </w:tcPr>
          <w:p w14:paraId="3359CEB7" w14:textId="77777777" w:rsidR="00D21EA2" w:rsidRPr="003A3CEF" w:rsidRDefault="00EB3A6C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≤ 0,05 %</w:t>
            </w:r>
          </w:p>
        </w:tc>
        <w:tc>
          <w:tcPr>
            <w:tcW w:w="1637" w:type="dxa"/>
          </w:tcPr>
          <w:p w14:paraId="175C10A2" w14:textId="77777777" w:rsidR="00D21EA2" w:rsidRPr="003A3CEF" w:rsidRDefault="00EB3A6C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≤ 0,10 %</w:t>
            </w:r>
          </w:p>
        </w:tc>
        <w:tc>
          <w:tcPr>
            <w:tcW w:w="1637" w:type="dxa"/>
          </w:tcPr>
          <w:p w14:paraId="41F6DBA3" w14:textId="77777777" w:rsidR="00D21EA2" w:rsidRPr="003A3CEF" w:rsidRDefault="00EB3A6C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≤ 0,10 %</w:t>
            </w:r>
          </w:p>
        </w:tc>
        <w:tc>
          <w:tcPr>
            <w:tcW w:w="1637" w:type="dxa"/>
          </w:tcPr>
          <w:p w14:paraId="3654CC50" w14:textId="77777777" w:rsidR="00D21EA2" w:rsidRPr="003A3CEF" w:rsidRDefault="00EB3A6C">
            <w:pPr>
              <w:pStyle w:val="TableParagraph"/>
              <w:spacing w:before="75"/>
              <w:ind w:left="36"/>
              <w:rPr>
                <w:sz w:val="18"/>
              </w:rPr>
            </w:pPr>
            <w:r>
              <w:rPr>
                <w:sz w:val="18"/>
              </w:rPr>
              <w:t>≤ 0,10 %</w:t>
            </w:r>
          </w:p>
        </w:tc>
        <w:tc>
          <w:tcPr>
            <w:tcW w:w="1643" w:type="dxa"/>
            <w:tcBorders>
              <w:right w:val="nil"/>
            </w:tcBorders>
          </w:tcPr>
          <w:p w14:paraId="6E2EF991" w14:textId="77777777" w:rsidR="00D21EA2" w:rsidRPr="003A3CEF" w:rsidRDefault="00EB3A6C">
            <w:pPr>
              <w:pStyle w:val="TableParagraph"/>
              <w:spacing w:before="75"/>
              <w:ind w:left="35"/>
              <w:rPr>
                <w:sz w:val="18"/>
              </w:rPr>
            </w:pPr>
            <w:r>
              <w:rPr>
                <w:sz w:val="18"/>
              </w:rPr>
              <w:t>≤ 0,10 %</w:t>
            </w:r>
          </w:p>
        </w:tc>
      </w:tr>
    </w:tbl>
    <w:p w14:paraId="15D99F97" w14:textId="18F52D0D" w:rsidR="00D21EA2" w:rsidRPr="003A3CEF" w:rsidRDefault="00EB3A6C">
      <w:pPr>
        <w:pStyle w:val="ListParagraph"/>
        <w:numPr>
          <w:ilvl w:val="0"/>
          <w:numId w:val="4"/>
        </w:numPr>
        <w:tabs>
          <w:tab w:val="left" w:pos="435"/>
        </w:tabs>
        <w:spacing w:before="117" w:line="249" w:lineRule="auto"/>
        <w:ind w:right="106" w:hanging="319"/>
        <w:jc w:val="both"/>
        <w:rPr>
          <w:sz w:val="18"/>
        </w:rPr>
      </w:pPr>
      <w:r>
        <w:rPr>
          <w:sz w:val="18"/>
        </w:rPr>
        <w:t>U Prilogu Pozitivni popis metalnih materijala prikladnih za higijenu vode za piće, umetanjem nove kategorije 2.8. dolazi do pomaka daljnjih numeriranja u točki 2.</w:t>
      </w:r>
    </w:p>
    <w:p w14:paraId="2CF4D805" w14:textId="08C1DD69" w:rsidR="00D21EA2" w:rsidRPr="00693F62" w:rsidRDefault="00EB3A6C" w:rsidP="001D7495">
      <w:pPr>
        <w:pStyle w:val="ListParagraph"/>
        <w:numPr>
          <w:ilvl w:val="0"/>
          <w:numId w:val="4"/>
        </w:numPr>
        <w:tabs>
          <w:tab w:val="left" w:pos="435"/>
        </w:tabs>
        <w:spacing w:before="80" w:line="250" w:lineRule="auto"/>
        <w:ind w:left="431" w:right="108" w:hanging="318"/>
        <w:jc w:val="both"/>
        <w:rPr>
          <w:sz w:val="18"/>
        </w:rPr>
      </w:pPr>
      <w:r>
        <w:rPr>
          <w:sz w:val="18"/>
        </w:rPr>
        <w:t xml:space="preserve">U Prilogu „Pozitivni popis metalnih materijala prikladnih za higijenu vode za piće”, u točku </w:t>
      </w:r>
      <w:r>
        <w:rPr>
          <w:sz w:val="18"/>
        </w:rPr>
        <w:t>3. „Galvanski Cu/Sn premazi vanjske površine” dodaje se:</w:t>
      </w:r>
    </w:p>
    <w:p w14:paraId="48100BBC" w14:textId="77777777" w:rsidR="00D21EA2" w:rsidRPr="003A3CEF" w:rsidRDefault="00EB3A6C">
      <w:pPr>
        <w:pStyle w:val="ListParagraph"/>
        <w:numPr>
          <w:ilvl w:val="1"/>
          <w:numId w:val="1"/>
        </w:numPr>
        <w:tabs>
          <w:tab w:val="left" w:pos="871"/>
        </w:tabs>
        <w:spacing w:before="77"/>
        <w:ind w:left="871" w:hanging="436"/>
        <w:rPr>
          <w:sz w:val="18"/>
        </w:rPr>
      </w:pPr>
      <w:r>
        <w:rPr>
          <w:sz w:val="18"/>
        </w:rPr>
        <w:t>Galvanski Cu/Sn premazi vanjske površine</w:t>
      </w:r>
    </w:p>
    <w:p w14:paraId="2A9F15EC" w14:textId="77777777" w:rsidR="00D21EA2" w:rsidRPr="003A3CEF" w:rsidRDefault="00EB3A6C">
      <w:pPr>
        <w:pStyle w:val="BodyText"/>
        <w:spacing w:before="78" w:line="249" w:lineRule="auto"/>
        <w:ind w:right="106"/>
        <w:jc w:val="both"/>
      </w:pPr>
      <w:r>
        <w:t>Komponente izrađene od svih metalnih materijala prema točki 2. Materijal za armature, cijevne spojeve, aparate i crpke (B), kao i za dijelove u armaturama, ci</w:t>
      </w:r>
      <w:r>
        <w:t>jevnim spojevima, aparatima i crpkama (C) ovoga pozitivnog popisa mogu se galvanski premazati Cu/Sn premazom.</w:t>
      </w:r>
    </w:p>
    <w:p w14:paraId="3418C46B" w14:textId="77777777" w:rsidR="00D21EA2" w:rsidRPr="003A3CEF" w:rsidRDefault="00EB3A6C">
      <w:pPr>
        <w:pStyle w:val="BodyText"/>
        <w:spacing w:before="71"/>
      </w:pPr>
      <w:r>
        <w:t>Ograničenja:</w:t>
      </w:r>
    </w:p>
    <w:p w14:paraId="353413DD" w14:textId="77777777" w:rsidR="00D21EA2" w:rsidRPr="003A3CEF" w:rsidRDefault="00EB3A6C">
      <w:pPr>
        <w:pStyle w:val="ListParagraph"/>
        <w:numPr>
          <w:ilvl w:val="2"/>
          <w:numId w:val="1"/>
        </w:numPr>
        <w:tabs>
          <w:tab w:val="left" w:pos="635"/>
        </w:tabs>
        <w:spacing w:before="77"/>
        <w:ind w:left="635" w:hanging="170"/>
        <w:jc w:val="left"/>
        <w:rPr>
          <w:sz w:val="18"/>
        </w:rPr>
      </w:pPr>
      <w:r>
        <w:rPr>
          <w:sz w:val="18"/>
        </w:rPr>
        <w:t>Sastavni dijelovi premaza Cu/Sn: Cu 62 (± 1) % i Sn 38 (± 1) % (</w:t>
      </w:r>
      <w:proofErr w:type="spellStart"/>
      <w:r>
        <w:rPr>
          <w:sz w:val="18"/>
        </w:rPr>
        <w:t>molarni</w:t>
      </w:r>
      <w:proofErr w:type="spellEnd"/>
      <w:r>
        <w:rPr>
          <w:sz w:val="18"/>
        </w:rPr>
        <w:t xml:space="preserve"> omjer 1:1) </w:t>
      </w:r>
    </w:p>
    <w:p w14:paraId="29EADAB5" w14:textId="77777777" w:rsidR="00D21EA2" w:rsidRPr="003A3CEF" w:rsidRDefault="00EB3A6C">
      <w:pPr>
        <w:pStyle w:val="ListParagraph"/>
        <w:numPr>
          <w:ilvl w:val="2"/>
          <w:numId w:val="1"/>
        </w:numPr>
        <w:tabs>
          <w:tab w:val="left" w:pos="635"/>
        </w:tabs>
        <w:spacing w:before="78"/>
        <w:ind w:left="635" w:hanging="170"/>
        <w:jc w:val="left"/>
        <w:rPr>
          <w:sz w:val="18"/>
        </w:rPr>
      </w:pPr>
      <w:r>
        <w:rPr>
          <w:sz w:val="18"/>
        </w:rPr>
        <w:t>Čistoća upotrijebljenih anoda: ≥ 99,90 %</w:t>
      </w:r>
    </w:p>
    <w:p w14:paraId="06C76EB2" w14:textId="77777777" w:rsidR="001D7495" w:rsidRPr="001D7495" w:rsidRDefault="00EB3A6C">
      <w:pPr>
        <w:pStyle w:val="ListParagraph"/>
        <w:numPr>
          <w:ilvl w:val="2"/>
          <w:numId w:val="1"/>
        </w:numPr>
        <w:tabs>
          <w:tab w:val="left" w:pos="634"/>
        </w:tabs>
        <w:spacing w:before="77" w:line="328" w:lineRule="auto"/>
        <w:ind w:right="5492" w:firstLine="29"/>
        <w:jc w:val="left"/>
        <w:rPr>
          <w:sz w:val="18"/>
        </w:rPr>
      </w:pPr>
      <w:r>
        <w:rPr>
          <w:sz w:val="18"/>
        </w:rPr>
        <w:t>Metoda proizvodnje premaza; galvaniziranje</w:t>
      </w:r>
    </w:p>
    <w:p w14:paraId="31D507EE" w14:textId="400479F4" w:rsidR="00D21EA2" w:rsidRPr="003A3CEF" w:rsidRDefault="00EB3A6C" w:rsidP="001D7495">
      <w:pPr>
        <w:pStyle w:val="ListParagraph"/>
        <w:tabs>
          <w:tab w:val="left" w:pos="634"/>
        </w:tabs>
        <w:spacing w:before="0" w:line="329" w:lineRule="auto"/>
        <w:ind w:left="465" w:right="79" w:firstLine="0"/>
        <w:jc w:val="left"/>
        <w:rPr>
          <w:sz w:val="18"/>
        </w:rPr>
      </w:pPr>
      <w:r>
        <w:rPr>
          <w:sz w:val="18"/>
        </w:rPr>
        <w:t>Dodatni zahtjev:</w:t>
      </w:r>
    </w:p>
    <w:p w14:paraId="549DF573" w14:textId="77777777" w:rsidR="00D21EA2" w:rsidRPr="003A3CEF" w:rsidRDefault="00EB3A6C">
      <w:pPr>
        <w:pStyle w:val="BodyText"/>
        <w:spacing w:before="3" w:line="249" w:lineRule="auto"/>
        <w:ind w:right="106"/>
        <w:jc w:val="both"/>
      </w:pPr>
      <w:r>
        <w:t>Za svaki proizvodni proces mora se dokazati da proizvedeni proizvodi nisu onečišćeni organskim i anorganskim tvarima koje su dodane u galvanske kupke. To s</w:t>
      </w:r>
      <w:r>
        <w:t>e može dokazati migracijskim ispitivanjem prema normi DIN EN 12873-1.</w:t>
      </w:r>
    </w:p>
    <w:p w14:paraId="4ADE1B43" w14:textId="4DA0ECB6" w:rsidR="00D21EA2" w:rsidRPr="003A3CEF" w:rsidRDefault="00EB3A6C">
      <w:pPr>
        <w:pStyle w:val="BodyText"/>
        <w:spacing w:before="70" w:line="249" w:lineRule="auto"/>
        <w:ind w:right="106"/>
        <w:jc w:val="both"/>
      </w:pPr>
      <w:r>
        <w:t>Dokaz može biti dan u kontekstu postupka odobrenja ili certificiranja. U takvom postupku nije nužno ispitivanje otpuštanja metala. Dodatno je potreban i sustav osiguranja kvalitete za pr</w:t>
      </w:r>
      <w:r>
        <w:t>oizvodni postupak.</w:t>
      </w:r>
    </w:p>
    <w:p w14:paraId="45C8B50D" w14:textId="77777777" w:rsidR="00D21EA2" w:rsidRPr="003A3CEF" w:rsidRDefault="00EB3A6C">
      <w:pPr>
        <w:pStyle w:val="ListParagraph"/>
        <w:numPr>
          <w:ilvl w:val="0"/>
          <w:numId w:val="4"/>
        </w:numPr>
        <w:tabs>
          <w:tab w:val="left" w:pos="435"/>
        </w:tabs>
        <w:spacing w:before="72" w:line="249" w:lineRule="auto"/>
        <w:ind w:right="106" w:hanging="319"/>
        <w:jc w:val="both"/>
        <w:rPr>
          <w:sz w:val="18"/>
        </w:rPr>
      </w:pPr>
      <w:r>
        <w:rPr>
          <w:sz w:val="18"/>
        </w:rPr>
        <w:t>U Prilogu „Pozitivni popis metalnih materijala prikladnih za higijenu vode za piće”, materijali „NiCr80” i „</w:t>
      </w:r>
      <w:proofErr w:type="spellStart"/>
      <w:r>
        <w:rPr>
          <w:sz w:val="18"/>
        </w:rPr>
        <w:t>TaCr</w:t>
      </w:r>
      <w:proofErr w:type="spellEnd"/>
      <w:r>
        <w:rPr>
          <w:sz w:val="18"/>
        </w:rPr>
        <w:t>” dopunjeni su u točki 4. kako slijedi:</w:t>
      </w:r>
    </w:p>
    <w:p w14:paraId="3FD69A26" w14:textId="1D18AA04" w:rsidR="00D21EA2" w:rsidRPr="003A3CEF" w:rsidRDefault="00EB3A6C">
      <w:pPr>
        <w:pStyle w:val="BodyText"/>
        <w:spacing w:before="70"/>
        <w:jc w:val="both"/>
      </w:pPr>
      <w:r>
        <w:t>4.3.2. NiCr8020</w:t>
      </w:r>
    </w:p>
    <w:p w14:paraId="26E48942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2679"/>
      </w:tblGrid>
      <w:tr w:rsidR="00D21EA2" w:rsidRPr="003A3CEF" w14:paraId="65002740" w14:textId="77777777">
        <w:trPr>
          <w:trHeight w:val="216"/>
        </w:trPr>
        <w:tc>
          <w:tcPr>
            <w:tcW w:w="2668" w:type="dxa"/>
            <w:tcBorders>
              <w:left w:val="nil"/>
            </w:tcBorders>
          </w:tcPr>
          <w:p w14:paraId="28728092" w14:textId="77777777" w:rsidR="00D21EA2" w:rsidRPr="003A3CEF" w:rsidRDefault="00EB3A6C">
            <w:pPr>
              <w:pStyle w:val="TableParagraph"/>
              <w:ind w:left="846"/>
              <w:rPr>
                <w:sz w:val="16"/>
              </w:rPr>
            </w:pPr>
            <w:r>
              <w:rPr>
                <w:sz w:val="16"/>
              </w:rPr>
              <w:t>Oznaka:</w:t>
            </w:r>
          </w:p>
        </w:tc>
        <w:tc>
          <w:tcPr>
            <w:tcW w:w="2679" w:type="dxa"/>
            <w:tcBorders>
              <w:right w:val="nil"/>
            </w:tcBorders>
          </w:tcPr>
          <w:p w14:paraId="4BBB217A" w14:textId="77777777" w:rsidR="00D21EA2" w:rsidRPr="003A3CEF" w:rsidRDefault="00EB3A6C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Skupina proizvoda</w:t>
            </w:r>
          </w:p>
        </w:tc>
      </w:tr>
      <w:tr w:rsidR="00D21EA2" w:rsidRPr="003A3CEF" w14:paraId="6682B54C" w14:textId="77777777">
        <w:trPr>
          <w:trHeight w:val="317"/>
        </w:trPr>
        <w:tc>
          <w:tcPr>
            <w:tcW w:w="2668" w:type="dxa"/>
            <w:tcBorders>
              <w:left w:val="nil"/>
            </w:tcBorders>
          </w:tcPr>
          <w:p w14:paraId="51EEAB99" w14:textId="77777777" w:rsidR="00D21EA2" w:rsidRPr="003A3CEF" w:rsidRDefault="00EB3A6C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NiCr8020</w:t>
            </w:r>
          </w:p>
        </w:tc>
        <w:tc>
          <w:tcPr>
            <w:tcW w:w="2679" w:type="dxa"/>
            <w:tcBorders>
              <w:right w:val="nil"/>
            </w:tcBorders>
          </w:tcPr>
          <w:p w14:paraId="4C39F542" w14:textId="77777777" w:rsidR="00D21EA2" w:rsidRPr="003A3CEF" w:rsidRDefault="00EB3A6C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B – D</w:t>
            </w:r>
          </w:p>
        </w:tc>
      </w:tr>
    </w:tbl>
    <w:p w14:paraId="3F721A06" w14:textId="77777777" w:rsidR="00D21EA2" w:rsidRPr="003A3CEF" w:rsidRDefault="00EB3A6C">
      <w:pPr>
        <w:pStyle w:val="BodyText"/>
        <w:spacing w:before="117"/>
        <w:jc w:val="both"/>
      </w:pPr>
      <w:r>
        <w:t>Sastavni dijelovi legure (% (m/m)):</w:t>
      </w:r>
    </w:p>
    <w:p w14:paraId="175D23DC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1594"/>
        <w:gridCol w:w="1600"/>
      </w:tblGrid>
      <w:tr w:rsidR="00D21EA2" w:rsidRPr="003A3CEF" w14:paraId="08EB271E" w14:textId="77777777">
        <w:trPr>
          <w:trHeight w:val="216"/>
        </w:trPr>
        <w:tc>
          <w:tcPr>
            <w:tcW w:w="1588" w:type="dxa"/>
            <w:tcBorders>
              <w:left w:val="nil"/>
            </w:tcBorders>
          </w:tcPr>
          <w:p w14:paraId="6B3573EE" w14:textId="77777777" w:rsidR="00D21EA2" w:rsidRPr="003A3CEF" w:rsidRDefault="00EB3A6C">
            <w:pPr>
              <w:pStyle w:val="TableParagraph"/>
              <w:ind w:right="37"/>
              <w:jc w:val="center"/>
              <w:rPr>
                <w:sz w:val="16"/>
              </w:rPr>
            </w:pPr>
            <w:r>
              <w:rPr>
                <w:sz w:val="16"/>
              </w:rPr>
              <w:t>Ni</w:t>
            </w:r>
          </w:p>
        </w:tc>
        <w:tc>
          <w:tcPr>
            <w:tcW w:w="1594" w:type="dxa"/>
          </w:tcPr>
          <w:p w14:paraId="7CAD5676" w14:textId="77777777" w:rsidR="00D21EA2" w:rsidRPr="003A3CEF" w:rsidRDefault="00EB3A6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Cr</w:t>
            </w:r>
          </w:p>
        </w:tc>
        <w:tc>
          <w:tcPr>
            <w:tcW w:w="1600" w:type="dxa"/>
            <w:tcBorders>
              <w:right w:val="nil"/>
            </w:tcBorders>
          </w:tcPr>
          <w:p w14:paraId="20DAE761" w14:textId="77777777" w:rsidR="00D21EA2" w:rsidRPr="003A3CEF" w:rsidRDefault="00EB3A6C">
            <w:pPr>
              <w:pStyle w:val="TableParagraph"/>
              <w:ind w:left="36"/>
              <w:jc w:val="center"/>
              <w:rPr>
                <w:sz w:val="16"/>
              </w:rPr>
            </w:pPr>
            <w:r>
              <w:rPr>
                <w:sz w:val="16"/>
              </w:rPr>
              <w:t>Si</w:t>
            </w:r>
          </w:p>
        </w:tc>
      </w:tr>
      <w:tr w:rsidR="00D21EA2" w:rsidRPr="003A3CEF" w14:paraId="4AA3A126" w14:textId="77777777">
        <w:trPr>
          <w:trHeight w:val="316"/>
        </w:trPr>
        <w:tc>
          <w:tcPr>
            <w:tcW w:w="1588" w:type="dxa"/>
            <w:tcBorders>
              <w:left w:val="nil"/>
            </w:tcBorders>
          </w:tcPr>
          <w:p w14:paraId="40486A30" w14:textId="77777777" w:rsidR="00D21EA2" w:rsidRPr="003A3CEF" w:rsidRDefault="00EB3A6C">
            <w:pPr>
              <w:pStyle w:val="TableParagraph"/>
              <w:spacing w:before="75"/>
              <w:rPr>
                <w:sz w:val="18"/>
              </w:rPr>
            </w:pPr>
            <w:r>
              <w:rPr>
                <w:sz w:val="18"/>
              </w:rPr>
              <w:t>≥ 75,0 %</w:t>
            </w:r>
          </w:p>
        </w:tc>
        <w:tc>
          <w:tcPr>
            <w:tcW w:w="1594" w:type="dxa"/>
          </w:tcPr>
          <w:p w14:paraId="351E876F" w14:textId="77777777" w:rsidR="00D21EA2" w:rsidRPr="003A3CEF" w:rsidRDefault="00EB3A6C">
            <w:pPr>
              <w:pStyle w:val="TableParagraph"/>
              <w:spacing w:before="75"/>
              <w:ind w:left="38"/>
              <w:rPr>
                <w:sz w:val="18"/>
              </w:rPr>
            </w:pPr>
            <w:r>
              <w:rPr>
                <w:sz w:val="18"/>
              </w:rPr>
              <w:t>19,0 % – 21,0 %</w:t>
            </w:r>
          </w:p>
        </w:tc>
        <w:tc>
          <w:tcPr>
            <w:tcW w:w="1600" w:type="dxa"/>
            <w:tcBorders>
              <w:right w:val="nil"/>
            </w:tcBorders>
          </w:tcPr>
          <w:p w14:paraId="6F3E788D" w14:textId="77777777" w:rsidR="00D21EA2" w:rsidRPr="003A3CEF" w:rsidRDefault="00EB3A6C">
            <w:pPr>
              <w:pStyle w:val="TableParagraph"/>
              <w:spacing w:before="75"/>
              <w:ind w:left="37"/>
              <w:rPr>
                <w:sz w:val="18"/>
              </w:rPr>
            </w:pPr>
            <w:r>
              <w:rPr>
                <w:sz w:val="18"/>
              </w:rPr>
              <w:t>0,50 % – 2,0 %</w:t>
            </w:r>
          </w:p>
        </w:tc>
      </w:tr>
    </w:tbl>
    <w:p w14:paraId="026A0640" w14:textId="77777777" w:rsidR="00D21EA2" w:rsidRPr="003A3CEF" w:rsidRDefault="00EB3A6C">
      <w:pPr>
        <w:pStyle w:val="BodyText"/>
        <w:spacing w:before="118"/>
        <w:jc w:val="both"/>
      </w:pPr>
      <w:r>
        <w:t>Neizbježni popratni elementi (% (m/m)):</w:t>
      </w:r>
    </w:p>
    <w:p w14:paraId="387E77C1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9"/>
        <w:gridCol w:w="1035"/>
        <w:gridCol w:w="1035"/>
        <w:gridCol w:w="1035"/>
        <w:gridCol w:w="1035"/>
        <w:gridCol w:w="1035"/>
        <w:gridCol w:w="1035"/>
        <w:gridCol w:w="1035"/>
        <w:gridCol w:w="1041"/>
      </w:tblGrid>
      <w:tr w:rsidR="00D21EA2" w:rsidRPr="003A3CEF" w14:paraId="73576BFA" w14:textId="77777777">
        <w:trPr>
          <w:trHeight w:val="216"/>
        </w:trPr>
        <w:tc>
          <w:tcPr>
            <w:tcW w:w="1029" w:type="dxa"/>
            <w:tcBorders>
              <w:left w:val="nil"/>
            </w:tcBorders>
          </w:tcPr>
          <w:p w14:paraId="66C4EAEC" w14:textId="77777777" w:rsidR="00D21EA2" w:rsidRPr="003A3CEF" w:rsidRDefault="00EB3A6C">
            <w:pPr>
              <w:pStyle w:val="TableParagraph"/>
              <w:ind w:right="36"/>
              <w:jc w:val="center"/>
              <w:rPr>
                <w:sz w:val="16"/>
              </w:rPr>
            </w:pPr>
            <w:r>
              <w:rPr>
                <w:sz w:val="16"/>
              </w:rPr>
              <w:t>Al</w:t>
            </w:r>
          </w:p>
        </w:tc>
        <w:tc>
          <w:tcPr>
            <w:tcW w:w="1035" w:type="dxa"/>
          </w:tcPr>
          <w:p w14:paraId="2B755F57" w14:textId="77777777" w:rsidR="00D21EA2" w:rsidRPr="003A3CEF" w:rsidRDefault="00EB3A6C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</w:p>
        </w:tc>
        <w:tc>
          <w:tcPr>
            <w:tcW w:w="1035" w:type="dxa"/>
          </w:tcPr>
          <w:p w14:paraId="50D74CE5" w14:textId="77777777" w:rsidR="00D21EA2" w:rsidRPr="003A3CEF" w:rsidRDefault="00EB3A6C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Co</w:t>
            </w:r>
          </w:p>
        </w:tc>
        <w:tc>
          <w:tcPr>
            <w:tcW w:w="1035" w:type="dxa"/>
          </w:tcPr>
          <w:p w14:paraId="6EADC12F" w14:textId="77777777" w:rsidR="00D21EA2" w:rsidRPr="003A3CEF" w:rsidRDefault="00EB3A6C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Cu</w:t>
            </w:r>
          </w:p>
        </w:tc>
        <w:tc>
          <w:tcPr>
            <w:tcW w:w="1035" w:type="dxa"/>
          </w:tcPr>
          <w:p w14:paraId="1AD919AB" w14:textId="77777777" w:rsidR="00D21EA2" w:rsidRPr="003A3CEF" w:rsidRDefault="00EB3A6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Fe</w:t>
            </w:r>
          </w:p>
        </w:tc>
        <w:tc>
          <w:tcPr>
            <w:tcW w:w="1035" w:type="dxa"/>
          </w:tcPr>
          <w:p w14:paraId="15BA76B0" w14:textId="77777777" w:rsidR="00D21EA2" w:rsidRPr="003A3CEF" w:rsidRDefault="00EB3A6C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Mn</w:t>
            </w:r>
          </w:p>
        </w:tc>
        <w:tc>
          <w:tcPr>
            <w:tcW w:w="1035" w:type="dxa"/>
          </w:tcPr>
          <w:p w14:paraId="2D67EEF1" w14:textId="77777777" w:rsidR="00D21EA2" w:rsidRPr="003A3CEF" w:rsidRDefault="00EB3A6C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</w:p>
        </w:tc>
        <w:tc>
          <w:tcPr>
            <w:tcW w:w="1035" w:type="dxa"/>
          </w:tcPr>
          <w:p w14:paraId="07466574" w14:textId="77777777" w:rsidR="00D21EA2" w:rsidRPr="003A3CEF" w:rsidRDefault="00EB3A6C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S</w:t>
            </w:r>
          </w:p>
        </w:tc>
        <w:tc>
          <w:tcPr>
            <w:tcW w:w="1041" w:type="dxa"/>
            <w:tcBorders>
              <w:right w:val="nil"/>
            </w:tcBorders>
          </w:tcPr>
          <w:p w14:paraId="32AEB4B6" w14:textId="77777777" w:rsidR="00D21EA2" w:rsidRPr="003A3CEF" w:rsidRDefault="00EB3A6C">
            <w:pPr>
              <w:pStyle w:val="TableParagraph"/>
              <w:ind w:left="39"/>
              <w:jc w:val="center"/>
              <w:rPr>
                <w:sz w:val="16"/>
              </w:rPr>
            </w:pPr>
            <w:r>
              <w:rPr>
                <w:sz w:val="16"/>
              </w:rPr>
              <w:t>Ti</w:t>
            </w:r>
          </w:p>
        </w:tc>
      </w:tr>
      <w:tr w:rsidR="00D21EA2" w:rsidRPr="003A3CEF" w14:paraId="35DC2FE1" w14:textId="77777777">
        <w:trPr>
          <w:trHeight w:val="316"/>
        </w:trPr>
        <w:tc>
          <w:tcPr>
            <w:tcW w:w="1029" w:type="dxa"/>
            <w:tcBorders>
              <w:left w:val="nil"/>
            </w:tcBorders>
          </w:tcPr>
          <w:p w14:paraId="7BD6490F" w14:textId="77777777" w:rsidR="00D21EA2" w:rsidRPr="003A3CEF" w:rsidRDefault="00EB3A6C">
            <w:pPr>
              <w:pStyle w:val="TableParagraph"/>
              <w:spacing w:before="76"/>
              <w:rPr>
                <w:sz w:val="18"/>
              </w:rPr>
            </w:pPr>
            <w:r>
              <w:rPr>
                <w:sz w:val="18"/>
              </w:rPr>
              <w:t>≤ 0,30 %</w:t>
            </w:r>
          </w:p>
        </w:tc>
        <w:tc>
          <w:tcPr>
            <w:tcW w:w="1035" w:type="dxa"/>
          </w:tcPr>
          <w:p w14:paraId="66BDAC5F" w14:textId="77777777" w:rsidR="00D21EA2" w:rsidRPr="003A3CEF" w:rsidRDefault="00EB3A6C">
            <w:pPr>
              <w:pStyle w:val="TableParagraph"/>
              <w:spacing w:before="76"/>
              <w:ind w:left="38"/>
              <w:rPr>
                <w:sz w:val="18"/>
              </w:rPr>
            </w:pPr>
            <w:r>
              <w:rPr>
                <w:sz w:val="18"/>
              </w:rPr>
              <w:t>≤ 0,15 %</w:t>
            </w:r>
          </w:p>
        </w:tc>
        <w:tc>
          <w:tcPr>
            <w:tcW w:w="1035" w:type="dxa"/>
          </w:tcPr>
          <w:p w14:paraId="158AB652" w14:textId="77777777" w:rsidR="00D21EA2" w:rsidRPr="003A3CEF" w:rsidRDefault="00EB3A6C">
            <w:pPr>
              <w:pStyle w:val="TableParagraph"/>
              <w:spacing w:before="76"/>
              <w:ind w:left="38"/>
              <w:rPr>
                <w:sz w:val="18"/>
              </w:rPr>
            </w:pPr>
            <w:r>
              <w:rPr>
                <w:sz w:val="18"/>
              </w:rPr>
              <w:t>≤ 1,5 %</w:t>
            </w:r>
          </w:p>
        </w:tc>
        <w:tc>
          <w:tcPr>
            <w:tcW w:w="1035" w:type="dxa"/>
          </w:tcPr>
          <w:p w14:paraId="05811A4B" w14:textId="77777777" w:rsidR="00D21EA2" w:rsidRPr="003A3CEF" w:rsidRDefault="00EB3A6C">
            <w:pPr>
              <w:pStyle w:val="TableParagraph"/>
              <w:spacing w:before="76"/>
              <w:ind w:left="38"/>
              <w:rPr>
                <w:sz w:val="18"/>
              </w:rPr>
            </w:pPr>
            <w:r>
              <w:rPr>
                <w:sz w:val="18"/>
              </w:rPr>
              <w:t>≤ 0,50 %</w:t>
            </w:r>
          </w:p>
        </w:tc>
        <w:tc>
          <w:tcPr>
            <w:tcW w:w="1035" w:type="dxa"/>
          </w:tcPr>
          <w:p w14:paraId="44DA730E" w14:textId="77777777" w:rsidR="00D21EA2" w:rsidRPr="003A3CEF" w:rsidRDefault="00EB3A6C">
            <w:pPr>
              <w:pStyle w:val="TableParagraph"/>
              <w:spacing w:before="76"/>
              <w:ind w:left="39"/>
              <w:rPr>
                <w:sz w:val="18"/>
              </w:rPr>
            </w:pPr>
            <w:r>
              <w:rPr>
                <w:sz w:val="18"/>
              </w:rPr>
              <w:t>≤ 1,0 %</w:t>
            </w:r>
          </w:p>
        </w:tc>
        <w:tc>
          <w:tcPr>
            <w:tcW w:w="1035" w:type="dxa"/>
          </w:tcPr>
          <w:p w14:paraId="0B7CC8B0" w14:textId="77777777" w:rsidR="00D21EA2" w:rsidRPr="003A3CEF" w:rsidRDefault="00EB3A6C">
            <w:pPr>
              <w:pStyle w:val="TableParagraph"/>
              <w:spacing w:before="76"/>
              <w:ind w:left="39"/>
              <w:rPr>
                <w:sz w:val="18"/>
              </w:rPr>
            </w:pPr>
            <w:r>
              <w:rPr>
                <w:sz w:val="18"/>
              </w:rPr>
              <w:t>≤ 1,00 %</w:t>
            </w:r>
          </w:p>
        </w:tc>
        <w:tc>
          <w:tcPr>
            <w:tcW w:w="1035" w:type="dxa"/>
          </w:tcPr>
          <w:p w14:paraId="4D2BD14B" w14:textId="77777777" w:rsidR="00D21EA2" w:rsidRPr="003A3CEF" w:rsidRDefault="00EB3A6C">
            <w:pPr>
              <w:pStyle w:val="TableParagraph"/>
              <w:spacing w:before="76"/>
              <w:ind w:left="2" w:right="86"/>
              <w:jc w:val="center"/>
              <w:rPr>
                <w:sz w:val="18"/>
              </w:rPr>
            </w:pPr>
            <w:r>
              <w:rPr>
                <w:sz w:val="18"/>
              </w:rPr>
              <w:t>≤ 0,020 %</w:t>
            </w:r>
          </w:p>
        </w:tc>
        <w:tc>
          <w:tcPr>
            <w:tcW w:w="1035" w:type="dxa"/>
          </w:tcPr>
          <w:p w14:paraId="2508FD6B" w14:textId="77777777" w:rsidR="00D21EA2" w:rsidRPr="003A3CEF" w:rsidRDefault="00EB3A6C">
            <w:pPr>
              <w:pStyle w:val="TableParagraph"/>
              <w:spacing w:before="76"/>
              <w:ind w:left="2" w:right="86"/>
              <w:jc w:val="center"/>
              <w:rPr>
                <w:sz w:val="18"/>
              </w:rPr>
            </w:pPr>
            <w:r>
              <w:rPr>
                <w:sz w:val="18"/>
              </w:rPr>
              <w:t>≤ 0,015 %</w:t>
            </w:r>
          </w:p>
        </w:tc>
        <w:tc>
          <w:tcPr>
            <w:tcW w:w="1041" w:type="dxa"/>
            <w:tcBorders>
              <w:right w:val="nil"/>
            </w:tcBorders>
          </w:tcPr>
          <w:p w14:paraId="64EEBD2C" w14:textId="77777777" w:rsidR="00D21EA2" w:rsidRPr="003A3CEF" w:rsidRDefault="00EB3A6C">
            <w:pPr>
              <w:pStyle w:val="TableParagraph"/>
              <w:spacing w:before="76"/>
              <w:ind w:left="38"/>
              <w:rPr>
                <w:sz w:val="18"/>
              </w:rPr>
            </w:pPr>
            <w:r>
              <w:rPr>
                <w:sz w:val="18"/>
              </w:rPr>
              <w:t>≤ 0,1 %</w:t>
            </w:r>
          </w:p>
        </w:tc>
      </w:tr>
    </w:tbl>
    <w:p w14:paraId="5B259DFB" w14:textId="70FF6A52" w:rsidR="00D21EA2" w:rsidRPr="003A3CEF" w:rsidRDefault="00EB3A6C">
      <w:pPr>
        <w:pStyle w:val="BodyText"/>
        <w:spacing w:before="118"/>
        <w:jc w:val="both"/>
      </w:pPr>
      <w:r>
        <w:t xml:space="preserve">4.3.9. </w:t>
      </w:r>
      <w:proofErr w:type="spellStart"/>
      <w:r>
        <w:t>TaCr</w:t>
      </w:r>
      <w:proofErr w:type="spellEnd"/>
    </w:p>
    <w:p w14:paraId="4D2A9ED1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2679"/>
      </w:tblGrid>
      <w:tr w:rsidR="00D21EA2" w:rsidRPr="003A3CEF" w14:paraId="247D2F0E" w14:textId="77777777">
        <w:trPr>
          <w:trHeight w:val="216"/>
        </w:trPr>
        <w:tc>
          <w:tcPr>
            <w:tcW w:w="2668" w:type="dxa"/>
            <w:tcBorders>
              <w:left w:val="nil"/>
            </w:tcBorders>
          </w:tcPr>
          <w:p w14:paraId="771BA2B2" w14:textId="77777777" w:rsidR="00D21EA2" w:rsidRPr="003A3CEF" w:rsidRDefault="00EB3A6C">
            <w:pPr>
              <w:pStyle w:val="TableParagraph"/>
              <w:ind w:left="846"/>
              <w:rPr>
                <w:sz w:val="16"/>
              </w:rPr>
            </w:pPr>
            <w:r>
              <w:rPr>
                <w:sz w:val="16"/>
              </w:rPr>
              <w:t>Oznaka:</w:t>
            </w:r>
          </w:p>
        </w:tc>
        <w:tc>
          <w:tcPr>
            <w:tcW w:w="2679" w:type="dxa"/>
            <w:tcBorders>
              <w:right w:val="nil"/>
            </w:tcBorders>
          </w:tcPr>
          <w:p w14:paraId="7A3D80A5" w14:textId="77777777" w:rsidR="00D21EA2" w:rsidRPr="003A3CEF" w:rsidRDefault="00EB3A6C">
            <w:pPr>
              <w:pStyle w:val="TableParagraph"/>
              <w:ind w:left="816"/>
              <w:rPr>
                <w:sz w:val="16"/>
              </w:rPr>
            </w:pPr>
            <w:r>
              <w:rPr>
                <w:sz w:val="16"/>
              </w:rPr>
              <w:t>Skupina proizvoda</w:t>
            </w:r>
          </w:p>
        </w:tc>
      </w:tr>
      <w:tr w:rsidR="00D21EA2" w:rsidRPr="003A3CEF" w14:paraId="10B3525B" w14:textId="77777777">
        <w:trPr>
          <w:trHeight w:val="316"/>
        </w:trPr>
        <w:tc>
          <w:tcPr>
            <w:tcW w:w="2668" w:type="dxa"/>
            <w:tcBorders>
              <w:left w:val="nil"/>
            </w:tcBorders>
          </w:tcPr>
          <w:p w14:paraId="71830253" w14:textId="77777777" w:rsidR="00D21EA2" w:rsidRPr="003A3CEF" w:rsidRDefault="00EB3A6C">
            <w:pPr>
              <w:pStyle w:val="TableParagraph"/>
              <w:spacing w:before="76"/>
              <w:rPr>
                <w:sz w:val="18"/>
              </w:rPr>
            </w:pPr>
            <w:proofErr w:type="spellStart"/>
            <w:r>
              <w:rPr>
                <w:sz w:val="18"/>
              </w:rPr>
              <w:t>TaCr</w:t>
            </w:r>
            <w:proofErr w:type="spellEnd"/>
          </w:p>
        </w:tc>
        <w:tc>
          <w:tcPr>
            <w:tcW w:w="2679" w:type="dxa"/>
            <w:tcBorders>
              <w:right w:val="nil"/>
            </w:tcBorders>
          </w:tcPr>
          <w:p w14:paraId="49FD2CFA" w14:textId="77777777" w:rsidR="00D21EA2" w:rsidRPr="003A3CEF" w:rsidRDefault="00EB3A6C">
            <w:pPr>
              <w:pStyle w:val="TableParagraph"/>
              <w:spacing w:before="76"/>
              <w:ind w:left="37"/>
              <w:rPr>
                <w:sz w:val="18"/>
              </w:rPr>
            </w:pPr>
            <w:r>
              <w:rPr>
                <w:sz w:val="18"/>
              </w:rPr>
              <w:t>C i D</w:t>
            </w:r>
          </w:p>
        </w:tc>
      </w:tr>
    </w:tbl>
    <w:p w14:paraId="4A6B373D" w14:textId="77777777" w:rsidR="00D21EA2" w:rsidRPr="003A3CEF" w:rsidRDefault="00EB3A6C">
      <w:pPr>
        <w:pStyle w:val="BodyText"/>
        <w:spacing w:before="118"/>
        <w:jc w:val="both"/>
      </w:pPr>
      <w:r>
        <w:t>Sastavni dijelovi legure (% (m/m)):</w:t>
      </w:r>
    </w:p>
    <w:p w14:paraId="0E32F242" w14:textId="77777777" w:rsidR="00D21EA2" w:rsidRPr="003A3CEF" w:rsidRDefault="00D21EA2">
      <w:pPr>
        <w:pStyle w:val="BodyText"/>
        <w:spacing w:before="3"/>
        <w:ind w:left="0"/>
        <w:rPr>
          <w:sz w:val="6"/>
        </w:rPr>
      </w:pPr>
    </w:p>
    <w:tbl>
      <w:tblPr>
        <w:tblW w:w="0" w:type="auto"/>
        <w:tblInd w:w="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8"/>
        <w:gridCol w:w="2679"/>
      </w:tblGrid>
      <w:tr w:rsidR="00D21EA2" w:rsidRPr="003A3CEF" w14:paraId="01DFE65B" w14:textId="77777777">
        <w:trPr>
          <w:trHeight w:val="216"/>
        </w:trPr>
        <w:tc>
          <w:tcPr>
            <w:tcW w:w="2668" w:type="dxa"/>
            <w:tcBorders>
              <w:left w:val="nil"/>
            </w:tcBorders>
          </w:tcPr>
          <w:p w14:paraId="5384924F" w14:textId="77777777" w:rsidR="00D21EA2" w:rsidRPr="003A3CEF" w:rsidRDefault="00EB3A6C">
            <w:pPr>
              <w:pStyle w:val="TableParagraph"/>
              <w:ind w:right="1258"/>
              <w:jc w:val="right"/>
              <w:rPr>
                <w:sz w:val="16"/>
              </w:rPr>
            </w:pPr>
            <w:r>
              <w:rPr>
                <w:sz w:val="16"/>
              </w:rPr>
              <w:t>Ta</w:t>
            </w:r>
          </w:p>
        </w:tc>
        <w:tc>
          <w:tcPr>
            <w:tcW w:w="2679" w:type="dxa"/>
            <w:tcBorders>
              <w:right w:val="nil"/>
            </w:tcBorders>
          </w:tcPr>
          <w:p w14:paraId="1FEDD3B7" w14:textId="77777777" w:rsidR="00D21EA2" w:rsidRPr="003A3CEF" w:rsidRDefault="00EB3A6C">
            <w:pPr>
              <w:pStyle w:val="TableParagraph"/>
              <w:ind w:right="1230"/>
              <w:jc w:val="right"/>
              <w:rPr>
                <w:sz w:val="16"/>
              </w:rPr>
            </w:pPr>
            <w:r>
              <w:rPr>
                <w:sz w:val="16"/>
              </w:rPr>
              <w:t>Cr</w:t>
            </w:r>
          </w:p>
        </w:tc>
      </w:tr>
      <w:tr w:rsidR="00D21EA2" w:rsidRPr="003A3CEF" w14:paraId="10D1E257" w14:textId="77777777">
        <w:trPr>
          <w:trHeight w:val="316"/>
        </w:trPr>
        <w:tc>
          <w:tcPr>
            <w:tcW w:w="2668" w:type="dxa"/>
            <w:tcBorders>
              <w:left w:val="nil"/>
            </w:tcBorders>
          </w:tcPr>
          <w:p w14:paraId="0594E07E" w14:textId="77777777" w:rsidR="00D21EA2" w:rsidRPr="003A3CEF" w:rsidRDefault="00EB3A6C">
            <w:pPr>
              <w:pStyle w:val="TableParagraph"/>
              <w:spacing w:before="76"/>
              <w:ind w:right="1267"/>
              <w:jc w:val="right"/>
              <w:rPr>
                <w:sz w:val="18"/>
              </w:rPr>
            </w:pPr>
            <w:r>
              <w:rPr>
                <w:sz w:val="18"/>
              </w:rPr>
              <w:t>74,7 % – 80,7 %</w:t>
            </w:r>
          </w:p>
        </w:tc>
        <w:tc>
          <w:tcPr>
            <w:tcW w:w="2679" w:type="dxa"/>
            <w:tcBorders>
              <w:right w:val="nil"/>
            </w:tcBorders>
          </w:tcPr>
          <w:p w14:paraId="3B74F46E" w14:textId="77777777" w:rsidR="00D21EA2" w:rsidRPr="003A3CEF" w:rsidRDefault="00EB3A6C">
            <w:pPr>
              <w:pStyle w:val="TableParagraph"/>
              <w:spacing w:before="76"/>
              <w:ind w:right="1240"/>
              <w:jc w:val="right"/>
              <w:rPr>
                <w:sz w:val="18"/>
              </w:rPr>
            </w:pPr>
            <w:r>
              <w:rPr>
                <w:sz w:val="18"/>
              </w:rPr>
              <w:t>19,3 % – 25,3 %</w:t>
            </w:r>
          </w:p>
        </w:tc>
      </w:tr>
    </w:tbl>
    <w:p w14:paraId="5EE4EB9C" w14:textId="13FC0156" w:rsidR="00D21EA2" w:rsidRPr="003A3CEF" w:rsidRDefault="00EB3A6C">
      <w:pPr>
        <w:pStyle w:val="ListParagraph"/>
        <w:numPr>
          <w:ilvl w:val="0"/>
          <w:numId w:val="4"/>
        </w:numPr>
        <w:tabs>
          <w:tab w:val="left" w:pos="435"/>
        </w:tabs>
        <w:spacing w:before="118" w:line="249" w:lineRule="auto"/>
        <w:ind w:right="106" w:hanging="319"/>
        <w:jc w:val="both"/>
        <w:rPr>
          <w:sz w:val="18"/>
        </w:rPr>
      </w:pPr>
      <w:r>
        <w:rPr>
          <w:sz w:val="18"/>
        </w:rPr>
        <w:lastRenderedPageBreak/>
        <w:t>U Prilogu „Pozitivni popis metalnih materijala prikladnih za higijenu vode za piće”, umetanje novih materijala u točkama 4.3.2. i 4.3.9. dovodi do pomicanja daljnjeg numeriranja u točki 4.</w:t>
      </w:r>
    </w:p>
    <w:p w14:paraId="33544368" w14:textId="77777777" w:rsidR="00D21EA2" w:rsidRPr="003A3CEF" w:rsidRDefault="00EB3A6C" w:rsidP="007B018D">
      <w:pPr>
        <w:pStyle w:val="BodyText"/>
        <w:keepNext/>
        <w:keepLines/>
        <w:spacing w:before="101"/>
        <w:ind w:left="1690" w:right="1684"/>
        <w:jc w:val="center"/>
      </w:pPr>
      <w:r>
        <w:t>II.</w:t>
      </w:r>
    </w:p>
    <w:p w14:paraId="42AAAE92" w14:textId="77777777" w:rsidR="00D21EA2" w:rsidRPr="003A3CEF" w:rsidRDefault="00EB3A6C" w:rsidP="007B018D">
      <w:pPr>
        <w:pStyle w:val="BodyText"/>
        <w:keepNext/>
        <w:keepLines/>
        <w:spacing w:before="73"/>
        <w:ind w:left="1690" w:right="1684"/>
        <w:jc w:val="center"/>
      </w:pPr>
      <w:r>
        <w:t>Stupanje na snagu</w:t>
      </w:r>
    </w:p>
    <w:p w14:paraId="28F7DCF3" w14:textId="77777777" w:rsidR="00D21EA2" w:rsidRPr="003A3CEF" w:rsidRDefault="00EB3A6C">
      <w:pPr>
        <w:pStyle w:val="BodyText"/>
        <w:spacing w:before="73"/>
        <w:ind w:left="113"/>
      </w:pPr>
      <w:r>
        <w:t>Ove izmjene stupaju na snagu na dan nakon dana objave u Saveznom službenom listu.</w:t>
      </w:r>
    </w:p>
    <w:p w14:paraId="47E41BD0" w14:textId="77777777" w:rsidR="00D21EA2" w:rsidRPr="003A3CEF" w:rsidRDefault="00D21EA2">
      <w:pPr>
        <w:pStyle w:val="BodyText"/>
        <w:spacing w:before="14"/>
        <w:ind w:left="0"/>
      </w:pPr>
    </w:p>
    <w:p w14:paraId="150BC39F" w14:textId="77777777" w:rsidR="00D21EA2" w:rsidRPr="003A3CEF" w:rsidRDefault="00EB3A6C">
      <w:pPr>
        <w:pStyle w:val="BodyText"/>
        <w:spacing w:before="1"/>
        <w:ind w:left="113"/>
      </w:pPr>
      <w:proofErr w:type="spellStart"/>
      <w:r>
        <w:t>Dessau-Roßlau</w:t>
      </w:r>
      <w:proofErr w:type="spellEnd"/>
      <w:r>
        <w:t>, 10. lipnja 2024.</w:t>
      </w:r>
    </w:p>
    <w:p w14:paraId="698C0C34" w14:textId="77777777" w:rsidR="00634AF4" w:rsidRDefault="00EB3A6C">
      <w:pPr>
        <w:pStyle w:val="BodyText"/>
        <w:spacing w:before="2" w:line="320" w:lineRule="atLeast"/>
        <w:ind w:left="4078" w:right="4071"/>
        <w:jc w:val="center"/>
      </w:pPr>
      <w:r>
        <w:t>Savezna agencija za okoliš</w:t>
      </w:r>
    </w:p>
    <w:p w14:paraId="7F5C620E" w14:textId="09C1C415" w:rsidR="00D21EA2" w:rsidRPr="003A3CEF" w:rsidRDefault="00EB3A6C">
      <w:pPr>
        <w:pStyle w:val="BodyText"/>
        <w:spacing w:before="2" w:line="320" w:lineRule="atLeast"/>
        <w:ind w:left="4078" w:right="4071"/>
        <w:jc w:val="center"/>
      </w:pPr>
      <w:r>
        <w:t>Predsjednik</w:t>
      </w:r>
    </w:p>
    <w:p w14:paraId="162AB53D" w14:textId="77777777" w:rsidR="00D21EA2" w:rsidRPr="003A3CEF" w:rsidRDefault="00EB3A6C">
      <w:pPr>
        <w:pStyle w:val="BodyText"/>
        <w:spacing w:before="11"/>
        <w:ind w:left="1691" w:right="1687"/>
        <w:jc w:val="center"/>
      </w:pPr>
      <w:r>
        <w:t xml:space="preserve">prof. dr. </w:t>
      </w:r>
      <w:proofErr w:type="spellStart"/>
      <w:r>
        <w:t>Dirk</w:t>
      </w:r>
      <w:proofErr w:type="spellEnd"/>
      <w:r>
        <w:t xml:space="preserve"> </w:t>
      </w:r>
      <w:proofErr w:type="spellStart"/>
      <w:r>
        <w:t>Messner</w:t>
      </w:r>
      <w:proofErr w:type="spellEnd"/>
    </w:p>
    <w:sectPr w:rsidR="00D21EA2" w:rsidRPr="003A3CEF" w:rsidSect="001D74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20" w:h="16840"/>
      <w:pgMar w:top="1840" w:right="1040" w:bottom="560" w:left="1020" w:header="214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8FE7B" w14:textId="77777777" w:rsidR="00EB3A6C" w:rsidRDefault="00EB3A6C">
      <w:r>
        <w:separator/>
      </w:r>
    </w:p>
  </w:endnote>
  <w:endnote w:type="continuationSeparator" w:id="0">
    <w:p w14:paraId="1E5DA1A8" w14:textId="77777777" w:rsidR="00EB3A6C" w:rsidRDefault="00EB3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71DF6" w14:textId="77777777" w:rsidR="00C532D2" w:rsidRDefault="00C53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6BB22" w14:textId="6C49A03A" w:rsidR="00D21EA2" w:rsidRPr="003A3CEF" w:rsidRDefault="00D21EA2" w:rsidP="003A3CEF">
    <w:pPr>
      <w:pStyle w:val="Footer"/>
      <w:pBdr>
        <w:top w:val="single" w:sz="12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55FB1" w14:textId="77777777" w:rsidR="00C532D2" w:rsidRDefault="00C53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93CD5" w14:textId="77777777" w:rsidR="00EB3A6C" w:rsidRDefault="00EB3A6C">
      <w:r>
        <w:separator/>
      </w:r>
    </w:p>
  </w:footnote>
  <w:footnote w:type="continuationSeparator" w:id="0">
    <w:p w14:paraId="767DA3FA" w14:textId="77777777" w:rsidR="00EB3A6C" w:rsidRDefault="00EB3A6C">
      <w:r>
        <w:continuationSeparator/>
      </w:r>
    </w:p>
  </w:footnote>
  <w:footnote w:id="1">
    <w:p w14:paraId="5DCD95D2" w14:textId="4362685C" w:rsidR="00C752E8" w:rsidRPr="00C752E8" w:rsidRDefault="00C752E8" w:rsidP="001D7495">
      <w:pPr>
        <w:pStyle w:val="FootnoteText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 w:val="14"/>
        </w:rPr>
        <w:t>Priopćeno u skladu s Direktivom (EU) 2015/1535 Europskog parlamenta i Vijeća od 9. rujna 2015. o utvrđivanju postupka pružanja informacija u području tehničkih propisa i pravila o uslugama informacijskog društva (SL L 241, 17.9.2015., str. 1.).</w:t>
      </w:r>
    </w:p>
  </w:footnote>
  <w:footnote w:id="2">
    <w:p w14:paraId="3A83F447" w14:textId="314A66C4" w:rsidR="00C752E8" w:rsidRPr="00C752E8" w:rsidRDefault="00C752E8" w:rsidP="00C532D2">
      <w:pPr>
        <w:pStyle w:val="FootnoteText"/>
        <w:spacing w:after="120"/>
        <w:ind w:left="284" w:hanging="284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sz w:val="14"/>
        </w:rPr>
        <w:t>Broj obavijesti 2024/0103/D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A0F4" w14:textId="77777777" w:rsidR="00C532D2" w:rsidRDefault="00C53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09" w:type="dxa"/>
      <w:tblInd w:w="-318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671"/>
      <w:gridCol w:w="5038"/>
    </w:tblGrid>
    <w:tr w:rsidR="003A3CEF" w14:paraId="6CC6DA98" w14:textId="77777777" w:rsidTr="003A3CEF">
      <w:tc>
        <w:tcPr>
          <w:tcW w:w="5671" w:type="dxa"/>
        </w:tcPr>
        <w:p w14:paraId="42A6BE2B" w14:textId="77777777" w:rsidR="003A3CEF" w:rsidRPr="00644B9C" w:rsidRDefault="003A3CEF" w:rsidP="003A3CEF">
          <w:pPr>
            <w:ind w:left="1024"/>
            <w:rPr>
              <w:b/>
              <w:bCs/>
              <w:sz w:val="48"/>
              <w:szCs w:val="48"/>
            </w:rPr>
          </w:pPr>
          <w:r>
            <w:rPr>
              <w:noProof/>
            </w:rPr>
            <w:drawing>
              <wp:anchor distT="0" distB="0" distL="0" distR="0" simplePos="0" relativeHeight="251666432" behindDoc="1" locked="0" layoutInCell="1" allowOverlap="1" wp14:anchorId="6C6AFDA4" wp14:editId="5F916AA5">
                <wp:simplePos x="0" y="0"/>
                <wp:positionH relativeFrom="page">
                  <wp:posOffset>67310</wp:posOffset>
                </wp:positionH>
                <wp:positionV relativeFrom="page">
                  <wp:posOffset>133985</wp:posOffset>
                </wp:positionV>
                <wp:extent cx="600075" cy="535305"/>
                <wp:effectExtent l="0" t="0" r="9525" b="0"/>
                <wp:wrapNone/>
                <wp:docPr id="409679989" name="Image 1" descr="A black and white text&#10;&#10;Description automatically generat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 1" descr="A black and white text&#10;&#10;Description automatically generated"/>
                        <pic:cNvPicPr/>
                      </pic:nvPicPr>
                      <pic:blipFill rotWithShape="1">
                        <a:blip r:embed="rId1" cstate="print"/>
                        <a:srcRect r="80812"/>
                        <a:stretch/>
                      </pic:blipFill>
                      <pic:spPr bwMode="auto">
                        <a:xfrm>
                          <a:off x="0" y="0"/>
                          <a:ext cx="600075" cy="5353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>
            <w:rPr>
              <w:b/>
              <w:sz w:val="48"/>
            </w:rPr>
            <w:t>Savezni službeni list</w:t>
          </w:r>
        </w:p>
        <w:p w14:paraId="11DA4879" w14:textId="77777777" w:rsidR="003A3CEF" w:rsidRPr="007B018D" w:rsidRDefault="003A3CEF" w:rsidP="003A3CEF">
          <w:pPr>
            <w:ind w:left="1024"/>
            <w:rPr>
              <w:sz w:val="20"/>
              <w:szCs w:val="20"/>
            </w:rPr>
          </w:pPr>
          <w:r>
            <w:rPr>
              <w:sz w:val="20"/>
            </w:rPr>
            <w:t>Objavljuje</w:t>
          </w:r>
          <w:r>
            <w:rPr>
              <w:sz w:val="20"/>
            </w:rPr>
            <w:br/>
            <w:t>Savezno ministarstvo pravosuđa</w:t>
          </w:r>
        </w:p>
        <w:p w14:paraId="4FF48002" w14:textId="17CB5157" w:rsidR="003A3CEF" w:rsidRDefault="00EB3A6C" w:rsidP="003A3CEF">
          <w:pPr>
            <w:pStyle w:val="Header"/>
            <w:spacing w:after="120"/>
            <w:ind w:left="1026"/>
          </w:pPr>
          <w:hyperlink r:id="rId2" w:history="1">
            <w:r w:rsidR="003A3CEF">
              <w:rPr>
                <w:rStyle w:val="Hyperlink"/>
                <w:b/>
                <w:sz w:val="16"/>
              </w:rPr>
              <w:t>www.bundesanzeiger.de</w:t>
            </w:r>
          </w:hyperlink>
        </w:p>
      </w:tc>
      <w:tc>
        <w:tcPr>
          <w:tcW w:w="5038" w:type="dxa"/>
        </w:tcPr>
        <w:p w14:paraId="68B535B3" w14:textId="77777777" w:rsidR="003A3CEF" w:rsidRDefault="003A3CEF" w:rsidP="003A3CEF">
          <w:pPr>
            <w:spacing w:before="45"/>
            <w:ind w:left="20"/>
            <w:rPr>
              <w:b/>
              <w:sz w:val="32"/>
            </w:rPr>
          </w:pPr>
          <w:r>
            <w:rPr>
              <w:b/>
              <w:sz w:val="32"/>
            </w:rPr>
            <w:t>Proglašenje</w:t>
          </w:r>
        </w:p>
        <w:p w14:paraId="67575A73" w14:textId="77777777" w:rsidR="003A3CEF" w:rsidRDefault="003A3CEF" w:rsidP="003A3CEF">
          <w:pPr>
            <w:pStyle w:val="BodyText"/>
            <w:spacing w:before="80"/>
            <w:ind w:left="20"/>
          </w:pPr>
          <w:r>
            <w:t>Objavljeno u petak, 21. lipnja 2024.</w:t>
          </w:r>
        </w:p>
        <w:p w14:paraId="0AD9F43D" w14:textId="1D35E2BE" w:rsidR="003A3CEF" w:rsidRDefault="003A3CEF" w:rsidP="003A3CEF">
          <w:pPr>
            <w:pStyle w:val="BodyText"/>
            <w:spacing w:before="80"/>
            <w:ind w:left="20"/>
          </w:pPr>
          <w:r>
            <w:t>Savezni službeni list AT 21.6.2024 B10</w:t>
          </w:r>
        </w:p>
        <w:p w14:paraId="71DFAFDB" w14:textId="667B8453" w:rsidR="003A3CEF" w:rsidRPr="003A3CEF" w:rsidRDefault="003A3CEF" w:rsidP="003A3CEF">
          <w:pPr>
            <w:pStyle w:val="Header"/>
            <w:spacing w:before="80"/>
            <w:ind w:left="20"/>
            <w:rPr>
              <w:sz w:val="18"/>
              <w:szCs w:val="18"/>
            </w:rPr>
          </w:pPr>
          <w:r>
            <w:rPr>
              <w:sz w:val="18"/>
            </w:rPr>
            <w:t xml:space="preserve">Stranica </w:t>
          </w:r>
          <w:r w:rsidRPr="003A3CEF">
            <w:rPr>
              <w:sz w:val="18"/>
            </w:rPr>
            <w:fldChar w:fldCharType="begin"/>
          </w:r>
          <w:r w:rsidRPr="003A3CEF">
            <w:rPr>
              <w:sz w:val="18"/>
            </w:rPr>
            <w:instrText xml:space="preserve"> PAGE </w:instrText>
          </w:r>
          <w:r w:rsidRPr="003A3CEF">
            <w:rPr>
              <w:sz w:val="18"/>
            </w:rPr>
            <w:fldChar w:fldCharType="separate"/>
          </w:r>
          <w:r w:rsidRPr="003A3CEF">
            <w:rPr>
              <w:sz w:val="18"/>
            </w:rPr>
            <w:t>1</w:t>
          </w:r>
          <w:r w:rsidRPr="003A3CEF">
            <w:rPr>
              <w:sz w:val="18"/>
            </w:rPr>
            <w:fldChar w:fldCharType="end"/>
          </w:r>
          <w:r>
            <w:rPr>
              <w:sz w:val="18"/>
            </w:rPr>
            <w:t xml:space="preserve"> od </w:t>
          </w:r>
          <w:r w:rsidRPr="003A3CEF">
            <w:rPr>
              <w:sz w:val="18"/>
            </w:rPr>
            <w:fldChar w:fldCharType="begin"/>
          </w:r>
          <w:r w:rsidRPr="003A3CEF">
            <w:rPr>
              <w:sz w:val="18"/>
            </w:rPr>
            <w:instrText xml:space="preserve"> NUMPAGES </w:instrText>
          </w:r>
          <w:r w:rsidRPr="003A3CEF">
            <w:rPr>
              <w:sz w:val="18"/>
            </w:rPr>
            <w:fldChar w:fldCharType="separate"/>
          </w:r>
          <w:r w:rsidRPr="003A3CEF">
            <w:rPr>
              <w:sz w:val="18"/>
            </w:rPr>
            <w:t>5</w:t>
          </w:r>
          <w:r w:rsidRPr="003A3CEF">
            <w:rPr>
              <w:sz w:val="18"/>
            </w:rPr>
            <w:fldChar w:fldCharType="end"/>
          </w:r>
        </w:p>
      </w:tc>
    </w:tr>
  </w:tbl>
  <w:p w14:paraId="03BD0224" w14:textId="53006803" w:rsidR="003A3CEF" w:rsidRDefault="003A3CEF">
    <w:pPr>
      <w:pStyle w:val="Header"/>
      <w:rPr>
        <w:lang w:val="el-GR"/>
      </w:rPr>
    </w:pPr>
  </w:p>
  <w:p w14:paraId="6FCCC019" w14:textId="77777777" w:rsidR="001D7495" w:rsidRPr="001D7495" w:rsidRDefault="001D7495">
    <w:pPr>
      <w:pStyle w:val="Header"/>
      <w:rPr>
        <w:lang w:val="el-G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BAEE6" w14:textId="77777777" w:rsidR="00C532D2" w:rsidRDefault="00C532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862D4"/>
    <w:multiLevelType w:val="multilevel"/>
    <w:tmpl w:val="8D78D4DC"/>
    <w:lvl w:ilvl="0">
      <w:start w:val="3"/>
      <w:numFmt w:val="decimal"/>
      <w:lvlText w:val="%1"/>
      <w:lvlJc w:val="left"/>
      <w:pPr>
        <w:ind w:left="872" w:hanging="437"/>
      </w:pPr>
      <w:rPr>
        <w:rFonts w:hint="default"/>
        <w:lang w:val="de-DE" w:eastAsia="en-US" w:bidi="ar-SA"/>
      </w:rPr>
    </w:lvl>
    <w:lvl w:ilvl="1">
      <w:start w:val="3"/>
      <w:numFmt w:val="decimal"/>
      <w:lvlText w:val="%1.%2"/>
      <w:lvlJc w:val="left"/>
      <w:pPr>
        <w:ind w:left="872" w:hanging="4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>
      <w:numFmt w:val="bullet"/>
      <w:lvlText w:val="–"/>
      <w:lvlJc w:val="left"/>
      <w:pPr>
        <w:ind w:left="435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de-DE" w:eastAsia="en-US" w:bidi="ar-SA"/>
      </w:rPr>
    </w:lvl>
    <w:lvl w:ilvl="3">
      <w:numFmt w:val="bullet"/>
      <w:lvlText w:val="•"/>
      <w:lvlJc w:val="left"/>
      <w:pPr>
        <w:ind w:left="2875" w:hanging="171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3873" w:hanging="171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871" w:hanging="171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868" w:hanging="171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866" w:hanging="171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864" w:hanging="171"/>
      </w:pPr>
      <w:rPr>
        <w:rFonts w:hint="default"/>
        <w:lang w:val="de-DE" w:eastAsia="en-US" w:bidi="ar-SA"/>
      </w:rPr>
    </w:lvl>
  </w:abstractNum>
  <w:abstractNum w:abstractNumId="1" w15:restartNumberingAfterBreak="0">
    <w:nsid w:val="3DA80D2F"/>
    <w:multiLevelType w:val="hybridMultilevel"/>
    <w:tmpl w:val="4C6C3028"/>
    <w:lvl w:ilvl="0" w:tplc="E57ED02E">
      <w:start w:val="1"/>
      <w:numFmt w:val="decimal"/>
      <w:lvlText w:val="%1."/>
      <w:lvlJc w:val="left"/>
      <w:pPr>
        <w:ind w:left="435" w:hanging="217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1" w:tplc="22405636">
      <w:start w:val="1"/>
      <w:numFmt w:val="lowerLetter"/>
      <w:lvlText w:val="%2)"/>
      <w:lvlJc w:val="left"/>
      <w:pPr>
        <w:ind w:left="676" w:hanging="21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 w:tplc="50727C02">
      <w:numFmt w:val="bullet"/>
      <w:lvlText w:val="•"/>
      <w:lvlJc w:val="left"/>
      <w:pPr>
        <w:ind w:left="1700" w:hanging="210"/>
      </w:pPr>
      <w:rPr>
        <w:rFonts w:hint="default"/>
        <w:lang w:val="de-DE" w:eastAsia="en-US" w:bidi="ar-SA"/>
      </w:rPr>
    </w:lvl>
    <w:lvl w:ilvl="3" w:tplc="E65A9F1C">
      <w:numFmt w:val="bullet"/>
      <w:lvlText w:val="•"/>
      <w:lvlJc w:val="left"/>
      <w:pPr>
        <w:ind w:left="2720" w:hanging="210"/>
      </w:pPr>
      <w:rPr>
        <w:rFonts w:hint="default"/>
        <w:lang w:val="de-DE" w:eastAsia="en-US" w:bidi="ar-SA"/>
      </w:rPr>
    </w:lvl>
    <w:lvl w:ilvl="4" w:tplc="67EE87A4">
      <w:numFmt w:val="bullet"/>
      <w:lvlText w:val="•"/>
      <w:lvlJc w:val="left"/>
      <w:pPr>
        <w:ind w:left="3740" w:hanging="210"/>
      </w:pPr>
      <w:rPr>
        <w:rFonts w:hint="default"/>
        <w:lang w:val="de-DE" w:eastAsia="en-US" w:bidi="ar-SA"/>
      </w:rPr>
    </w:lvl>
    <w:lvl w:ilvl="5" w:tplc="18783AEE">
      <w:numFmt w:val="bullet"/>
      <w:lvlText w:val="•"/>
      <w:lvlJc w:val="left"/>
      <w:pPr>
        <w:ind w:left="4760" w:hanging="210"/>
      </w:pPr>
      <w:rPr>
        <w:rFonts w:hint="default"/>
        <w:lang w:val="de-DE" w:eastAsia="en-US" w:bidi="ar-SA"/>
      </w:rPr>
    </w:lvl>
    <w:lvl w:ilvl="6" w:tplc="0B6CA01E">
      <w:numFmt w:val="bullet"/>
      <w:lvlText w:val="•"/>
      <w:lvlJc w:val="left"/>
      <w:pPr>
        <w:ind w:left="5780" w:hanging="210"/>
      </w:pPr>
      <w:rPr>
        <w:rFonts w:hint="default"/>
        <w:lang w:val="de-DE" w:eastAsia="en-US" w:bidi="ar-SA"/>
      </w:rPr>
    </w:lvl>
    <w:lvl w:ilvl="7" w:tplc="1A1E2FF6">
      <w:numFmt w:val="bullet"/>
      <w:lvlText w:val="•"/>
      <w:lvlJc w:val="left"/>
      <w:pPr>
        <w:ind w:left="6800" w:hanging="210"/>
      </w:pPr>
      <w:rPr>
        <w:rFonts w:hint="default"/>
        <w:lang w:val="de-DE" w:eastAsia="en-US" w:bidi="ar-SA"/>
      </w:rPr>
    </w:lvl>
    <w:lvl w:ilvl="8" w:tplc="758877D6">
      <w:numFmt w:val="bullet"/>
      <w:lvlText w:val="•"/>
      <w:lvlJc w:val="left"/>
      <w:pPr>
        <w:ind w:left="7820" w:hanging="210"/>
      </w:pPr>
      <w:rPr>
        <w:rFonts w:hint="default"/>
        <w:lang w:val="de-DE" w:eastAsia="en-US" w:bidi="ar-SA"/>
      </w:rPr>
    </w:lvl>
  </w:abstractNum>
  <w:abstractNum w:abstractNumId="2" w15:restartNumberingAfterBreak="0">
    <w:nsid w:val="6B1675B8"/>
    <w:multiLevelType w:val="hybridMultilevel"/>
    <w:tmpl w:val="C8E23D2C"/>
    <w:lvl w:ilvl="0" w:tplc="1ED64018">
      <w:numFmt w:val="bullet"/>
      <w:lvlText w:val="–"/>
      <w:lvlJc w:val="left"/>
      <w:pPr>
        <w:ind w:left="635" w:hanging="17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89"/>
        <w:sz w:val="18"/>
        <w:szCs w:val="18"/>
        <w:lang w:val="de-DE" w:eastAsia="en-US" w:bidi="ar-SA"/>
      </w:rPr>
    </w:lvl>
    <w:lvl w:ilvl="1" w:tplc="6BE220CC">
      <w:numFmt w:val="bullet"/>
      <w:lvlText w:val="•"/>
      <w:lvlJc w:val="left"/>
      <w:pPr>
        <w:ind w:left="1562" w:hanging="171"/>
      </w:pPr>
      <w:rPr>
        <w:rFonts w:hint="default"/>
        <w:lang w:val="de-DE" w:eastAsia="en-US" w:bidi="ar-SA"/>
      </w:rPr>
    </w:lvl>
    <w:lvl w:ilvl="2" w:tplc="742C4D00">
      <w:numFmt w:val="bullet"/>
      <w:lvlText w:val="•"/>
      <w:lvlJc w:val="left"/>
      <w:pPr>
        <w:ind w:left="2484" w:hanging="171"/>
      </w:pPr>
      <w:rPr>
        <w:rFonts w:hint="default"/>
        <w:lang w:val="de-DE" w:eastAsia="en-US" w:bidi="ar-SA"/>
      </w:rPr>
    </w:lvl>
    <w:lvl w:ilvl="3" w:tplc="51269CF8">
      <w:numFmt w:val="bullet"/>
      <w:lvlText w:val="•"/>
      <w:lvlJc w:val="left"/>
      <w:pPr>
        <w:ind w:left="3406" w:hanging="171"/>
      </w:pPr>
      <w:rPr>
        <w:rFonts w:hint="default"/>
        <w:lang w:val="de-DE" w:eastAsia="en-US" w:bidi="ar-SA"/>
      </w:rPr>
    </w:lvl>
    <w:lvl w:ilvl="4" w:tplc="6A7CA634">
      <w:numFmt w:val="bullet"/>
      <w:lvlText w:val="•"/>
      <w:lvlJc w:val="left"/>
      <w:pPr>
        <w:ind w:left="4328" w:hanging="171"/>
      </w:pPr>
      <w:rPr>
        <w:rFonts w:hint="default"/>
        <w:lang w:val="de-DE" w:eastAsia="en-US" w:bidi="ar-SA"/>
      </w:rPr>
    </w:lvl>
    <w:lvl w:ilvl="5" w:tplc="BDFE6214">
      <w:numFmt w:val="bullet"/>
      <w:lvlText w:val="•"/>
      <w:lvlJc w:val="left"/>
      <w:pPr>
        <w:ind w:left="5250" w:hanging="171"/>
      </w:pPr>
      <w:rPr>
        <w:rFonts w:hint="default"/>
        <w:lang w:val="de-DE" w:eastAsia="en-US" w:bidi="ar-SA"/>
      </w:rPr>
    </w:lvl>
    <w:lvl w:ilvl="6" w:tplc="064E1954">
      <w:numFmt w:val="bullet"/>
      <w:lvlText w:val="•"/>
      <w:lvlJc w:val="left"/>
      <w:pPr>
        <w:ind w:left="6172" w:hanging="171"/>
      </w:pPr>
      <w:rPr>
        <w:rFonts w:hint="default"/>
        <w:lang w:val="de-DE" w:eastAsia="en-US" w:bidi="ar-SA"/>
      </w:rPr>
    </w:lvl>
    <w:lvl w:ilvl="7" w:tplc="15B05AF8">
      <w:numFmt w:val="bullet"/>
      <w:lvlText w:val="•"/>
      <w:lvlJc w:val="left"/>
      <w:pPr>
        <w:ind w:left="7094" w:hanging="171"/>
      </w:pPr>
      <w:rPr>
        <w:rFonts w:hint="default"/>
        <w:lang w:val="de-DE" w:eastAsia="en-US" w:bidi="ar-SA"/>
      </w:rPr>
    </w:lvl>
    <w:lvl w:ilvl="8" w:tplc="72E66C16">
      <w:numFmt w:val="bullet"/>
      <w:lvlText w:val="•"/>
      <w:lvlJc w:val="left"/>
      <w:pPr>
        <w:ind w:left="8016" w:hanging="171"/>
      </w:pPr>
      <w:rPr>
        <w:rFonts w:hint="default"/>
        <w:lang w:val="de-DE" w:eastAsia="en-US" w:bidi="ar-SA"/>
      </w:rPr>
    </w:lvl>
  </w:abstractNum>
  <w:abstractNum w:abstractNumId="3" w15:restartNumberingAfterBreak="0">
    <w:nsid w:val="78BC127D"/>
    <w:multiLevelType w:val="multilevel"/>
    <w:tmpl w:val="E1062E72"/>
    <w:lvl w:ilvl="0">
      <w:start w:val="2"/>
      <w:numFmt w:val="decimal"/>
      <w:lvlText w:val="%1"/>
      <w:lvlJc w:val="left"/>
      <w:pPr>
        <w:ind w:left="872" w:hanging="437"/>
      </w:pPr>
      <w:rPr>
        <w:rFonts w:hint="default"/>
        <w:lang w:val="de-DE" w:eastAsia="en-US" w:bidi="ar-SA"/>
      </w:rPr>
    </w:lvl>
    <w:lvl w:ilvl="1">
      <w:start w:val="8"/>
      <w:numFmt w:val="decimal"/>
      <w:lvlText w:val="%1.%2"/>
      <w:lvlJc w:val="left"/>
      <w:pPr>
        <w:ind w:left="872" w:hanging="43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2">
      <w:start w:val="1"/>
      <w:numFmt w:val="decimal"/>
      <w:lvlText w:val="%1.%2.%3"/>
      <w:lvlJc w:val="left"/>
      <w:pPr>
        <w:ind w:left="435" w:hanging="59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3">
      <w:start w:val="1"/>
      <w:numFmt w:val="decimal"/>
      <w:lvlText w:val="%1.%2.%3.%4"/>
      <w:lvlJc w:val="left"/>
      <w:pPr>
        <w:ind w:left="1180" w:hanging="74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8"/>
        <w:szCs w:val="18"/>
        <w:lang w:val="de-DE" w:eastAsia="en-US" w:bidi="ar-SA"/>
      </w:rPr>
    </w:lvl>
    <w:lvl w:ilvl="4">
      <w:numFmt w:val="bullet"/>
      <w:lvlText w:val="•"/>
      <w:lvlJc w:val="left"/>
      <w:pPr>
        <w:ind w:left="3350" w:hanging="745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4435" w:hanging="745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520" w:hanging="745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6605" w:hanging="745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690" w:hanging="745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EA2"/>
    <w:rsid w:val="001D7495"/>
    <w:rsid w:val="00326838"/>
    <w:rsid w:val="003A3CEF"/>
    <w:rsid w:val="00634AF4"/>
    <w:rsid w:val="00693F62"/>
    <w:rsid w:val="007B018D"/>
    <w:rsid w:val="00BB11D9"/>
    <w:rsid w:val="00C532D2"/>
    <w:rsid w:val="00C752E8"/>
    <w:rsid w:val="00D21EA2"/>
    <w:rsid w:val="00D925EA"/>
    <w:rsid w:val="00E32B92"/>
    <w:rsid w:val="00EB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155ED2"/>
  <w15:docId w15:val="{D3A56BFC-1EE2-494A-9528-2E355F43F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3CEF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5"/>
      <w:ind w:left="435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5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82"/>
      <w:ind w:left="435" w:hanging="17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8"/>
    </w:pPr>
  </w:style>
  <w:style w:type="paragraph" w:styleId="Header">
    <w:name w:val="header"/>
    <w:basedOn w:val="Normal"/>
    <w:link w:val="HeaderChar"/>
    <w:uiPriority w:val="99"/>
    <w:unhideWhenUsed/>
    <w:rsid w:val="00C752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2E8"/>
    <w:rPr>
      <w:rFonts w:ascii="Arial" w:eastAsia="Arial" w:hAnsi="Arial" w:cs="Arial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C752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2E8"/>
    <w:rPr>
      <w:rFonts w:ascii="Arial" w:eastAsia="Arial" w:hAnsi="Arial" w:cs="Arial"/>
      <w:lang w:val="hr-HR"/>
    </w:rPr>
  </w:style>
  <w:style w:type="table" w:styleId="TableGrid">
    <w:name w:val="Table Grid"/>
    <w:basedOn w:val="TableNormal"/>
    <w:uiPriority w:val="39"/>
    <w:rsid w:val="00C75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52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52E8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752E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2E8"/>
    <w:rPr>
      <w:rFonts w:ascii="Arial" w:eastAsia="Arial" w:hAnsi="Arial" w:cs="Arial"/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C752E8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3CEF"/>
    <w:rPr>
      <w:rFonts w:eastAsiaTheme="majorEastAsia" w:cstheme="majorBidi"/>
      <w:color w:val="365F91" w:themeColor="accent1" w:themeShade="BF"/>
      <w:kern w:val="2"/>
      <w14:ligatures w14:val="standardContextual"/>
    </w:rPr>
  </w:style>
  <w:style w:type="character" w:customStyle="1" w:styleId="BodyTextChar">
    <w:name w:val="Body Text Char"/>
    <w:basedOn w:val="DefaultParagraphFont"/>
    <w:link w:val="BodyText"/>
    <w:uiPriority w:val="1"/>
    <w:rsid w:val="003A3CEF"/>
    <w:rPr>
      <w:rFonts w:ascii="Arial" w:eastAsia="Arial" w:hAnsi="Arial" w:cs="Arial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undesanzeiger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B5B74-6FA0-4FD8-A0B2-24BF0B18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1323</Words>
  <Characters>7229</Characters>
  <Application>Microsoft Office Word</Application>
  <DocSecurity>0</DocSecurity>
  <Lines>233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Efraimsson</dc:creator>
  <cp:keywords>class='Internal'</cp:keywords>
  <cp:lastModifiedBy>Ragnhild Efraimsson</cp:lastModifiedBy>
  <cp:revision>2</cp:revision>
  <dcterms:created xsi:type="dcterms:W3CDTF">2024-07-24T13:19:00Z</dcterms:created>
  <dcterms:modified xsi:type="dcterms:W3CDTF">2024-07-24T13:19:00Z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Producer">
    <vt:lpwstr>PStill Engine 1.90</vt:lpwstr>
  </property>
  <property fmtid="{D5CDD505-2E9C-101B-9397-08002B2CF9AE}" pid="4" name="LastSaved">
    <vt:filetime>2024-06-21T00:00:00Z</vt:filetime>
  </property>
</Properties>
</file>