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4919" w14:textId="77777777" w:rsidR="00BB5F5A" w:rsidRDefault="001971A0">
      <w:pPr>
        <w:spacing w:after="324" w:line="259" w:lineRule="auto"/>
        <w:ind w:left="0" w:right="1" w:firstLine="0"/>
        <w:jc w:val="center"/>
      </w:pPr>
      <w:r>
        <w:rPr>
          <w:rFonts w:ascii="Calibri" w:hAnsi="Calibri"/>
          <w:color w:val="0093D1"/>
          <w:sz w:val="43"/>
        </w:rPr>
        <w:t xml:space="preserve">Dekreter, bekendtgørelser, cirkulærer </w:t>
      </w:r>
    </w:p>
    <w:p w14:paraId="4AC62185" w14:textId="77777777" w:rsidR="00BB5F5A" w:rsidRDefault="001971A0">
      <w:pPr>
        <w:spacing w:after="420" w:line="259" w:lineRule="auto"/>
        <w:ind w:left="0" w:right="1" w:firstLine="0"/>
        <w:jc w:val="center"/>
      </w:pPr>
      <w:r>
        <w:rPr>
          <w:rFonts w:ascii="Calibri" w:hAnsi="Calibri"/>
          <w:color w:val="393C96"/>
          <w:sz w:val="28"/>
        </w:rPr>
        <w:t xml:space="preserve">GENERELLE TEKSTER </w:t>
      </w:r>
    </w:p>
    <w:p w14:paraId="2E00BDAA" w14:textId="77777777" w:rsidR="00BB5F5A" w:rsidRDefault="001971A0">
      <w:pPr>
        <w:pStyle w:val="Heading1"/>
        <w:spacing w:after="273"/>
        <w:ind w:right="0"/>
        <w:jc w:val="center"/>
      </w:pPr>
      <w:r>
        <w:rPr>
          <w:rFonts w:ascii="Calibri" w:hAnsi="Calibri"/>
          <w:b/>
          <w:color w:val="393C96"/>
          <w:sz w:val="20"/>
        </w:rPr>
        <w:t xml:space="preserve">ØKONOMI-, FINANS- OG INDUSTRIMINISTERIET </w:t>
      </w:r>
    </w:p>
    <w:p w14:paraId="6D78EE22" w14:textId="77777777" w:rsidR="00BB5F5A" w:rsidRDefault="001971A0">
      <w:pPr>
        <w:spacing w:after="130" w:line="216" w:lineRule="auto"/>
        <w:ind w:right="1" w:hanging="215"/>
      </w:pPr>
      <w:r>
        <w:rPr>
          <w:rFonts w:ascii="Calibri" w:hAnsi="Calibri"/>
          <w:b/>
          <w:color w:val="5C5D61"/>
        </w:rPr>
        <w:t xml:space="preserve">Bekendtgørelse nr. 2024-978 af 6. november 2024 om ændring af lov nr. 2023-451 af 9. juni 2023, der har til formål at regulere den kommercielle indflydelse og bekæmpe misbrug fra influenceres side på sociale netværk </w:t>
      </w:r>
    </w:p>
    <w:p w14:paraId="53548437" w14:textId="77777777" w:rsidR="00BB5F5A" w:rsidRDefault="001971A0">
      <w:pPr>
        <w:spacing w:after="317" w:line="259" w:lineRule="auto"/>
        <w:ind w:left="0" w:right="1" w:firstLine="0"/>
        <w:jc w:val="center"/>
      </w:pPr>
      <w:r>
        <w:rPr>
          <w:rFonts w:ascii="Calibri" w:hAnsi="Calibri"/>
          <w:color w:val="2053A6"/>
          <w:sz w:val="16"/>
        </w:rPr>
        <w:t xml:space="preserve">NOR: </w:t>
      </w:r>
      <w:r>
        <w:rPr>
          <w:rFonts w:ascii="Calibri" w:hAnsi="Calibri"/>
          <w:i/>
          <w:sz w:val="16"/>
        </w:rPr>
        <w:t xml:space="preserve">ECOI2418969R </w:t>
      </w:r>
    </w:p>
    <w:p w14:paraId="6C61012D" w14:textId="77777777" w:rsidR="00BB5F5A" w:rsidRDefault="001971A0">
      <w:pPr>
        <w:ind w:firstLine="0"/>
      </w:pPr>
      <w:r>
        <w:t>Republikkens præside</w:t>
      </w:r>
      <w:r>
        <w:t xml:space="preserve">nt har — </w:t>
      </w:r>
    </w:p>
    <w:p w14:paraId="60771B53" w14:textId="77777777" w:rsidR="00BB5F5A" w:rsidRDefault="001971A0">
      <w:pPr>
        <w:spacing w:after="88"/>
        <w:ind w:firstLine="0"/>
      </w:pPr>
      <w:r>
        <w:t xml:space="preserve">på baggrund af rapporten fra premierministeren og ministeren for økonomi, finans og industri </w:t>
      </w:r>
    </w:p>
    <w:p w14:paraId="54602248" w14:textId="77777777" w:rsidR="00BB5F5A" w:rsidRDefault="001971A0">
      <w:pPr>
        <w:spacing w:after="30"/>
        <w:ind w:firstLine="0"/>
      </w:pPr>
      <w:r>
        <w:t xml:space="preserve">under henvisning til forfatningen, særlig artikel 38 deri </w:t>
      </w:r>
    </w:p>
    <w:p w14:paraId="071009EA" w14:textId="77777777" w:rsidR="00BB5F5A" w:rsidRDefault="001971A0">
      <w:pPr>
        <w:spacing w:after="24"/>
        <w:ind w:left="-15"/>
      </w:pPr>
      <w:r>
        <w:t>under henvisning til Europa-Parlamentets og Rådets direktiv 2000/31/EF af 8. juni 2000 om vis</w:t>
      </w:r>
      <w:r>
        <w:t xml:space="preserve">se retlige aspekter af informationssamfundstjenester, navnlig elektronisk handel, i det indre marked ("direktivet om elektronisk handel") </w:t>
      </w:r>
    </w:p>
    <w:p w14:paraId="0D58FCC0" w14:textId="77777777" w:rsidR="00BB5F5A" w:rsidRDefault="001971A0">
      <w:pPr>
        <w:spacing w:after="24"/>
        <w:ind w:left="-15"/>
      </w:pPr>
      <w:r>
        <w:t>under henvisning til Europa-Parlamentets og Rådets direktiv 2005/29/EF af 11. maj 2005 om virksomheders urimelige han</w:t>
      </w:r>
      <w:r>
        <w:t>delspraksis over for forbrugerne på det indre marked og om ændring af Rådets direktiv 84/450/EØF og Europa-Parlamentets og Rådets direktiv 97/7/EF, 98/27/EF og 2002/65/EF og Europa-Parlamentets og Rådets forordning (EF) nr. 2006/2004 ("direktivet om urimel</w:t>
      </w:r>
      <w:r>
        <w:t xml:space="preserve">ig handelspraksis") </w:t>
      </w:r>
    </w:p>
    <w:p w14:paraId="29E501B5" w14:textId="77777777" w:rsidR="00BB5F5A" w:rsidRDefault="001971A0">
      <w:pPr>
        <w:spacing w:after="23"/>
        <w:ind w:left="-15"/>
      </w:pPr>
      <w:r>
        <w:t>under henvisning til Europa-Parlamentets og Rådets direktiv 2010/13/EU af 10. marts 2010 om samordning af visse love og administrative bestemmelser i medlemsstaterne om udbud af audiovisuelle medietjenester (direktiv om audiovisuelle m</w:t>
      </w:r>
      <w:r>
        <w:t xml:space="preserve">edietjenester) </w:t>
      </w:r>
    </w:p>
    <w:p w14:paraId="517F39D2" w14:textId="77777777" w:rsidR="00BB5F5A" w:rsidRDefault="001971A0">
      <w:pPr>
        <w:ind w:left="-15"/>
      </w:pPr>
      <w:r>
        <w:t xml:space="preserve">under henvisning til Europa-Parlamentets og Rådets direktiv (EU) 2015/1535 af 9. september 2015 om en informationsprocedure med hensyn til tekniske forskrifter samt forskrifter for informationssamfundets tjenester, </w:t>
      </w:r>
    </w:p>
    <w:p w14:paraId="18DA088E" w14:textId="77777777" w:rsidR="00BB5F5A" w:rsidRDefault="001971A0">
      <w:pPr>
        <w:spacing w:after="30"/>
        <w:ind w:firstLine="0"/>
      </w:pPr>
      <w:r>
        <w:t>under henvisning til lov</w:t>
      </w:r>
      <w:r>
        <w:t xml:space="preserve">en om administrative retspleje, særlig artikel R. 123-20 deri </w:t>
      </w:r>
    </w:p>
    <w:p w14:paraId="7F86EC33" w14:textId="77777777" w:rsidR="00BB5F5A" w:rsidRDefault="001971A0">
      <w:pPr>
        <w:spacing w:after="25"/>
        <w:ind w:left="-15"/>
      </w:pPr>
      <w:r>
        <w:t xml:space="preserve">under henvisning til lov nr. 2023-451 af 9. juni 2023, der har til formål at regulere den kommercielle indflydelse og bekæmpe misbrug fra influenceres side på sociale netværk </w:t>
      </w:r>
    </w:p>
    <w:p w14:paraId="76205EB4" w14:textId="77777777" w:rsidR="00BB5F5A" w:rsidRDefault="001971A0">
      <w:pPr>
        <w:ind w:left="-15"/>
      </w:pPr>
      <w:r>
        <w:t>under henvisning til lov nr. 2024-364 af 22. april 2024 om forskellige bestemmel</w:t>
      </w:r>
      <w:r>
        <w:t xml:space="preserve">ser om tilpasning til EU-retten af spørgsmål vedrørende økonomi, finans, økologisk omstilling, strafferet, socialret og landbrugsanliggender, særlig artikel 3 </w:t>
      </w:r>
    </w:p>
    <w:p w14:paraId="52DE1B19" w14:textId="77777777" w:rsidR="00BB5F5A" w:rsidRDefault="001971A0">
      <w:pPr>
        <w:ind w:firstLine="0"/>
      </w:pPr>
      <w:r>
        <w:t xml:space="preserve">under henvisning til notifikation 2024/0379/F tilsendt Europa-Kommissionen den 3. juli 2024 </w:t>
      </w:r>
    </w:p>
    <w:p w14:paraId="2DC263BA" w14:textId="77777777" w:rsidR="00BB5F5A" w:rsidRDefault="001971A0">
      <w:pPr>
        <w:spacing w:after="214"/>
        <w:ind w:right="5040" w:firstLine="0"/>
      </w:pPr>
      <w:r>
        <w:t>eft</w:t>
      </w:r>
      <w:r>
        <w:t xml:space="preserve">er at have hørt statsrådet (finanssektionen), efter at have hørt ministerrådet — </w:t>
      </w:r>
    </w:p>
    <w:p w14:paraId="1578A1A7" w14:textId="77777777" w:rsidR="00BB5F5A" w:rsidRDefault="001971A0">
      <w:pPr>
        <w:spacing w:after="146"/>
        <w:ind w:left="1077" w:firstLine="0"/>
      </w:pPr>
      <w:r>
        <w:t xml:space="preserve">udstedt følgende bekendtgørelse: </w:t>
      </w:r>
    </w:p>
    <w:p w14:paraId="4FDE374B" w14:textId="77777777" w:rsidR="00BB5F5A" w:rsidRDefault="001971A0">
      <w:pPr>
        <w:spacing w:after="105" w:line="259" w:lineRule="auto"/>
        <w:ind w:left="10" w:right="1" w:hanging="10"/>
        <w:jc w:val="center"/>
      </w:pPr>
      <w:r>
        <w:rPr>
          <w:rFonts w:ascii="Calibri" w:hAnsi="Calibri"/>
          <w:b/>
        </w:rPr>
        <w:t>Artikel 1</w:t>
      </w:r>
      <w:r>
        <w:rPr>
          <w:rFonts w:ascii="Calibri" w:hAnsi="Calibri"/>
          <w:b/>
          <w:sz w:val="17"/>
          <w:vertAlign w:val="superscript"/>
        </w:rPr>
        <w:t xml:space="preserve"> </w:t>
      </w:r>
    </w:p>
    <w:p w14:paraId="1AFC17DB" w14:textId="77777777" w:rsidR="00BB5F5A" w:rsidRDefault="001971A0">
      <w:pPr>
        <w:spacing w:after="119"/>
        <w:ind w:left="-15"/>
      </w:pPr>
      <w:r>
        <w:t>I lov nr. 2023-451 af 9. juni 2023, der har til formål at regulere den kommercielle indflydelse og bekæmpe misbrug fra influencer</w:t>
      </w:r>
      <w:r>
        <w:t xml:space="preserve">es side på sociale netværk, foretages følgende ændringer: </w:t>
      </w:r>
    </w:p>
    <w:p w14:paraId="542BFDB4" w14:textId="77777777" w:rsidR="00BB5F5A" w:rsidRDefault="001971A0">
      <w:pPr>
        <w:numPr>
          <w:ilvl w:val="0"/>
          <w:numId w:val="1"/>
        </w:numPr>
        <w:spacing w:after="85"/>
        <w:ind w:hanging="305"/>
      </w:pPr>
      <w:r>
        <w:t xml:space="preserve">– Artikel 1 erstattes af følgende bestemmelser: </w:t>
      </w:r>
    </w:p>
    <w:p w14:paraId="36B0D7BB" w14:textId="77777777" w:rsidR="00BB5F5A" w:rsidRDefault="001971A0">
      <w:pPr>
        <w:spacing w:after="135"/>
        <w:ind w:left="-15"/>
      </w:pPr>
      <w:r>
        <w:t xml:space="preserve">‘ </w:t>
      </w:r>
      <w:r>
        <w:rPr>
          <w:i/>
        </w:rPr>
        <w:t xml:space="preserve">”Artikel 1. – </w:t>
      </w:r>
      <w:r>
        <w:t>Fysiske eller juridiske personer, der mod vederlag bruger deres omdømme blandt deres publikum til via elektroniske midler at formidl</w:t>
      </w:r>
      <w:r>
        <w:t xml:space="preserve">e indhold, der direkte eller indirekte har til formål at promovere varer, tjenesteydelser eller bestemte sager, og udøver kommerciel indflydelse ad elektronisk vej." </w:t>
      </w:r>
    </w:p>
    <w:p w14:paraId="3950E5A5" w14:textId="77777777" w:rsidR="00BB5F5A" w:rsidRDefault="001971A0">
      <w:pPr>
        <w:numPr>
          <w:ilvl w:val="0"/>
          <w:numId w:val="1"/>
        </w:numPr>
        <w:spacing w:after="79"/>
        <w:ind w:hanging="305"/>
      </w:pPr>
      <w:r>
        <w:t xml:space="preserve">– Artikel 4 affattes således: </w:t>
      </w:r>
    </w:p>
    <w:p w14:paraId="6F86B412" w14:textId="77777777" w:rsidR="00BB5F5A" w:rsidRDefault="001971A0">
      <w:pPr>
        <w:ind w:left="-15"/>
      </w:pPr>
      <w:r>
        <w:t xml:space="preserve">" </w:t>
      </w:r>
      <w:r>
        <w:rPr>
          <w:i/>
        </w:rPr>
        <w:t xml:space="preserve">Artikel 4 </w:t>
      </w:r>
      <w:proofErr w:type="gramStart"/>
      <w:r>
        <w:rPr>
          <w:i/>
        </w:rPr>
        <w:t xml:space="preserve">–  </w:t>
      </w:r>
      <w:r>
        <w:t>I.</w:t>
      </w:r>
      <w:proofErr w:type="gramEnd"/>
      <w:r>
        <w:t xml:space="preserve"> – Enhver direkte eller indirekte fremme </w:t>
      </w:r>
      <w:r>
        <w:t>af handlinger, processer, teknikker og metoder med et æstetisk formål, der kan udgøre en sundhedsrisiko for de personer, der er omhandlet i artikel L. 1151-2 i lov om offentlig sundhed, og de indgreb, der er omhandlet i samme lovs artikel L. 6322-1, er for</w:t>
      </w:r>
      <w:r>
        <w:t xml:space="preserve">budt for personer, der udøver kommerciel indflydelse ad elektronisk vej. </w:t>
      </w:r>
    </w:p>
    <w:p w14:paraId="1DB6FB2C" w14:textId="77777777" w:rsidR="00BB5F5A" w:rsidRDefault="001971A0">
      <w:pPr>
        <w:ind w:left="-15"/>
      </w:pPr>
      <w:r>
        <w:t>"II. – Enhver direkte eller indirekte promovering af ikke-terapeutiske produkter, handlinger, processer, teknikker og metoder, der præsenteres som sammenlignelige eller foretrukne el</w:t>
      </w:r>
      <w:r>
        <w:t xml:space="preserve">ler som erstatning for terapeutiske </w:t>
      </w:r>
      <w:r>
        <w:lastRenderedPageBreak/>
        <w:t xml:space="preserve">handlinger, protokoller eller recepter, er forbudt for personer, der udøver kommerciel indflydelse ad elektronisk vej. </w:t>
      </w:r>
    </w:p>
    <w:p w14:paraId="0FCE785E" w14:textId="77777777" w:rsidR="00BB5F5A" w:rsidRDefault="001971A0">
      <w:pPr>
        <w:ind w:left="-15"/>
      </w:pPr>
      <w:r>
        <w:t>"III. – Enhver form for direkte eller indirekte promovering af produkter, der betragtes som nikotinp</w:t>
      </w:r>
      <w:r>
        <w:t xml:space="preserve">rodukter, og som kan indtages og er fremstillet af, selv delvis, nikotin, er forbudt for personer, der udøver kommerciel indflydelse ad elektronisk vej. </w:t>
      </w:r>
    </w:p>
    <w:p w14:paraId="7EEC5628" w14:textId="77777777" w:rsidR="00BB5F5A" w:rsidRDefault="001971A0">
      <w:pPr>
        <w:spacing w:after="130"/>
        <w:ind w:left="-15"/>
      </w:pPr>
      <w:r>
        <w:t>"IV. –  Enhver direkte eller indirekte markedsføring af dyr, der ikke er opført på den liste, der er n</w:t>
      </w:r>
      <w:r>
        <w:t xml:space="preserve">ævnt i miljølovens artikel L. 413-1 A, I, er forbudt for personer, der udøver kommerciel indflydelse ad elektronisk vej. Dette forbud gælder ikke for virksomheder, der har tilladelse til at holde de pågældende dyr i henhold til kodeksens artikel L. 413-3. </w:t>
      </w:r>
    </w:p>
    <w:p w14:paraId="4BB23C95" w14:textId="77777777" w:rsidR="00BB5F5A" w:rsidRDefault="001971A0">
      <w:pPr>
        <w:spacing w:after="77"/>
        <w:ind w:left="-15"/>
      </w:pPr>
      <w:r>
        <w:t xml:space="preserve">"V. – Enhver direkte eller indirekte promovering af følgende finansielle produkter og tjenesteydelser er forbudt for personer, der udøver kommerciel indflydelse ad elektronisk vej: </w:t>
      </w:r>
    </w:p>
    <w:p w14:paraId="0FCB0A4E" w14:textId="77777777" w:rsidR="00BB5F5A" w:rsidRDefault="001971A0">
      <w:pPr>
        <w:ind w:firstLine="0"/>
      </w:pPr>
      <w:r>
        <w:t xml:space="preserve">"1) de finansielle kontrakter, der er defineret i artikel L. 533-12-7 i lov om monetære og finansielle anliggender </w:t>
      </w:r>
    </w:p>
    <w:p w14:paraId="7B571492" w14:textId="77777777" w:rsidR="00BB5F5A" w:rsidRDefault="001971A0">
      <w:pPr>
        <w:spacing w:after="34"/>
        <w:ind w:left="-15"/>
      </w:pPr>
      <w:r>
        <w:t>2) levering af tjenester vedrørende digitale aktiver som omhandlet i ovennævnte lovs artikel L. 54-10-2 med undtagelse af tjenester, for hvi</w:t>
      </w:r>
      <w:r>
        <w:t xml:space="preserve">lke annoncøren er registreret på de betingelser, der er fastsat i denne lovs artikel L. 54-10-3, eller er godkendt på de betingelser, der er fastsat i denne lovs artikel L. 54-10-5 </w:t>
      </w:r>
    </w:p>
    <w:p w14:paraId="56BD14C2" w14:textId="77777777" w:rsidR="00BB5F5A" w:rsidRDefault="001971A0">
      <w:pPr>
        <w:spacing w:after="31"/>
        <w:ind w:left="-15"/>
      </w:pPr>
      <w:r>
        <w:t xml:space="preserve">3) offentlige symbolske tilbud som omhandlet i ovennævnte lovs artikel L. 552-3, medmindre annoncøren har modtaget den tilladelse, der er omhandlet i denne lovs artikel L. 552-4 </w:t>
      </w:r>
    </w:p>
    <w:p w14:paraId="2ED229B9" w14:textId="77777777" w:rsidR="00BB5F5A" w:rsidRDefault="001971A0">
      <w:pPr>
        <w:ind w:left="-15"/>
      </w:pPr>
      <w:r>
        <w:t>4) digitale aktiver, undtagen dem, der vedrører tjenester, for levering af hv</w:t>
      </w:r>
      <w:r>
        <w:t>ilke annoncøren er registreret på de betingelser, der er fastsat i artikel L. 54-10-3 i ovennævnte lov eller godkendt på de betingelser, der er fastsat i denne lovs artikel L. 54-10-5, dvs. når annoncøren ikke er omfattet af anvendelsesområdet for denne lo</w:t>
      </w:r>
      <w:r>
        <w:t xml:space="preserve">vs artikel L. 54-10-3 og L. 54-10-5. </w:t>
      </w:r>
    </w:p>
    <w:p w14:paraId="4F97707A" w14:textId="77777777" w:rsidR="00BB5F5A" w:rsidRDefault="001971A0">
      <w:pPr>
        <w:ind w:left="-15"/>
      </w:pPr>
      <w:r>
        <w:t xml:space="preserve">" "Overtrædelser af bestemmelserne i dette stykke er omfattet af de sanktioner, der er fastsat i artikel L. 222-16-1, femte afsnit, og i næstsidste afsnit i artikel L. 222-16-2 i forbrugerloven. </w:t>
      </w:r>
    </w:p>
    <w:p w14:paraId="7FC2E317" w14:textId="77777777" w:rsidR="00BB5F5A" w:rsidRDefault="001971A0">
      <w:pPr>
        <w:ind w:left="-15"/>
      </w:pPr>
      <w:r>
        <w:t>" VI. — Enhver direkte</w:t>
      </w:r>
      <w:r>
        <w:t xml:space="preserve"> eller indirekte promovering af abonnementer på sportstipning eller væddemål er forbudt for personer, der udøver kommerciel indflydelse ad elektronisk vej. </w:t>
      </w:r>
    </w:p>
    <w:p w14:paraId="728EE356" w14:textId="77777777" w:rsidR="00BB5F5A" w:rsidRDefault="001971A0">
      <w:pPr>
        <w:ind w:left="-15"/>
      </w:pPr>
      <w:r>
        <w:t>"VII. –  Kommerciel elektronisk kommunikation foretaget af de personer, der er omhandlet i denne lo</w:t>
      </w:r>
      <w:r>
        <w:t>vs artikel 1 vedrørende spil som defineret i artikel L. 320-1 og L. 320-6 i lov om indre sikkerhed, er kun tilladt på onlineplatforme, der giver teknisk mulighed for at udelukke alle brugere under atten år fra personer med adgang til sådant indhold, og hvi</w:t>
      </w:r>
      <w:r>
        <w:t xml:space="preserve">s denne udelukkelsesmekanisme rent faktisk aktiveres for disse personer. </w:t>
      </w:r>
    </w:p>
    <w:p w14:paraId="6EB44F5A" w14:textId="77777777" w:rsidR="00BB5F5A" w:rsidRDefault="001971A0">
      <w:pPr>
        <w:ind w:left="-15"/>
      </w:pPr>
      <w:r>
        <w:t>"Kommerciel kommunikation af denne type skal ledsages af en henvisning til forbuddet mod sådant indhold for personer under 18 år.  Denne henvisning skal være klar, læselig og forståe</w:t>
      </w:r>
      <w:r>
        <w:t xml:space="preserve">lig på ethvert anvendt medium. </w:t>
      </w:r>
    </w:p>
    <w:p w14:paraId="16552C4E" w14:textId="77777777" w:rsidR="00BB5F5A" w:rsidRDefault="001971A0">
      <w:pPr>
        <w:ind w:left="-15"/>
      </w:pPr>
      <w:r>
        <w:t>"De udelukkelsesmekanismer, der er fastsat i dette stykke, skal være i overensstemmelse med en referenceramme, der er udarbejdet af tilsynsmyndigheden for audiovisuel og digital kommunikation efter høring af den nationale sp</w:t>
      </w:r>
      <w:r>
        <w:t xml:space="preserve">ilmyndighed og den nationale kommission for informatik og frihedsrettigheder.  </w:t>
      </w:r>
    </w:p>
    <w:p w14:paraId="5C916282" w14:textId="77777777" w:rsidR="00BB5F5A" w:rsidRDefault="001971A0">
      <w:pPr>
        <w:ind w:left="-15"/>
      </w:pPr>
      <w:r>
        <w:t>"Reklamekontrakter med spiludbydere skal indeholde en klausul, hvorved de personer, der er defineret i denne lovs artikel 1, attesterer, at de har gjort sig bekendt med de love</w:t>
      </w:r>
      <w:r>
        <w:t xml:space="preserve"> og forskrifter, der gælder for kommerciel kommunikation om spil, og forpligter sig til at overholde dem.  </w:t>
      </w:r>
    </w:p>
    <w:p w14:paraId="507CFB94" w14:textId="77777777" w:rsidR="00BB5F5A" w:rsidRDefault="001971A0">
      <w:pPr>
        <w:spacing w:after="122"/>
        <w:ind w:left="-15"/>
      </w:pPr>
      <w:r>
        <w:t xml:space="preserve">"Overtrædelse af bestemmelserne i dette stykke straffes med den bøde, der er fastsat i artikel L. 324-8-1 i lov om indre sikkerhed.  </w:t>
      </w:r>
    </w:p>
    <w:p w14:paraId="65CC3B40" w14:textId="77777777" w:rsidR="00BB5F5A" w:rsidRDefault="001971A0">
      <w:pPr>
        <w:spacing w:after="93"/>
        <w:ind w:firstLine="0"/>
      </w:pPr>
      <w:r>
        <w:t>" VIII. – Efte</w:t>
      </w:r>
      <w:r>
        <w:t xml:space="preserve">r nr. 2) i artikel L. 6323-8-1 i arbejdsloven indsættes følgende afsnit: </w:t>
      </w:r>
    </w:p>
    <w:p w14:paraId="6709E1F6" w14:textId="77777777" w:rsidR="00BB5F5A" w:rsidRDefault="001971A0">
      <w:pPr>
        <w:ind w:left="-15"/>
      </w:pPr>
      <w:r>
        <w:t xml:space="preserve">"Salg eller salgsfremmende tilbud om et produkt eller ethvert vederlag for abonnement på programmer som omhandlet i samme artikel L. 6323-6 er ligeledes forbudt." </w:t>
      </w:r>
    </w:p>
    <w:p w14:paraId="012E80CC" w14:textId="77777777" w:rsidR="00BB5F5A" w:rsidRDefault="001971A0">
      <w:pPr>
        <w:ind w:left="-15"/>
      </w:pPr>
      <w:r>
        <w:t>" IX. – Overtrædel</w:t>
      </w:r>
      <w:r>
        <w:t xml:space="preserve">se af bestemmelserne i I-IV og VI i denne artikel straffes med den sanktion, der er fastsat i forbrugerlovens artikel L.132-2. </w:t>
      </w:r>
    </w:p>
    <w:p w14:paraId="700FD132" w14:textId="77777777" w:rsidR="00BB5F5A" w:rsidRDefault="001971A0">
      <w:pPr>
        <w:spacing w:after="143"/>
        <w:ind w:left="-15"/>
      </w:pPr>
      <w:r>
        <w:t>" For så vidt angår disse lovovertrædelser og den lovovertrædelse, der er omhandlet i VII, kan den pågældende i overensstemmelse</w:t>
      </w:r>
      <w:r>
        <w:t xml:space="preserve"> med de procedurer, der er fastsat i straffelovens artikel 131-27, ligeledes forbydes at udøve den erhvervsmæssige eller sociale virksomhed, i forbindelse med hvilken lovovertrædelsen er begået, eller udøvelse af kommerciel indflydelse ved hjælp af elektro</w:t>
      </w:r>
      <w:r>
        <w:t xml:space="preserve">niske midler som defineret i denne lovs artikel 1. </w:t>
      </w:r>
    </w:p>
    <w:p w14:paraId="29D9691F" w14:textId="77777777" w:rsidR="00BB5F5A" w:rsidRDefault="001971A0">
      <w:pPr>
        <w:spacing w:after="81"/>
        <w:ind w:firstLine="0"/>
      </w:pPr>
      <w:r>
        <w:t xml:space="preserve">" X. — Efter forbrugerlovens artikel L. 511-7, nr. 31), indsættes følgende som nr. 32): </w:t>
      </w:r>
    </w:p>
    <w:p w14:paraId="14A29651" w14:textId="77777777" w:rsidR="00BB5F5A" w:rsidRDefault="001971A0">
      <w:pPr>
        <w:spacing w:after="0" w:line="302" w:lineRule="auto"/>
        <w:ind w:left="-15" w:right="-15"/>
        <w:jc w:val="left"/>
      </w:pPr>
      <w:r>
        <w:t>"32. stk. V i artikel 4 i lov nr. 2023-451 af 9. juni 2023, der har til formål at regulere den kommercielle indflyd</w:t>
      </w:r>
      <w:r>
        <w:t xml:space="preserve">else og bekæmpe misbrug fra influenceres side på sociale netværk." III. – Artikel 5 erstattes af følgende bestemmelser: </w:t>
      </w:r>
    </w:p>
    <w:p w14:paraId="3C6D62EA" w14:textId="77777777" w:rsidR="00BB5F5A" w:rsidRDefault="001971A0">
      <w:pPr>
        <w:ind w:left="-15"/>
      </w:pPr>
      <w:r>
        <w:t xml:space="preserve">" </w:t>
      </w:r>
      <w:r>
        <w:rPr>
          <w:i/>
        </w:rPr>
        <w:t xml:space="preserve">Artikel 5. – </w:t>
      </w:r>
      <w:r>
        <w:t>I. — Indhold, der formidles af de personer, der er omhandlet i denne lovs artikel 1, og som omfatter billeder, der har v</w:t>
      </w:r>
      <w:r>
        <w:t xml:space="preserve">æret genstand for: </w:t>
      </w:r>
    </w:p>
    <w:p w14:paraId="4B787B68" w14:textId="77777777" w:rsidR="00BB5F5A" w:rsidRDefault="001971A0">
      <w:pPr>
        <w:spacing w:after="31"/>
        <w:ind w:left="-15"/>
      </w:pPr>
      <w:r>
        <w:lastRenderedPageBreak/>
        <w:t xml:space="preserve">"1) Ændring ved en billedbehandlingsproces med henblik på at gøre en kropssilhuet tykkere eller tyndere eller ændre ansigtet skal ledsages af ordene: "Redigerede billeder". </w:t>
      </w:r>
    </w:p>
    <w:p w14:paraId="68231ACC" w14:textId="77777777" w:rsidR="00BB5F5A" w:rsidRDefault="001971A0">
      <w:pPr>
        <w:ind w:left="-15"/>
      </w:pPr>
      <w:r>
        <w:t>2) Produktion ved hjælp af enhver form for kunstig intelligens</w:t>
      </w:r>
      <w:r>
        <w:t xml:space="preserve">-proces for at repræsentere et ansigt eller en silhuet skal ledsages af ordene: "Virtuelle billeder". </w:t>
      </w:r>
    </w:p>
    <w:p w14:paraId="25C7F208" w14:textId="77777777" w:rsidR="00BB5F5A" w:rsidRDefault="001971A0">
      <w:pPr>
        <w:ind w:left="-15"/>
      </w:pPr>
      <w:r>
        <w:t xml:space="preserve">" </w:t>
      </w:r>
      <w:r>
        <w:t xml:space="preserve">Disse udtryk i stk. I skal være klare, letlæselige og forståelige på ethvert anvendt medium. De kan erstattes af et tilsvarende udtryk, der er tilpasset de særlige kendetegn ved </w:t>
      </w:r>
      <w:proofErr w:type="spellStart"/>
      <w:r>
        <w:t>inflydelsesaktiviteten</w:t>
      </w:r>
      <w:proofErr w:type="spellEnd"/>
      <w:r>
        <w:t xml:space="preserve"> og det anvendte kommunikationsmediums format. </w:t>
      </w:r>
    </w:p>
    <w:p w14:paraId="029CE24B" w14:textId="77777777" w:rsidR="00BB5F5A" w:rsidRDefault="001971A0">
      <w:pPr>
        <w:ind w:left="-15"/>
      </w:pPr>
      <w:r>
        <w:t xml:space="preserve">" II. — </w:t>
      </w:r>
      <w:r>
        <w:t>Når de personer, der er omhandlet i denne lovs artikel 1, udfører reklamemæssig aktivitet, der vedrører registrering med henblik på erhvervsuddannelse som omhandlet i artikel L. 6313-1 i arbejdsloven, og som finansieres af et af de organer, der er omhandle</w:t>
      </w:r>
      <w:r>
        <w:t>t i nævnte lovs artikel L. 6316-1, skal henvisningen fastlagt i artikel 5-2 i denne lov omfatte oplysninger om finansiering, forpligtelser og regler for støtteberettigelse, identifikation af den eller de udbydere, der er ansvarlige for disse uddannelsespro</w:t>
      </w:r>
      <w:r>
        <w:t xml:space="preserve">grammer, og den udbyder, der henvises til i den elektroniske tjeneste, der er omhandlet i artikel L. 6323-9 i samme lov. </w:t>
      </w:r>
    </w:p>
    <w:p w14:paraId="57A2125D" w14:textId="77777777" w:rsidR="00BB5F5A" w:rsidRDefault="001971A0">
      <w:pPr>
        <w:ind w:left="-15"/>
      </w:pPr>
      <w:r>
        <w:t xml:space="preserve">" III. — Overtrædelse af bestemmelserne i denne artikels stk. I og II straffes med fængsel i et år og en bøde på 4 500 EUR. </w:t>
      </w:r>
    </w:p>
    <w:p w14:paraId="7FA75FB0" w14:textId="77777777" w:rsidR="00BB5F5A" w:rsidRDefault="001971A0">
      <w:pPr>
        <w:spacing w:after="143"/>
        <w:ind w:firstLine="0"/>
      </w:pPr>
      <w:r>
        <w:t>" IV. — G</w:t>
      </w:r>
      <w:r>
        <w:t xml:space="preserve">ennemførelsesbestemmelserne til denne artikels stk. I og II fastsættes ved dekret efter høring af statsrådet." </w:t>
      </w:r>
    </w:p>
    <w:p w14:paraId="530ED4FA" w14:textId="77777777" w:rsidR="00BB5F5A" w:rsidRDefault="001971A0">
      <w:pPr>
        <w:spacing w:after="92"/>
        <w:ind w:firstLine="0"/>
      </w:pPr>
      <w:r>
        <w:t xml:space="preserve">IV. — Efter artikel 5 indsættes to artikler 5-1 og 5-2 som følger: </w:t>
      </w:r>
    </w:p>
    <w:p w14:paraId="7B0D6657" w14:textId="77777777" w:rsidR="00BB5F5A" w:rsidRDefault="001971A0">
      <w:pPr>
        <w:ind w:left="-15"/>
      </w:pPr>
      <w:r>
        <w:t xml:space="preserve">" </w:t>
      </w:r>
      <w:r>
        <w:rPr>
          <w:i/>
        </w:rPr>
        <w:t xml:space="preserve">Artikel 5-1. – </w:t>
      </w:r>
      <w:r>
        <w:t xml:space="preserve">I. — Bestemmelserne i artikel 4, afsnit I-III, finder ikke </w:t>
      </w:r>
      <w:r>
        <w:t>anvendelse på medietjenesteudbydere som omhandlet i Europa-Parlamentets og Rådets direktiv 2010/13/EU af 10. marts 2010, der henhører under en anden EØS-medlemsstats kompetence i henhold til artikel 2, stk. 2, i nævnte direktiv. De finder derimod anvendels</w:t>
      </w:r>
      <w:r>
        <w:t xml:space="preserve">e på sådanne udbydere, når de henhører under Frankrigs kompetence. </w:t>
      </w:r>
    </w:p>
    <w:p w14:paraId="4C1C0A8C" w14:textId="77777777" w:rsidR="00BB5F5A" w:rsidRDefault="001971A0">
      <w:pPr>
        <w:ind w:left="-15"/>
      </w:pPr>
      <w:r>
        <w:t>" Hvis betingelserne i artikel 3, stk. 2 til 3, eller artikel 4, stk. 2 til 5, i nævnte direktiv er opfyldt, og ved afslutningen af den procedure, der er fastsat i disse bestemmelser, angi</w:t>
      </w:r>
      <w:r>
        <w:t xml:space="preserve">ver den administrative myndighed over for den pågældende de bestemmelser, der finder anvendelse på vedkommende, med forbehold af de relevante sanktioner, og den pågældende tjeneste. </w:t>
      </w:r>
    </w:p>
    <w:p w14:paraId="6ACD68E9" w14:textId="77777777" w:rsidR="00BB5F5A" w:rsidRDefault="001971A0">
      <w:pPr>
        <w:ind w:left="-15"/>
      </w:pPr>
      <w:r>
        <w:t>" II. — Med forbehold af stk. I, for så vidt angår anvendelsen af bestemm</w:t>
      </w:r>
      <w:r>
        <w:t xml:space="preserve">elserne i stk. I-III i artikel 4 for medietjenesteudbydere, finder bestemmelserne i artikel 4 og 5 ikke anvendelse på personer, der er etableret i en anden stat, der er part i Det Europæiske Økonomiske Samarbejdsområde. </w:t>
      </w:r>
    </w:p>
    <w:p w14:paraId="653E9A7E" w14:textId="77777777" w:rsidR="00BB5F5A" w:rsidRDefault="001971A0">
      <w:pPr>
        <w:ind w:left="-15"/>
      </w:pPr>
      <w:r>
        <w:t>" Hvis betingelserne i artikel 3, s</w:t>
      </w:r>
      <w:r>
        <w:t>tk. 4-5, i Europa-Parlamentets og Rådets direktiv 2000/31/EF af 8. juni 2000 er opfyldt, angiver den administrative myndighed dog ved afslutningen af den procedure, der er fastsat i disse bestemmelser, over for den pågældende, hvilke bestemmelser der finde</w:t>
      </w:r>
      <w:r>
        <w:t xml:space="preserve">r anvendelse på vedkommende, med forbehold af de relevante sanktioner, og hvilken tjeneste der er tale om. </w:t>
      </w:r>
    </w:p>
    <w:p w14:paraId="2DB9CAB0" w14:textId="77777777" w:rsidR="00BB5F5A" w:rsidRDefault="001971A0">
      <w:pPr>
        <w:spacing w:after="92"/>
        <w:ind w:firstLine="0"/>
      </w:pPr>
      <w:r>
        <w:t xml:space="preserve">" III. — Gennemførelsesprocedurerne for denne artikel fastsættes ved dekret af statsrådet. </w:t>
      </w:r>
    </w:p>
    <w:p w14:paraId="4BA17F87" w14:textId="77777777" w:rsidR="00BB5F5A" w:rsidRDefault="001971A0">
      <w:pPr>
        <w:ind w:left="-15"/>
      </w:pPr>
      <w:r>
        <w:t xml:space="preserve">" </w:t>
      </w:r>
      <w:r>
        <w:rPr>
          <w:i/>
        </w:rPr>
        <w:t xml:space="preserve">Artikel 5-2. – </w:t>
      </w:r>
      <w:r>
        <w:t>Der er tale om en vildledende handelspr</w:t>
      </w:r>
      <w:r>
        <w:t>aksis som omhandlet i artikel L. 121-3 i forbrugerloven og på de betingelser, der er fastsat i nævnte artikel, hvis en fysisk eller juridisk person, der udøver indflydelsesaktiviteter som omhandlet i denne lovs artikel 1, ikke på en klar, læselig og forstå</w:t>
      </w:r>
      <w:r>
        <w:t xml:space="preserve">elig måde på noget anvendt medium angiver den kommercielle hensigt, som vedkommende har, hvis denne hensigt ikke allerede fremgår af sammenhængen. </w:t>
      </w:r>
    </w:p>
    <w:p w14:paraId="0DA643B9" w14:textId="77777777" w:rsidR="00BB5F5A" w:rsidRDefault="001971A0">
      <w:pPr>
        <w:spacing w:after="149"/>
        <w:ind w:left="-15"/>
      </w:pPr>
      <w:r>
        <w:t>" Kommerciel hensigt kan udtrykkeligt angives ved anvendelsen af ordene "reklame" eller "kommercielt samarbe</w:t>
      </w:r>
      <w:r>
        <w:t xml:space="preserve">jde" eller ved tilsvarende udtryk, der er tilpasset kendetegnene ved den indflydelsesaktivitet og det anvendte mediums format." </w:t>
      </w:r>
    </w:p>
    <w:p w14:paraId="3E80D657" w14:textId="77777777" w:rsidR="00BB5F5A" w:rsidRDefault="001971A0">
      <w:pPr>
        <w:spacing w:after="86"/>
        <w:ind w:firstLine="0"/>
      </w:pPr>
      <w:r>
        <w:t xml:space="preserve">V. — Artikel 9 erstattes af følgende bestemmelser: </w:t>
      </w:r>
    </w:p>
    <w:p w14:paraId="6FABA20B" w14:textId="77777777" w:rsidR="00BB5F5A" w:rsidRDefault="001971A0">
      <w:pPr>
        <w:ind w:left="-15"/>
      </w:pPr>
      <w:r>
        <w:t xml:space="preserve">" </w:t>
      </w:r>
      <w:r>
        <w:rPr>
          <w:i/>
        </w:rPr>
        <w:t xml:space="preserve">Artikel 9. – </w:t>
      </w:r>
      <w:r>
        <w:t>I. — Når de udøver den aktivitet, der er defineret i artikel</w:t>
      </w:r>
      <w:r>
        <w:t xml:space="preserve"> 1, og ikke er etableret på en EU-medlemsstats, Det Schweiziske Forbunds eller Det Europæiske Økonomiske Samarbejdsområdes område og henvender sig til et publikum i Frankrig, skal juridiske personer eller fysiske personer, der udøver selvstændig virksomhed</w:t>
      </w:r>
      <w:r>
        <w:t xml:space="preserve"> i henhold til den status, der er defineret i handelslovens artikel L. 526-6 til L. 526-21 eller L. 526-22 til L. 526-26 i samme lov, skriftligt udpege en juridisk eller fysisk person til at sikre deres juridiske repræsentation på Den Europæiske Unions omr</w:t>
      </w:r>
      <w:r>
        <w:t xml:space="preserve">åde. </w:t>
      </w:r>
    </w:p>
    <w:p w14:paraId="2674630E" w14:textId="77777777" w:rsidR="00BB5F5A" w:rsidRDefault="001971A0">
      <w:pPr>
        <w:ind w:left="-15"/>
      </w:pPr>
      <w:r>
        <w:t xml:space="preserve">" Denne repræsentation har til hensigt at sikre overensstemmelsen af aftaler, der har til formål eller til følge at gennemføre en aktivitet med kommerciel indflydelse ved hjælp af elektroniske midler, navnlig rettet mod et publikum, der er etableret </w:t>
      </w:r>
      <w:r>
        <w:t>på fransk område. Denne udpegede repræsentant er også ansvarlig for, ud over eller i stedet for de personer, der er omhandlet i første underafsnit til dette stk. I, at besvare alle anmodninger fra de kompetente administrative eller retslige myndigheder for</w:t>
      </w:r>
      <w:r>
        <w:t xml:space="preserve"> overholdelse af denne lov. </w:t>
      </w:r>
    </w:p>
    <w:p w14:paraId="5A08C8A8" w14:textId="77777777" w:rsidR="00BB5F5A" w:rsidRDefault="001971A0">
      <w:pPr>
        <w:ind w:left="-15"/>
      </w:pPr>
      <w:r>
        <w:lastRenderedPageBreak/>
        <w:t>" De personer, der er omhandlet i første underafsnit, giver den således udpegede person de nødvendige beføjelser og tilstrækkelige midler til at sikre et effektivt samarbejde med de kompetente myndigheder med henblik på at over</w:t>
      </w:r>
      <w:r>
        <w:t xml:space="preserve">holde denne lov. </w:t>
      </w:r>
    </w:p>
    <w:p w14:paraId="1E06B431" w14:textId="77777777" w:rsidR="00BB5F5A" w:rsidRDefault="001971A0">
      <w:pPr>
        <w:ind w:left="-15"/>
      </w:pPr>
      <w:r>
        <w:t xml:space="preserve">" De personer, der er omhandlet i første underafsnit, meddeler efter anmodning de kompetente administrative myndigheder navn, postadresse, e-mailadresse og telefonnummer på den person, der er udpeget i henhold til det første underafsnit. </w:t>
      </w:r>
    </w:p>
    <w:p w14:paraId="023B8981" w14:textId="77777777" w:rsidR="00BB5F5A" w:rsidRDefault="001971A0">
      <w:pPr>
        <w:ind w:firstLine="0"/>
      </w:pPr>
      <w:r>
        <w:t xml:space="preserve">"Denne udpegelse er ikke ensbetydende med et etableringssted i Den Europæiske Union.  </w:t>
      </w:r>
    </w:p>
    <w:p w14:paraId="4116DB33" w14:textId="77777777" w:rsidR="00BB5F5A" w:rsidRDefault="001971A0">
      <w:pPr>
        <w:ind w:left="-15"/>
      </w:pPr>
      <w:r>
        <w:t>" II. — En person, der udøver den i artikel 1 omhandlede virksomhed, og som er etableret uden for Den Europæiske Union, Det Schweiziske Forbund eller Det Europæiske Øko</w:t>
      </w:r>
      <w:r>
        <w:t xml:space="preserve">nomiske Samarbejdsområde, er forpligtet til at tegne en civil forsikring hos et forsikringsselskab, der er etableret i Den Europæiske Union, der garanterer de finansielle følger af deres erhvervsansvar, når denne virksomhed er rettet mod et publikum (selv </w:t>
      </w:r>
      <w:r>
        <w:t xml:space="preserve">om dette er utilsigtet), der er etableret på fransk område. "III. – Gennemførelsesbestemmelserne til denne artikel fastsættes ved dekret efter høring af </w:t>
      </w:r>
      <w:proofErr w:type="spellStart"/>
      <w:r>
        <w:t>Conseil</w:t>
      </w:r>
      <w:proofErr w:type="spellEnd"/>
      <w:r>
        <w:t xml:space="preserve"> </w:t>
      </w:r>
      <w:proofErr w:type="spellStart"/>
      <w:r>
        <w:t>d'État</w:t>
      </w:r>
      <w:proofErr w:type="spellEnd"/>
      <w:r>
        <w:t xml:space="preserve">." </w:t>
      </w:r>
    </w:p>
    <w:p w14:paraId="24E41C5B" w14:textId="77777777" w:rsidR="00BB5F5A" w:rsidRDefault="001971A0">
      <w:pPr>
        <w:spacing w:after="45" w:line="259" w:lineRule="auto"/>
        <w:ind w:left="10" w:right="1" w:hanging="10"/>
        <w:jc w:val="center"/>
      </w:pPr>
      <w:r>
        <w:rPr>
          <w:rFonts w:ascii="Calibri" w:hAnsi="Calibri"/>
          <w:b/>
        </w:rPr>
        <w:t xml:space="preserve">Artikel 2 </w:t>
      </w:r>
    </w:p>
    <w:p w14:paraId="5E209DF5" w14:textId="77777777" w:rsidR="00BB5F5A" w:rsidRDefault="001971A0">
      <w:pPr>
        <w:spacing w:after="76" w:line="216" w:lineRule="auto"/>
        <w:ind w:left="-15" w:right="-15"/>
        <w:jc w:val="left"/>
      </w:pPr>
      <w:r>
        <w:t xml:space="preserve">Premierministeren og økonomi-, finans- og industriministeren er hver især ansvarlige for anvendelsen af denne bekendtgørelse, som offentliggøres i </w:t>
      </w:r>
      <w:r>
        <w:rPr>
          <w:i/>
        </w:rPr>
        <w:t>Den Franske Republiks</w:t>
      </w:r>
      <w:r>
        <w:t xml:space="preserve"> officielle tidende. </w:t>
      </w:r>
    </w:p>
    <w:p w14:paraId="2458A41C" w14:textId="77777777" w:rsidR="00BB5F5A" w:rsidRDefault="001971A0">
      <w:pPr>
        <w:ind w:firstLine="0"/>
      </w:pPr>
      <w:r>
        <w:t xml:space="preserve">Udfærdiget den 6. november 2024 </w:t>
      </w:r>
    </w:p>
    <w:p w14:paraId="779C936B" w14:textId="77777777" w:rsidR="00BB5F5A" w:rsidRDefault="001971A0">
      <w:pPr>
        <w:spacing w:after="70" w:line="259" w:lineRule="auto"/>
        <w:ind w:left="10" w:right="416" w:hanging="10"/>
        <w:jc w:val="right"/>
      </w:pPr>
      <w:r>
        <w:t>E</w:t>
      </w:r>
      <w:r>
        <w:rPr>
          <w:sz w:val="15"/>
        </w:rPr>
        <w:t xml:space="preserve">MMANUEL </w:t>
      </w:r>
      <w:r>
        <w:t>M</w:t>
      </w:r>
      <w:r>
        <w:rPr>
          <w:sz w:val="15"/>
        </w:rPr>
        <w:t xml:space="preserve">ACRON </w:t>
      </w:r>
    </w:p>
    <w:p w14:paraId="4CD07A7D" w14:textId="77777777" w:rsidR="00BB5F5A" w:rsidRDefault="001971A0">
      <w:pPr>
        <w:spacing w:after="73" w:line="259" w:lineRule="auto"/>
        <w:ind w:left="544" w:firstLine="0"/>
        <w:jc w:val="left"/>
      </w:pPr>
      <w:r>
        <w:rPr>
          <w:sz w:val="18"/>
        </w:rPr>
        <w:t xml:space="preserve">For præsidenten for Den Franske Republik: </w:t>
      </w:r>
    </w:p>
    <w:p w14:paraId="74F7E8BF" w14:textId="77777777" w:rsidR="00BB5F5A" w:rsidRDefault="001971A0">
      <w:pPr>
        <w:spacing w:after="8" w:line="259" w:lineRule="auto"/>
        <w:ind w:left="0" w:firstLine="0"/>
        <w:jc w:val="left"/>
      </w:pPr>
      <w:r>
        <w:rPr>
          <w:i/>
        </w:rPr>
        <w:t xml:space="preserve">Premierministeren, </w:t>
      </w:r>
    </w:p>
    <w:p w14:paraId="65A8D155" w14:textId="77777777" w:rsidR="00BB5F5A" w:rsidRDefault="001971A0">
      <w:pPr>
        <w:pStyle w:val="Heading1"/>
        <w:spacing w:after="47"/>
        <w:ind w:left="206" w:right="0"/>
      </w:pPr>
      <w:r>
        <w:rPr>
          <w:sz w:val="22"/>
        </w:rPr>
        <w:t>M</w:t>
      </w:r>
      <w:r>
        <w:t xml:space="preserve">ICHEL </w:t>
      </w:r>
      <w:r>
        <w:rPr>
          <w:sz w:val="22"/>
        </w:rPr>
        <w:t>B</w:t>
      </w:r>
      <w:r>
        <w:t xml:space="preserve">ARNIER </w:t>
      </w:r>
    </w:p>
    <w:p w14:paraId="1873A417" w14:textId="2CF6FE33" w:rsidR="00BB5F5A" w:rsidRDefault="001971A0">
      <w:pPr>
        <w:spacing w:after="54" w:line="216" w:lineRule="auto"/>
        <w:ind w:left="7307" w:firstLine="0"/>
        <w:jc w:val="center"/>
      </w:pPr>
      <w:r>
        <w:rPr>
          <w:i/>
        </w:rPr>
        <w:t xml:space="preserve">Økonomi-, finans- og industriministeren, </w:t>
      </w:r>
    </w:p>
    <w:p w14:paraId="276AC3A6" w14:textId="23F96FBD" w:rsidR="00BB5F5A" w:rsidRDefault="001971A0">
      <w:pPr>
        <w:spacing w:after="70" w:line="259" w:lineRule="auto"/>
        <w:ind w:left="10" w:right="544" w:hanging="10"/>
        <w:jc w:val="right"/>
      </w:pPr>
      <w:r>
        <w:t>A</w:t>
      </w:r>
      <w:r>
        <w:rPr>
          <w:sz w:val="15"/>
        </w:rPr>
        <w:t xml:space="preserve">NTOINE </w:t>
      </w:r>
      <w:r>
        <w:t>A</w:t>
      </w:r>
      <w:r>
        <w:rPr>
          <w:sz w:val="15"/>
        </w:rPr>
        <w:t>RMAND</w:t>
      </w:r>
    </w:p>
    <w:sectPr w:rsidR="00BB5F5A">
      <w:headerReference w:type="even" r:id="rId7"/>
      <w:headerReference w:type="default" r:id="rId8"/>
      <w:headerReference w:type="first" r:id="rId9"/>
      <w:pgSz w:w="11906" w:h="16838"/>
      <w:pgMar w:top="1420" w:right="992" w:bottom="782" w:left="992" w:header="74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DDFA" w14:textId="77777777" w:rsidR="001971A0" w:rsidRDefault="001971A0">
      <w:pPr>
        <w:spacing w:after="0" w:line="240" w:lineRule="auto"/>
      </w:pPr>
      <w:r>
        <w:separator/>
      </w:r>
    </w:p>
  </w:endnote>
  <w:endnote w:type="continuationSeparator" w:id="0">
    <w:p w14:paraId="01B86705" w14:textId="77777777" w:rsidR="001971A0" w:rsidRDefault="0019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1AB0" w14:textId="77777777" w:rsidR="001971A0" w:rsidRDefault="001971A0">
      <w:pPr>
        <w:spacing w:after="0" w:line="240" w:lineRule="auto"/>
      </w:pPr>
      <w:r>
        <w:separator/>
      </w:r>
    </w:p>
  </w:footnote>
  <w:footnote w:type="continuationSeparator" w:id="0">
    <w:p w14:paraId="6AE83922" w14:textId="77777777" w:rsidR="001971A0" w:rsidRDefault="00197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7C3" w14:textId="77777777" w:rsidR="00BB5F5A" w:rsidRDefault="001971A0">
    <w:pPr>
      <w:tabs>
        <w:tab w:val="center" w:pos="4818"/>
        <w:tab w:val="right" w:pos="9922"/>
      </w:tabs>
      <w:spacing w:after="0" w:line="259" w:lineRule="auto"/>
      <w:ind w:left="0" w:firstLine="0"/>
      <w:jc w:val="left"/>
    </w:pPr>
    <w:r>
      <w:rPr>
        <w:rFonts w:ascii="Calibri" w:hAnsi="Calibri"/>
        <w:sz w:val="16"/>
      </w:rPr>
      <w:t xml:space="preserve">7. november 2024 </w:t>
    </w:r>
    <w:r>
      <w:rPr>
        <w:rFonts w:ascii="Calibri" w:hAnsi="Calibri"/>
        <w:sz w:val="16"/>
      </w:rPr>
      <w:tab/>
    </w:r>
    <w:r>
      <w:rPr>
        <w:rFonts w:ascii="Calibri" w:hAnsi="Calibri"/>
        <w:color w:val="0060B0"/>
        <w:sz w:val="18"/>
      </w:rPr>
      <w:t>DEN FRANSKE REPUBLIKS OFFICIELLE TIDENDE</w:t>
    </w:r>
    <w:r>
      <w:rPr>
        <w:rFonts w:ascii="Calibri" w:hAnsi="Calibri"/>
        <w:color w:val="0060B0"/>
        <w:sz w:val="18"/>
      </w:rPr>
      <w:tab/>
    </w:r>
    <w:r>
      <w:rPr>
        <w:rFonts w:ascii="Calibri" w:hAnsi="Calibri"/>
        <w:sz w:val="16"/>
      </w:rPr>
      <w:t xml:space="preserve">Tekst 18 af 120 </w:t>
    </w:r>
  </w:p>
  <w:p w14:paraId="7D2344F0" w14:textId="77777777" w:rsidR="00BB5F5A" w:rsidRDefault="001971A0">
    <w:r>
      <w:rPr>
        <w:rFonts w:ascii="Calibri" w:hAnsi="Calibri"/>
        <w:noProof/>
      </w:rPr>
      <mc:AlternateContent>
        <mc:Choice Requires="wpg">
          <w:drawing>
            <wp:anchor distT="0" distB="0" distL="114300" distR="114300" simplePos="0" relativeHeight="251658240" behindDoc="1" locked="0" layoutInCell="1" allowOverlap="1" wp14:anchorId="32303E79" wp14:editId="7FD982B1">
              <wp:simplePos x="0" y="0"/>
              <wp:positionH relativeFrom="page">
                <wp:posOffset>0</wp:posOffset>
              </wp:positionH>
              <wp:positionV relativeFrom="page">
                <wp:posOffset>2</wp:posOffset>
              </wp:positionV>
              <wp:extent cx="7562164" cy="10694162"/>
              <wp:effectExtent l="0" t="0" r="0" b="0"/>
              <wp:wrapNone/>
              <wp:docPr id="6394" name="Group 6394"/>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95" name="Picture 6395"/>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94" style="width:595.446pt;height:842.06pt;position:absolute;z-index:-2147483648;mso-position-horizontal-relative:page;mso-position-horizontal:absolute;margin-left:0pt;mso-position-vertical-relative:page;margin-top:0.00012207pt;" coordsize="75621,106941">
              <v:shape id="Picture 6395" style="position:absolute;width:75621;height:106941;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EF25" w14:textId="77777777" w:rsidR="00BB5F5A" w:rsidRDefault="001971A0">
    <w:pPr>
      <w:tabs>
        <w:tab w:val="center" w:pos="4818"/>
        <w:tab w:val="right" w:pos="9922"/>
      </w:tabs>
      <w:spacing w:after="0" w:line="259" w:lineRule="auto"/>
      <w:ind w:left="0" w:firstLine="0"/>
      <w:jc w:val="left"/>
    </w:pPr>
    <w:r>
      <w:rPr>
        <w:rFonts w:ascii="Calibri" w:hAnsi="Calibri"/>
        <w:sz w:val="16"/>
      </w:rPr>
      <w:t xml:space="preserve">7. </w:t>
    </w:r>
    <w:r>
      <w:rPr>
        <w:rFonts w:ascii="Calibri" w:hAnsi="Calibri"/>
        <w:sz w:val="16"/>
      </w:rPr>
      <w:t xml:space="preserve">november 2024 </w:t>
    </w:r>
    <w:r>
      <w:rPr>
        <w:rFonts w:ascii="Calibri" w:hAnsi="Calibri"/>
        <w:sz w:val="16"/>
      </w:rPr>
      <w:tab/>
    </w:r>
    <w:r>
      <w:rPr>
        <w:rFonts w:ascii="Calibri" w:hAnsi="Calibri"/>
        <w:color w:val="0060B0"/>
        <w:sz w:val="18"/>
      </w:rPr>
      <w:t>DEN FRANSKE REPUBLIKS OFFICIELLE TIDENDE</w:t>
    </w:r>
    <w:r>
      <w:rPr>
        <w:rFonts w:ascii="Calibri" w:hAnsi="Calibri"/>
        <w:color w:val="0060B0"/>
        <w:sz w:val="18"/>
      </w:rPr>
      <w:tab/>
    </w:r>
    <w:r>
      <w:rPr>
        <w:rFonts w:ascii="Calibri" w:hAnsi="Calibri"/>
        <w:sz w:val="16"/>
      </w:rPr>
      <w:t xml:space="preserve">Tekst 18 af 120 </w:t>
    </w:r>
  </w:p>
  <w:p w14:paraId="03F43403" w14:textId="77777777" w:rsidR="00BB5F5A" w:rsidRDefault="001971A0">
    <w:r>
      <w:rPr>
        <w:rFonts w:ascii="Calibri" w:hAnsi="Calibri"/>
        <w:noProof/>
      </w:rPr>
      <mc:AlternateContent>
        <mc:Choice Requires="wpg">
          <w:drawing>
            <wp:anchor distT="0" distB="0" distL="114300" distR="114300" simplePos="0" relativeHeight="251659264" behindDoc="1" locked="0" layoutInCell="1" allowOverlap="1" wp14:anchorId="5677BF3A" wp14:editId="4AF008E2">
              <wp:simplePos x="0" y="0"/>
              <wp:positionH relativeFrom="page">
                <wp:posOffset>0</wp:posOffset>
              </wp:positionH>
              <wp:positionV relativeFrom="page">
                <wp:posOffset>2</wp:posOffset>
              </wp:positionV>
              <wp:extent cx="7562164" cy="10694162"/>
              <wp:effectExtent l="0" t="0" r="0" b="0"/>
              <wp:wrapNone/>
              <wp:docPr id="6375" name="Group 6375"/>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76" name="Picture 6376"/>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75" style="width:595.446pt;height:842.06pt;position:absolute;z-index:-2147483648;mso-position-horizontal-relative:page;mso-position-horizontal:absolute;margin-left:0pt;mso-position-vertical-relative:page;margin-top:0.00012207pt;" coordsize="75621,106941">
              <v:shape id="Picture 6376" style="position:absolute;width:75621;height:106941;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51A4" w14:textId="77777777" w:rsidR="00BB5F5A" w:rsidRDefault="001971A0">
    <w:pPr>
      <w:tabs>
        <w:tab w:val="center" w:pos="4818"/>
        <w:tab w:val="right" w:pos="9922"/>
      </w:tabs>
      <w:spacing w:after="0" w:line="259" w:lineRule="auto"/>
      <w:ind w:left="0" w:firstLine="0"/>
      <w:jc w:val="left"/>
    </w:pPr>
    <w:r>
      <w:rPr>
        <w:rFonts w:ascii="Calibri" w:hAnsi="Calibri"/>
        <w:sz w:val="16"/>
      </w:rPr>
      <w:t xml:space="preserve">7. november 2024 </w:t>
    </w:r>
    <w:r>
      <w:rPr>
        <w:rFonts w:ascii="Calibri" w:hAnsi="Calibri"/>
        <w:sz w:val="16"/>
      </w:rPr>
      <w:tab/>
    </w:r>
    <w:r>
      <w:rPr>
        <w:rFonts w:ascii="Calibri" w:hAnsi="Calibri"/>
        <w:color w:val="0060B0"/>
        <w:sz w:val="18"/>
      </w:rPr>
      <w:t>DEN FRANSKE REPUBLIKS OFFICIELLE TIDENDE</w:t>
    </w:r>
    <w:r>
      <w:rPr>
        <w:rFonts w:ascii="Calibri" w:hAnsi="Calibri"/>
        <w:color w:val="0060B0"/>
        <w:sz w:val="18"/>
      </w:rPr>
      <w:tab/>
    </w:r>
    <w:r>
      <w:rPr>
        <w:rFonts w:ascii="Calibri" w:hAnsi="Calibri"/>
        <w:sz w:val="16"/>
      </w:rPr>
      <w:t xml:space="preserve">Tekst 18 af 120 </w:t>
    </w:r>
  </w:p>
  <w:p w14:paraId="3D44B973" w14:textId="77777777" w:rsidR="00BB5F5A" w:rsidRDefault="001971A0">
    <w:r>
      <w:rPr>
        <w:rFonts w:ascii="Calibri" w:hAnsi="Calibri"/>
        <w:noProof/>
      </w:rPr>
      <mc:AlternateContent>
        <mc:Choice Requires="wpg">
          <w:drawing>
            <wp:anchor distT="0" distB="0" distL="114300" distR="114300" simplePos="0" relativeHeight="251660288" behindDoc="1" locked="0" layoutInCell="1" allowOverlap="1" wp14:anchorId="7591A6C2" wp14:editId="6FB74674">
              <wp:simplePos x="0" y="0"/>
              <wp:positionH relativeFrom="page">
                <wp:posOffset>0</wp:posOffset>
              </wp:positionH>
              <wp:positionV relativeFrom="page">
                <wp:posOffset>2</wp:posOffset>
              </wp:positionV>
              <wp:extent cx="7562164" cy="10694162"/>
              <wp:effectExtent l="0" t="0" r="0" b="0"/>
              <wp:wrapNone/>
              <wp:docPr id="6356" name="Group 6356"/>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57" name="Picture 6357"/>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56" style="width:595.446pt;height:842.06pt;position:absolute;z-index:-2147483648;mso-position-horizontal-relative:page;mso-position-horizontal:absolute;margin-left:0pt;mso-position-vertical-relative:page;margin-top:0.00012207pt;" coordsize="75621,106941">
              <v:shape id="Picture 6357" style="position:absolute;width:75621;height:106941;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60A7B"/>
    <w:multiLevelType w:val="hybridMultilevel"/>
    <w:tmpl w:val="81E49FE6"/>
    <w:lvl w:ilvl="0" w:tplc="AA867C62">
      <w:start w:val="1"/>
      <w:numFmt w:val="upperRoman"/>
      <w:lvlText w:val="%1."/>
      <w:lvlJc w:val="left"/>
      <w:pPr>
        <w:ind w:left="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204FD0">
      <w:start w:val="1"/>
      <w:numFmt w:val="lowerLetter"/>
      <w:lvlText w:val="%2"/>
      <w:lvlJc w:val="left"/>
      <w:pPr>
        <w:ind w:left="1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D000F2">
      <w:start w:val="1"/>
      <w:numFmt w:val="lowerRoman"/>
      <w:lvlText w:val="%3"/>
      <w:lvlJc w:val="left"/>
      <w:pPr>
        <w:ind w:left="2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CEAA90">
      <w:start w:val="1"/>
      <w:numFmt w:val="decimal"/>
      <w:lvlText w:val="%4"/>
      <w:lvlJc w:val="left"/>
      <w:pPr>
        <w:ind w:left="2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38C92A">
      <w:start w:val="1"/>
      <w:numFmt w:val="lowerLetter"/>
      <w:lvlText w:val="%5"/>
      <w:lvlJc w:val="left"/>
      <w:pPr>
        <w:ind w:left="3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54786A">
      <w:start w:val="1"/>
      <w:numFmt w:val="lowerRoman"/>
      <w:lvlText w:val="%6"/>
      <w:lvlJc w:val="left"/>
      <w:pPr>
        <w:ind w:left="4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4E6C7E">
      <w:start w:val="1"/>
      <w:numFmt w:val="decimal"/>
      <w:lvlText w:val="%7"/>
      <w:lvlJc w:val="left"/>
      <w:pPr>
        <w:ind w:left="4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E217EC">
      <w:start w:val="1"/>
      <w:numFmt w:val="lowerLetter"/>
      <w:lvlText w:val="%8"/>
      <w:lvlJc w:val="left"/>
      <w:pPr>
        <w:ind w:left="5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DEF09C">
      <w:start w:val="1"/>
      <w:numFmt w:val="lowerRoman"/>
      <w:lvlText w:val="%9"/>
      <w:lvlJc w:val="left"/>
      <w:pPr>
        <w:ind w:left="6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F5A"/>
    <w:rsid w:val="001971A0"/>
    <w:rsid w:val="00240D54"/>
    <w:rsid w:val="00AC55CF"/>
    <w:rsid w:val="00BB5F5A"/>
    <w:rsid w:val="00C256E0"/>
    <w:rsid w:val="00D13B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05B5"/>
  <w15:docId w15:val="{9644DAF2-F404-4830-B1A9-A4FAC1D1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5" w:line="225" w:lineRule="auto"/>
      <w:ind w:left="215" w:firstLine="205"/>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70"/>
      <w:ind w:right="431"/>
      <w:outlineLvl w:val="0"/>
    </w:pPr>
    <w:rPr>
      <w:rFonts w:ascii="Times New Roman" w:eastAsia="Times New Roman" w:hAnsi="Times New Roman" w:cs="Times New Roman"/>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2211</Words>
  <Characters>12804</Characters>
  <Application>Microsoft Office Word</Application>
  <DocSecurity>0</DocSecurity>
  <Lines>180</Lines>
  <Paragraphs>89</Paragraphs>
  <ScaleCrop>false</ScaleCrop>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officiel de la République française - N° 264 du 7 novembre 2024</dc:title>
  <dc:subject>Lois et décrets</dc:subject>
  <dc:creator>Direction de l'information légale et administrative</dc:creator>
  <cp:keywords>ISSN:2261-5385;class='Internal'</cp:keywords>
  <cp:lastModifiedBy>Ragnhild Efraimsson</cp:lastModifiedBy>
  <cp:revision>2</cp:revision>
  <dcterms:created xsi:type="dcterms:W3CDTF">2024-12-17T14:31:00Z</dcterms:created>
  <dcterms:modified xsi:type="dcterms:W3CDTF">2024-12-17T14:31:00Z</dcterms:modified>
</cp:coreProperties>
</file>