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CB2DD3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Vyhlášky, nariadenia, obežníky </w:t>
      </w:r>
    </w:p>
    <w:p w14:paraId="4AC62185" w14:textId="77777777" w:rsidR="00BB5F5A" w:rsidRDefault="00CB2DD3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VŠEOBECNÉ TEXTY </w:t>
      </w:r>
    </w:p>
    <w:p w14:paraId="2E00BDAA" w14:textId="77777777" w:rsidR="00BB5F5A" w:rsidRDefault="00CB2DD3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MINISTERSTVO HOSPODÁRSTVA, FINANCIÍ A PRIEMYSLU </w:t>
      </w:r>
    </w:p>
    <w:p w14:paraId="6D78EE22" w14:textId="77777777" w:rsidR="00BB5F5A" w:rsidRDefault="00CB2DD3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Nariadenie č. 2024-978 zo 6. novembra 2024, ktorým sa mení zákon č. 2023-451 z 9. júna 2023 zameraný na reguláciu obchodného vplyvu a boj proti zneužívaniu zo strany influencerov na sociálnych sieťach </w:t>
      </w:r>
    </w:p>
    <w:p w14:paraId="53548437" w14:textId="77777777" w:rsidR="00BB5F5A" w:rsidRDefault="00CB2DD3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NOR: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CB2DD3">
      <w:pPr>
        <w:ind w:firstLine="0"/>
      </w:pPr>
      <w:r>
        <w:t xml:space="preserve">Prezident republiky, </w:t>
      </w:r>
    </w:p>
    <w:p w14:paraId="60771B53" w14:textId="77777777" w:rsidR="00BB5F5A" w:rsidRDefault="00CB2DD3">
      <w:pPr>
        <w:spacing w:after="88"/>
        <w:ind w:firstLine="0"/>
      </w:pPr>
      <w:r>
        <w:t>na základe sp</w:t>
      </w:r>
      <w:r>
        <w:t xml:space="preserve">rávy predsedu vlády a ministra hospodárstva, financií a priemyslu, </w:t>
      </w:r>
    </w:p>
    <w:p w14:paraId="54602248" w14:textId="77777777" w:rsidR="00BB5F5A" w:rsidRDefault="00CB2DD3">
      <w:pPr>
        <w:spacing w:after="30"/>
        <w:ind w:firstLine="0"/>
      </w:pPr>
      <w:r>
        <w:t xml:space="preserve">so zreteľom na ústavu, najmä na jej článok 38, </w:t>
      </w:r>
    </w:p>
    <w:p w14:paraId="071009EA" w14:textId="77777777" w:rsidR="00BB5F5A" w:rsidRDefault="00CB2DD3">
      <w:pPr>
        <w:spacing w:after="24"/>
        <w:ind w:left="-15"/>
      </w:pPr>
      <w:r>
        <w:t>so zreteľom na smernicu Európskeho parlamentu a Rady 2000/31/ES z 8. júna 2000 o určitých právnych aspektoch služieb informačnej spoločnosti</w:t>
      </w:r>
      <w:r>
        <w:t xml:space="preserve"> na vnútornom trhu, najmä o elektronickom obchode (smernica o elektronickom obchode), </w:t>
      </w:r>
    </w:p>
    <w:p w14:paraId="0D58FCC0" w14:textId="77777777" w:rsidR="00BB5F5A" w:rsidRDefault="00CB2DD3">
      <w:pPr>
        <w:spacing w:after="24"/>
        <w:ind w:left="-15"/>
      </w:pPr>
      <w:r>
        <w:t>so zreteľom na smernicu Európskeho parlamentu a Rady 2005/29/ES z 11. mája 2005 o nekalých obchodných praktikách podnikateľov voči spotrebiteľom na vnútornom trhu, a kto</w:t>
      </w:r>
      <w:r>
        <w:t xml:space="preserve">rou sa mení a dopĺňa smernica Rady 84/450/EHS, smernice Európskeho parlamentu a Rady 97/7/ES, 98/27/ES a 2002/65/ES a nariadenie Európskeho parlamentu a Rady (ES) č. 2006/2004 („smernica o nekalých obchodných praktikách“), </w:t>
      </w:r>
    </w:p>
    <w:p w14:paraId="29E501B5" w14:textId="77777777" w:rsidR="00BB5F5A" w:rsidRDefault="00CB2DD3">
      <w:pPr>
        <w:spacing w:after="23"/>
        <w:ind w:left="-15"/>
      </w:pPr>
      <w:r>
        <w:t>so zreteľom na smernicu Európske</w:t>
      </w:r>
      <w:r>
        <w:t>ho parlamentu a Rady 2010/13/EÚ z 10. marca 2010 o koordinácii niektorých ustanovení upravených zákonom, iným právnym predpisom alebo správnym opatrením v členských štátoch týkajúcich sa poskytovania audiovizuálnych mediálnych služieb (smernica o audiovizu</w:t>
      </w:r>
      <w:r>
        <w:t xml:space="preserve">álnych mediálnych službách), </w:t>
      </w:r>
    </w:p>
    <w:p w14:paraId="517F39D2" w14:textId="77777777" w:rsidR="00BB5F5A" w:rsidRDefault="00CB2DD3">
      <w:pPr>
        <w:ind w:left="-15"/>
      </w:pPr>
      <w:r>
        <w:t>so zreteľom na smernicu Európskeho parlamentu a Rady (EÚ) 2015/1535 z 9. septembra 2015, ktorou sa stanovuje postup pri poskytovaní informácií v oblasti technických predpisov a pravidiel vzťahujúcich sa na služby informačnej s</w:t>
      </w:r>
      <w:r>
        <w:t xml:space="preserve">poločnosti, </w:t>
      </w:r>
    </w:p>
    <w:p w14:paraId="18DA088E" w14:textId="77777777" w:rsidR="00BB5F5A" w:rsidRDefault="00CB2DD3">
      <w:pPr>
        <w:spacing w:after="30"/>
        <w:ind w:firstLine="0"/>
      </w:pPr>
      <w:r>
        <w:t xml:space="preserve">so zreteľom na správny súdny poriadok, najmä na jeho článok R. 123-20, </w:t>
      </w:r>
    </w:p>
    <w:p w14:paraId="7F86EC33" w14:textId="77777777" w:rsidR="00BB5F5A" w:rsidRDefault="00CB2DD3">
      <w:pPr>
        <w:spacing w:after="25"/>
        <w:ind w:left="-15"/>
      </w:pPr>
      <w:r>
        <w:t xml:space="preserve">so zreteľom na zákon č. 2023-451 z 9. júna 2023 zameraný na reguláciu obchodného vplyvu a boj proti zneužívaniu zo strany influencerov na sociálnych sieťach, </w:t>
      </w:r>
    </w:p>
    <w:p w14:paraId="76205EB4" w14:textId="77777777" w:rsidR="00BB5F5A" w:rsidRDefault="00CB2DD3">
      <w:pPr>
        <w:ind w:left="-15"/>
      </w:pPr>
      <w:r>
        <w:t>so zreteľom na zákon č. 2024-364 z 22. apríla 2024, ktorým sa stanovujú rôzne ustanovenia prispôs</w:t>
      </w:r>
      <w:r>
        <w:t xml:space="preserve">obujúce záležitosti týkajúce sa hospodárstva, financií, ekologickej transformácie, trestného práva, sociálneho práva a poľnohospodárstva právu Európskej únie, a najmä na jeho článok 3, </w:t>
      </w:r>
    </w:p>
    <w:p w14:paraId="52DE1B19" w14:textId="77777777" w:rsidR="00BB5F5A" w:rsidRDefault="00CB2DD3">
      <w:pPr>
        <w:ind w:firstLine="0"/>
      </w:pPr>
      <w:r>
        <w:t xml:space="preserve">so zreteľom na oznámenie 2024/0379/FR adresované Európskej komisii 3. </w:t>
      </w:r>
      <w:r>
        <w:t xml:space="preserve">júla 2024, </w:t>
      </w:r>
    </w:p>
    <w:p w14:paraId="2DC263BA" w14:textId="77777777" w:rsidR="00BB5F5A" w:rsidRDefault="00CB2DD3">
      <w:pPr>
        <w:spacing w:after="214"/>
        <w:ind w:right="5040" w:firstLine="0"/>
      </w:pPr>
      <w:r>
        <w:t xml:space="preserve">po vypočutí Štátnej rady (odbor financií), po vypočutí Rady ministrov, </w:t>
      </w:r>
    </w:p>
    <w:p w14:paraId="1578A1A7" w14:textId="77777777" w:rsidR="00BB5F5A" w:rsidRDefault="00CB2DD3">
      <w:pPr>
        <w:spacing w:after="146"/>
        <w:ind w:left="1077" w:firstLine="0"/>
      </w:pPr>
      <w:r>
        <w:t xml:space="preserve">nariaďuje: </w:t>
      </w:r>
    </w:p>
    <w:p w14:paraId="4FDE374B" w14:textId="77777777" w:rsidR="00BB5F5A" w:rsidRDefault="00CB2DD3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Článok 1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CB2DD3">
      <w:pPr>
        <w:spacing w:after="119"/>
        <w:ind w:left="-15"/>
      </w:pPr>
      <w:r>
        <w:t xml:space="preserve">Zákon č. 2023-451 z 9. júna 2023 zameraný na reguláciu obchodného vplyvu a boj proti zneužívaniu zo strany influencerov na sociálnych sieťach sa mení </w:t>
      </w:r>
      <w:r>
        <w:t xml:space="preserve">takto: </w:t>
      </w:r>
    </w:p>
    <w:p w14:paraId="542BFDB4" w14:textId="77777777" w:rsidR="00BB5F5A" w:rsidRDefault="00CB2DD3">
      <w:pPr>
        <w:numPr>
          <w:ilvl w:val="0"/>
          <w:numId w:val="1"/>
        </w:numPr>
        <w:spacing w:after="85"/>
        <w:ind w:hanging="305"/>
      </w:pPr>
      <w:r>
        <w:t xml:space="preserve">– Článok 1 sa nahrádza týmito ustanoveniami: </w:t>
      </w:r>
    </w:p>
    <w:p w14:paraId="36B0D7BB" w14:textId="77777777" w:rsidR="00BB5F5A" w:rsidRDefault="00CB2DD3">
      <w:pPr>
        <w:spacing w:after="135"/>
        <w:ind w:left="-15"/>
      </w:pPr>
      <w:r>
        <w:t xml:space="preserve">„ </w:t>
      </w:r>
      <w:r>
        <w:rPr>
          <w:i/>
        </w:rPr>
        <w:t xml:space="preserve">„Článok 1. – </w:t>
      </w:r>
      <w:r>
        <w:t>Fyzické alebo právnické osoby, ktoré za odplatu využívajú svoju známosť medzi svojím publikom na elektronické šírenie obsahu určeného na priamu alebo nepriamu propagáciu tovaru, služieb a</w:t>
      </w:r>
      <w:r>
        <w:t xml:space="preserve">lebo akéhokoľvek dôvodu, vykonávajú činnosť obchodného vplyvu elektronickými prostriedkami.“; </w:t>
      </w:r>
    </w:p>
    <w:p w14:paraId="3950E5A5" w14:textId="77777777" w:rsidR="00BB5F5A" w:rsidRDefault="00CB2DD3">
      <w:pPr>
        <w:numPr>
          <w:ilvl w:val="0"/>
          <w:numId w:val="1"/>
        </w:numPr>
        <w:spacing w:after="79"/>
        <w:ind w:hanging="305"/>
      </w:pPr>
      <w:r>
        <w:t xml:space="preserve">– Článok 4 sa nahrádza týmito ustanoveniami: </w:t>
      </w:r>
    </w:p>
    <w:p w14:paraId="6F86B412" w14:textId="77777777" w:rsidR="00BB5F5A" w:rsidRDefault="00CB2DD3">
      <w:pPr>
        <w:ind w:left="-15"/>
      </w:pPr>
      <w:r>
        <w:t xml:space="preserve">„ </w:t>
      </w:r>
      <w:r>
        <w:rPr>
          <w:i/>
        </w:rPr>
        <w:t xml:space="preserve">Článok 4. – </w:t>
      </w:r>
      <w:r>
        <w:t>I. – Osobám vykonávajúcim činnosť obchodného vplyvu elektronickými prostriedkami sa zakazuje akákoľve</w:t>
      </w:r>
      <w:r>
        <w:t xml:space="preserve">k priama alebo nepriama propagácia úkonov, postupov, techník a metód s estetickým účelom, ktoré môžu predstavovať riziko pre zdravie osôb, uvedených v článku L. 1151-2 zákonníka o verejnom zdraví, a zákrokov uvedených v článku L. 6322-1 tohto zákonníka. </w:t>
      </w:r>
    </w:p>
    <w:p w14:paraId="1DB6FB2C" w14:textId="77777777" w:rsidR="00BB5F5A" w:rsidRDefault="00CB2DD3">
      <w:pPr>
        <w:ind w:left="-15"/>
      </w:pPr>
      <w:r>
        <w:t>„</w:t>
      </w:r>
      <w:r>
        <w:t xml:space="preserve">II. – Osobám vykonávajúcim činnosť obchodného vplyvu elektronickými prostriedkami sa zakazuje akákoľvek priama alebo nepriama propagácia neliečebných výrobkov, úkonov, postupov, techník a metód, ktoré </w:t>
      </w:r>
      <w:r>
        <w:lastRenderedPageBreak/>
        <w:t>sa prezentujú ako porovnateľné alebo vhodnejšie ako lie</w:t>
      </w:r>
      <w:r>
        <w:t xml:space="preserve">čebné úkony, protokoly alebo predpisy alebo ako ich náhrada. </w:t>
      </w:r>
    </w:p>
    <w:p w14:paraId="0FCE785E" w14:textId="77777777" w:rsidR="00BB5F5A" w:rsidRDefault="00CB2DD3">
      <w:pPr>
        <w:ind w:left="-15"/>
      </w:pPr>
      <w:r>
        <w:t>„III. –Osobám vykonávajúcim činnosť obchodného vplyvu elektronickými prostriedkami sa zakazuje akákoľvek priama alebo nepriama propagácia výrobkov považovaných za nikotínové výrobky, ktoré sa mô</w:t>
      </w:r>
      <w:r>
        <w:t xml:space="preserve">žu konzumovať a obsahujú, hoci len čiastočne, nikotín. </w:t>
      </w:r>
    </w:p>
    <w:p w14:paraId="7EEC5628" w14:textId="77777777" w:rsidR="00BB5F5A" w:rsidRDefault="00CB2DD3">
      <w:pPr>
        <w:spacing w:after="130"/>
        <w:ind w:left="-15"/>
      </w:pPr>
      <w:r>
        <w:t xml:space="preserve">„IV. –Osobám vykonávajúcim činnosť obchodného vplyvu elektronickými prostriedkami sa zakazuje akákoľvek priama alebo nepriama propagácia zahŕňajúca zvieratá, ktoré nie sú uvedené v zozname uvedenom v </w:t>
      </w:r>
      <w:r>
        <w:t xml:space="preserve">článku L. 413-1 A environmentálneho zákonníka. Tento zákaz sa nevzťahuje na zariadenia oprávnené na držbu týchto zvierat v súlade s článkom L. 413-3 uvedeného zákonníka. </w:t>
      </w:r>
    </w:p>
    <w:p w14:paraId="4BB23C95" w14:textId="77777777" w:rsidR="00BB5F5A" w:rsidRDefault="00CB2DD3">
      <w:pPr>
        <w:spacing w:after="77"/>
        <w:ind w:left="-15"/>
      </w:pPr>
      <w:r>
        <w:t xml:space="preserve">„V. – Osobám vykonávajúcim činnosť obchodného vplyvu elektronickými prostriedkami sa </w:t>
      </w:r>
      <w:r>
        <w:t xml:space="preserve">zakazuje akákoľvek priama alebo nepriama propagácia nasledujúcich finančných produktov a služieb:  </w:t>
      </w:r>
    </w:p>
    <w:p w14:paraId="0FCB0A4E" w14:textId="77777777" w:rsidR="00BB5F5A" w:rsidRDefault="00CB2DD3">
      <w:pPr>
        <w:ind w:firstLine="0"/>
      </w:pPr>
      <w:r>
        <w:t>„1</w:t>
      </w:r>
      <w:r>
        <w:rPr>
          <w:sz w:val="17"/>
          <w:vertAlign w:val="superscript"/>
        </w:rPr>
        <w:t xml:space="preserve">o </w:t>
      </w:r>
      <w:r>
        <w:t xml:space="preserve">finančné zmluvy vymedzené v článku L. 533-12-7 menového a finančného zákonníka; </w:t>
      </w:r>
    </w:p>
    <w:p w14:paraId="7B571492" w14:textId="77777777" w:rsidR="00BB5F5A" w:rsidRDefault="00CB2DD3">
      <w:pPr>
        <w:spacing w:after="34"/>
        <w:ind w:left="-15"/>
      </w:pPr>
      <w:r>
        <w:t>„2</w:t>
      </w:r>
      <w:r>
        <w:rPr>
          <w:sz w:val="17"/>
          <w:vertAlign w:val="superscript"/>
        </w:rPr>
        <w:t xml:space="preserve">o </w:t>
      </w:r>
      <w:r>
        <w:t>poskytovanie služieb v oblasti digitálnych aktív v zmysle článku L. 54-10-2 uvedeného zákonníka s výnimkou tých, pre ktoré je inzerent zaregistrovaný za podmienok stanovených v článku L. 54-10-3 tohto zákonníka alebo schválený za podmienok stanovených v čl</w:t>
      </w:r>
      <w:r>
        <w:t xml:space="preserve">ánku L. 54-10-5 tohto zákonníka; </w:t>
      </w:r>
    </w:p>
    <w:p w14:paraId="56BD14C2" w14:textId="77777777" w:rsidR="00BB5F5A" w:rsidRDefault="00CB2DD3">
      <w:pPr>
        <w:spacing w:after="31"/>
        <w:ind w:left="-15"/>
      </w:pPr>
      <w:r>
        <w:t>„3</w:t>
      </w:r>
      <w:r>
        <w:rPr>
          <w:sz w:val="17"/>
          <w:vertAlign w:val="superscript"/>
        </w:rPr>
        <w:t xml:space="preserve">o </w:t>
      </w:r>
      <w:r>
        <w:t xml:space="preserve">verejné ponuky na tokeny v zmysle článku L. 552-3 toho istého zákonníka s výnimkou prípadov, keď inzerent získal povolenie podľa článku L. 552-4 tohto zákonníka; </w:t>
      </w:r>
    </w:p>
    <w:p w14:paraId="2ED229B9" w14:textId="77777777" w:rsidR="00BB5F5A" w:rsidRDefault="00CB2DD3">
      <w:pPr>
        <w:ind w:left="-15"/>
      </w:pPr>
      <w:r>
        <w:t>„4</w:t>
      </w:r>
      <w:r>
        <w:rPr>
          <w:sz w:val="17"/>
          <w:vertAlign w:val="superscript"/>
        </w:rPr>
        <w:t xml:space="preserve">o </w:t>
      </w:r>
      <w:r>
        <w:t>digitálne aktíva okrem tých, ktoré súvisia so služb</w:t>
      </w:r>
      <w:r>
        <w:t>ami, na poskytovanie ktorých je inzerent zaregistrovaný za podmienok stanovených v článku L. 54-10-3 uvedeného zákonníka alebo schválený za podmienok stanovených v článku L. 54-10-5 tohto zákonníka, teda ak inzerent nepatrí do pôsobnosti článkov L. 54-10-3</w:t>
      </w:r>
      <w:r>
        <w:t xml:space="preserve"> a L. 54-10-5 toho istého zákonníka. </w:t>
      </w:r>
    </w:p>
    <w:p w14:paraId="4F97707A" w14:textId="77777777" w:rsidR="00BB5F5A" w:rsidRDefault="00CB2DD3">
      <w:pPr>
        <w:ind w:left="-15"/>
      </w:pPr>
      <w:r>
        <w:t xml:space="preserve">„ „Porušenia ustanovení oddielu V podliehajú sankciám stanoveným v piatom odseku článku L. 222-16-1 a v predposlednom odseku článku L. 222-16-2 spotrebiteľského zákonníka. </w:t>
      </w:r>
    </w:p>
    <w:p w14:paraId="7FC2E317" w14:textId="77777777" w:rsidR="00BB5F5A" w:rsidRDefault="00CB2DD3">
      <w:pPr>
        <w:ind w:left="-15"/>
      </w:pPr>
      <w:r>
        <w:t>„ VI. – Osobám vykonávajúcim činnosť obchodné</w:t>
      </w:r>
      <w:r>
        <w:t xml:space="preserve">ho vplyvu elektronickými prostriedkami sa zakazuje akákoľvek priama alebo nepriama propagácia predplatného športových tipov alebo stávok. </w:t>
      </w:r>
    </w:p>
    <w:p w14:paraId="728EE356" w14:textId="77777777" w:rsidR="00BB5F5A" w:rsidRDefault="00CB2DD3">
      <w:pPr>
        <w:ind w:left="-15"/>
      </w:pPr>
      <w:r>
        <w:t>„VII. – Komerčné oznamy elektronickými prostriedkami od osôb uvedených v článku 1 tohto zákona týkajúce sa hazardných</w:t>
      </w:r>
      <w:r>
        <w:t xml:space="preserve"> hier, ako sa vymedzuje v článkoch L. 320-1 a L. 320-6 zákonníka o vnútornej bezpečnosti, sú povolené len na online platformách, ktoré ponúkajú technickú možnosť vylúčiť z príjemcov tohto obsahu všetkých používateľov mladších ako osemnásť rokov, ak je tent</w:t>
      </w:r>
      <w:r>
        <w:t xml:space="preserve">o mechanizmus vylúčenia skutočne aktivovaný týmito osobami.  </w:t>
      </w:r>
    </w:p>
    <w:p w14:paraId="6EB44F5A" w14:textId="77777777" w:rsidR="00BB5F5A" w:rsidRDefault="00CB2DD3">
      <w:pPr>
        <w:ind w:left="-15"/>
      </w:pPr>
      <w:r>
        <w:t>„Takéto komerčné oznamy musia byť sprevádzané odkazom na zákaz takéhoto obsahu pre osoby mladšie ako 18 rokov.  Toto vyhlásenie musí byť jasné, čitateľné a zrozumiteľné na akomkoľvek použitom mé</w:t>
      </w:r>
      <w:r>
        <w:t xml:space="preserve">diu. </w:t>
      </w:r>
    </w:p>
    <w:p w14:paraId="16552C4E" w14:textId="77777777" w:rsidR="00BB5F5A" w:rsidRDefault="00CB2DD3">
      <w:pPr>
        <w:ind w:left="-15"/>
      </w:pPr>
      <w:r>
        <w:t>„Mechanizmy vylúčenia stanovené v tejto časti VII sú v súlade s referenčným rámcom vypracovaným Regulačným orgánom pre audiovizuálnu a digitálnu komunikáciu po konzultácii s Národným úradom pre hazardné hry a Národnou komisiou pre informačné technoló</w:t>
      </w:r>
      <w:r>
        <w:t xml:space="preserve">gie a slobody.  </w:t>
      </w:r>
    </w:p>
    <w:p w14:paraId="5C916282" w14:textId="77777777" w:rsidR="00BB5F5A" w:rsidRDefault="00CB2DD3">
      <w:pPr>
        <w:ind w:left="-15"/>
      </w:pPr>
      <w:r>
        <w:t>„Zmluvy o propagácii s prevádzkovateľmi hazardných hier obsahujú ustanovenie, ktorým osoby vymedzené v článku 1 tohto zákona potvrdzujú, že sa oboznámili so zákonmi a s právnymi predpismi vzťahujúcimi sa na komerčné oznamy týkajúce sa haza</w:t>
      </w:r>
      <w:r>
        <w:t xml:space="preserve">rdných hier a zaväzujú sa ich dodržiavať.  </w:t>
      </w:r>
    </w:p>
    <w:p w14:paraId="507CFB94" w14:textId="77777777" w:rsidR="00BB5F5A" w:rsidRDefault="00CB2DD3">
      <w:pPr>
        <w:spacing w:after="122"/>
        <w:ind w:left="-15"/>
      </w:pPr>
      <w:r>
        <w:t xml:space="preserve">„Porušenie ustanovení tohto oddielu VII sa trestá sankciou stanovenou v článku L. 324-8-1 zákonníka o vnútornej bezpečnosti.  </w:t>
      </w:r>
    </w:p>
    <w:p w14:paraId="65CC3B40" w14:textId="77777777" w:rsidR="00BB5F5A" w:rsidRDefault="00CB2DD3">
      <w:pPr>
        <w:spacing w:after="93"/>
        <w:ind w:firstLine="0"/>
      </w:pPr>
      <w:r>
        <w:t>„ VIII. – Za bod 2</w:t>
      </w:r>
      <w:r>
        <w:rPr>
          <w:sz w:val="17"/>
          <w:vertAlign w:val="superscript"/>
        </w:rPr>
        <w:t xml:space="preserve">o </w:t>
      </w:r>
      <w:r>
        <w:t xml:space="preserve">článku L. 6323-8-1 zákonníka práce sa vkladá tento odsek: </w:t>
      </w:r>
    </w:p>
    <w:p w14:paraId="6709E1F6" w14:textId="77777777" w:rsidR="00BB5F5A" w:rsidRDefault="00CB2DD3">
      <w:pPr>
        <w:ind w:left="-15"/>
      </w:pPr>
      <w:r>
        <w:t>„Zakaz</w:t>
      </w:r>
      <w:r>
        <w:t xml:space="preserve">uje sa aj akýkoľvek predaj alebo propagačná ponuka produktu alebo akákoľvek odmena za predplatenie programov uvedených v tom istom článku L. 6323-6.“ </w:t>
      </w:r>
    </w:p>
    <w:p w14:paraId="012E80CC" w14:textId="77777777" w:rsidR="00BB5F5A" w:rsidRDefault="00CB2DD3">
      <w:pPr>
        <w:ind w:left="-15"/>
      </w:pPr>
      <w:r>
        <w:t>„ IX. –Porušenie ustanovení oddielov I až IV a oddielu VI tohto článku sa trestá sankciou stanovenou v čl</w:t>
      </w:r>
      <w:r>
        <w:t xml:space="preserve">ánku L. 132-2 spotrebiteľského zákonníka. </w:t>
      </w:r>
    </w:p>
    <w:p w14:paraId="700FD132" w14:textId="77777777" w:rsidR="00BB5F5A" w:rsidRDefault="00CB2DD3">
      <w:pPr>
        <w:spacing w:after="143"/>
        <w:ind w:left="-15"/>
      </w:pPr>
      <w:r>
        <w:t xml:space="preserve">„ V súvislosti s týmito trestnými činmi a trestnými činmi uvedenými v oddiele VII možno páchateľovi uložiť zákaz, či už definitívny alebo dočasný, v súlade s postupmi stanovenými v článku 131-27 Trestného zákona, </w:t>
      </w:r>
      <w:r>
        <w:t xml:space="preserve">vykonávať profesionálnu alebo spoločenskú činnosť, pri výkone ktorej bol trestný čin spáchaný, alebo činnosť obchodného vplyvu elektronickými prostriedkami vymedzenú v článku 1 tohto zákona. </w:t>
      </w:r>
    </w:p>
    <w:p w14:paraId="29D9691F" w14:textId="77777777" w:rsidR="00BB5F5A" w:rsidRDefault="00CB2DD3">
      <w:pPr>
        <w:spacing w:after="81"/>
        <w:ind w:firstLine="0"/>
      </w:pPr>
      <w:r>
        <w:t>„ X. – Za bod 31</w:t>
      </w:r>
      <w:r>
        <w:rPr>
          <w:sz w:val="17"/>
          <w:vertAlign w:val="superscript"/>
        </w:rPr>
        <w:t xml:space="preserve">o  </w:t>
      </w:r>
      <w:r>
        <w:t>článku L. 511-7 spotrebiteľského zákonníka sa</w:t>
      </w:r>
      <w:r>
        <w:t xml:space="preserve"> vkladá tento bod 32</w:t>
      </w:r>
      <w:r>
        <w:rPr>
          <w:sz w:val="17"/>
          <w:vertAlign w:val="superscript"/>
        </w:rPr>
        <w:t>o</w:t>
      </w:r>
      <w:r>
        <w:t xml:space="preserve">: </w:t>
      </w:r>
    </w:p>
    <w:p w14:paraId="14A29651" w14:textId="77777777" w:rsidR="00BB5F5A" w:rsidRDefault="00CB2DD3">
      <w:pPr>
        <w:spacing w:after="0" w:line="302" w:lineRule="auto"/>
        <w:ind w:left="-15" w:right="-15"/>
        <w:jc w:val="left"/>
      </w:pPr>
      <w:r>
        <w:t>„32</w:t>
      </w:r>
      <w:r>
        <w:rPr>
          <w:sz w:val="17"/>
          <w:vertAlign w:val="superscript"/>
        </w:rPr>
        <w:t xml:space="preserve">o </w:t>
      </w:r>
      <w:r>
        <w:t xml:space="preserve">Oddielom V článku 4 zákona č. 2023-451 z 9. júna 2023 zameraného na reguláciu obchodného vplyvu a boj proti zneužívaniu zo strany influencerov na sociálnych sieťach.“; III. – Článok 5 sa nahrádza týmito ustanoveniami: </w:t>
      </w:r>
    </w:p>
    <w:p w14:paraId="3C6D62EA" w14:textId="77777777" w:rsidR="00BB5F5A" w:rsidRDefault="00CB2DD3">
      <w:pPr>
        <w:ind w:left="-15"/>
      </w:pPr>
      <w:r>
        <w:lastRenderedPageBreak/>
        <w:t xml:space="preserve">„ </w:t>
      </w:r>
      <w:r>
        <w:rPr>
          <w:i/>
        </w:rPr>
        <w:t>Článok</w:t>
      </w:r>
      <w:r>
        <w:rPr>
          <w:i/>
        </w:rPr>
        <w:t xml:space="preserve"> 5. – </w:t>
      </w:r>
      <w:r>
        <w:t xml:space="preserve">I. – Obsah oznamovaný osobami uvedenými v článku 1 tohto zákona obsahujúci obrázky, ktoré boli predmetom: </w:t>
      </w:r>
    </w:p>
    <w:p w14:paraId="4B787B68" w14:textId="77777777" w:rsidR="00BB5F5A" w:rsidRDefault="00CB2DD3">
      <w:pPr>
        <w:spacing w:after="31"/>
        <w:ind w:left="-15"/>
      </w:pPr>
      <w:r>
        <w:t>„1</w:t>
      </w:r>
      <w:r>
        <w:rPr>
          <w:sz w:val="17"/>
          <w:vertAlign w:val="superscript"/>
        </w:rPr>
        <w:t xml:space="preserve">o </w:t>
      </w:r>
      <w:r>
        <w:t>úpravy akýmkoľvek procesom spracovania obrazu s cieľom urobiť postavu chudšou alebo tučnejšou alebo upraviť vzhľad tváre, musí byť sprevádz</w:t>
      </w:r>
      <w:r>
        <w:t xml:space="preserve">aný slovami: „Upravené obrázky“; </w:t>
      </w:r>
    </w:p>
    <w:p w14:paraId="68231ACC" w14:textId="77777777" w:rsidR="00BB5F5A" w:rsidRDefault="00CB2DD3">
      <w:pPr>
        <w:ind w:left="-15"/>
      </w:pPr>
      <w:r>
        <w:t>„2</w:t>
      </w:r>
      <w:r>
        <w:rPr>
          <w:sz w:val="17"/>
          <w:vertAlign w:val="superscript"/>
        </w:rPr>
        <w:t xml:space="preserve">o </w:t>
      </w:r>
      <w:r>
        <w:t xml:space="preserve">produkcie akýmkoľvek procesom umelej inteligencie zameraným na zobrazenie tváre alebo postavy, musí byť sprevádzaný výrazom: „Virtuálne obrázky“. </w:t>
      </w:r>
    </w:p>
    <w:p w14:paraId="25C7F208" w14:textId="77777777" w:rsidR="00BB5F5A" w:rsidRDefault="00CB2DD3">
      <w:pPr>
        <w:ind w:left="-15"/>
      </w:pPr>
      <w:r>
        <w:t xml:space="preserve">„ </w:t>
      </w:r>
      <w:r>
        <w:t xml:space="preserve">Výrazy uvedené v tomto oddiele I musia byť jasné, čitateľné a zrozumiteľné na akomkoľvek použitom médiu. Môžu sa nahradiť rovnocenným pojmom prispôsobeným charakteristikám ovplyvňovacej činnosti a formátu použitého komunikačného média. </w:t>
      </w:r>
    </w:p>
    <w:p w14:paraId="029CE24B" w14:textId="77777777" w:rsidR="00BB5F5A" w:rsidRDefault="00CB2DD3">
      <w:pPr>
        <w:ind w:left="-15"/>
      </w:pPr>
      <w:r>
        <w:t>„ II. – Ak propagác</w:t>
      </w:r>
      <w:r>
        <w:t xml:space="preserve">iu vykonávajú osoby uvedené v článku 1 tohto zákona a týka sa registrácie na činnosť odbornej prípravy uvedenú v článku L. 6313-1 zákonníka práce, financovanú jedným zo subjektov uvedených v článku L. 6316-1 uvedeného zákonníka, odkaz uvedený v článku 5-2 </w:t>
      </w:r>
      <w:r>
        <w:t>tohto zákona obsahuje informácie týkajúce sa súvisiaceho financovania, záväzkov a pravidiel oprávnenosti, identifikácie poskytovateľa (poskytovateľov) zodpovedného (zodpovedných) za tieto programy odbornej prípravy a poskytovateľa uvedeného v elektronickej</w:t>
      </w:r>
      <w:r>
        <w:t xml:space="preserve"> službe uvedenej v článku L. 6323-9 toho istého zákonníka. </w:t>
      </w:r>
    </w:p>
    <w:p w14:paraId="57A2125D" w14:textId="77777777" w:rsidR="00BB5F5A" w:rsidRDefault="00CB2DD3">
      <w:pPr>
        <w:ind w:left="-15"/>
      </w:pPr>
      <w:r>
        <w:t xml:space="preserve">„ III. –Porušenie ustanovení oddielov I a II tohto článku sa trestá odňatím slobody na jeden rok a pokutou vo výške 4 500 EUR. </w:t>
      </w:r>
    </w:p>
    <w:p w14:paraId="7FA75FB0" w14:textId="77777777" w:rsidR="00BB5F5A" w:rsidRDefault="00CB2DD3">
      <w:pPr>
        <w:spacing w:after="143"/>
        <w:ind w:firstLine="0"/>
      </w:pPr>
      <w:r>
        <w:t xml:space="preserve">„ IV. – Podrobné pravidlá uplatňovania oddielov I a II tohto článku </w:t>
      </w:r>
      <w:r>
        <w:t xml:space="preserve">sa stanovia dekrétom vydaným po vypočutí Štátnej rady.“; </w:t>
      </w:r>
    </w:p>
    <w:p w14:paraId="530ED4FA" w14:textId="77777777" w:rsidR="00BB5F5A" w:rsidRDefault="00CB2DD3">
      <w:pPr>
        <w:spacing w:after="92"/>
        <w:ind w:firstLine="0"/>
      </w:pPr>
      <w:r>
        <w:t xml:space="preserve">IV. – Za článok 5 sa vkladajú dva články 5-1 a 5-2: </w:t>
      </w:r>
    </w:p>
    <w:p w14:paraId="7B0D6657" w14:textId="77777777" w:rsidR="00BB5F5A" w:rsidRDefault="00CB2DD3">
      <w:pPr>
        <w:ind w:left="-15"/>
      </w:pPr>
      <w:r>
        <w:t xml:space="preserve">„ </w:t>
      </w:r>
      <w:r>
        <w:rPr>
          <w:i/>
        </w:rPr>
        <w:t xml:space="preserve">Článok 5-1. – </w:t>
      </w:r>
      <w:r>
        <w:t>I. – Ustanovenia oddielov I až III článku 4 sa neuplatňujú na poskytovateľov mediálnych služieb v zmysle smernice Európskeho parl</w:t>
      </w:r>
      <w:r>
        <w:t>amentu a Rady 2010/13/EÚ z 10. marca 2010, ktorí patria do právomoci iného členského štátu Európskeho hospodárskeho priestoru v zmysle článku 2 ods. 2 uvedenej smernice. Na druhej strane sa uplatňujú na takýchto dodávateľov, keď patria do právomoci Francúz</w:t>
      </w:r>
      <w:r>
        <w:t xml:space="preserve">ska. </w:t>
      </w:r>
    </w:p>
    <w:p w14:paraId="4C1C0A8C" w14:textId="77777777" w:rsidR="00BB5F5A" w:rsidRDefault="00CB2DD3">
      <w:pPr>
        <w:ind w:left="-15"/>
      </w:pPr>
      <w:r>
        <w:t xml:space="preserve">„ Ak sú však splnené podmienky uvedené v ods. 2 až 3 článku 3 alebo v ods. 2 až 5 článku 4 uvedenej smernice a na konci postupu stanoveného v týchto ustanoveniach, správny orgán uvedie dotknutej osobe ustanovenia, ktoré sa na ňu vzťahujú, s výhradou </w:t>
      </w:r>
      <w:r>
        <w:t xml:space="preserve">príslušných sankcií, a dotknutú službu. </w:t>
      </w:r>
    </w:p>
    <w:p w14:paraId="6ACD68E9" w14:textId="77777777" w:rsidR="00BB5F5A" w:rsidRDefault="00CB2DD3">
      <w:pPr>
        <w:ind w:left="-15"/>
      </w:pPr>
      <w:r>
        <w:t xml:space="preserve">„ II. – S výhradou oddielu I, pokiaľ ide o uplatňovanie ustanovení oddielov I až III článku 4 na poskytovateľov mediálnych služieb, ustanovenia článkov 4 a 5 sa neuplatňujú na osoby so sídlom v inom štáte, ktorý je </w:t>
      </w:r>
      <w:r>
        <w:t xml:space="preserve">zmluvnou stranou Európskeho hospodárskeho priestoru. </w:t>
      </w:r>
    </w:p>
    <w:p w14:paraId="653E9A7E" w14:textId="77777777" w:rsidR="00BB5F5A" w:rsidRDefault="00CB2DD3">
      <w:pPr>
        <w:ind w:left="-15"/>
      </w:pPr>
      <w:r>
        <w:t xml:space="preserve">„ Ak sú však splnené podmienky uvedené v ods. 4 až 5 článku 3 smernice Európskeho parlamentu a Rady 2000/31/ES z 8. júna 2000 a na konci postupu stanoveného v týchto ustanoveniach, správny orgán uvedie </w:t>
      </w:r>
      <w:r>
        <w:t xml:space="preserve">dotknutej osobe ustanovenia, ktoré sa na ňu vzťahujú, s výhradou príslušných sankcií, a dotknutú službu. </w:t>
      </w:r>
    </w:p>
    <w:p w14:paraId="2DB9CAB0" w14:textId="77777777" w:rsidR="00BB5F5A" w:rsidRDefault="00CB2DD3">
      <w:pPr>
        <w:spacing w:after="92"/>
        <w:ind w:firstLine="0"/>
      </w:pPr>
      <w:r>
        <w:t xml:space="preserve">„ III. – Postupy vykonávania pre tento článok sa určia dekrétom Štátnej rady. </w:t>
      </w:r>
    </w:p>
    <w:p w14:paraId="4BA17F87" w14:textId="77777777" w:rsidR="00BB5F5A" w:rsidRDefault="00CB2DD3">
      <w:pPr>
        <w:ind w:left="-15"/>
      </w:pPr>
      <w:r>
        <w:t xml:space="preserve">„ </w:t>
      </w:r>
      <w:r>
        <w:rPr>
          <w:i/>
        </w:rPr>
        <w:t xml:space="preserve">Článok 5-2. – </w:t>
      </w:r>
      <w:r>
        <w:t>Ak fyzická alebo právnická osoba vykonávajúca činnosť o</w:t>
      </w:r>
      <w:r>
        <w:t>bchodného vplyvu v zmysle článku 1 tohto zákona jasne, čitateľne a zrozumiteľne neuvedie na akomkoľvek použitom médiu obchodný zámer, ktorý má, pokiaľ tento zámer už nevyplýva z kontextu, ide o klamlivú obchodnú praktiku v zmysle článku L. 121-3 spotrebite</w:t>
      </w:r>
      <w:r>
        <w:t xml:space="preserve">ľského zákonníka a za podmienok stanovených v tomto článku. </w:t>
      </w:r>
    </w:p>
    <w:p w14:paraId="0DA643B9" w14:textId="77777777" w:rsidR="00BB5F5A" w:rsidRDefault="00CB2DD3">
      <w:pPr>
        <w:spacing w:after="149"/>
        <w:ind w:left="-15"/>
      </w:pPr>
      <w:r>
        <w:t>„ Obchodný zámer možno výslovne uviesť použitím výrazov „reklama“ alebo „obchodná spolupráca“ alebo rovnocenným pojmom prispôsobeným charakteristikám činnosti obchodného vplyvu a formátu použitéh</w:t>
      </w:r>
      <w:r>
        <w:t xml:space="preserve">o média.“; </w:t>
      </w:r>
    </w:p>
    <w:p w14:paraId="3E80D657" w14:textId="77777777" w:rsidR="00BB5F5A" w:rsidRDefault="00CB2DD3">
      <w:pPr>
        <w:spacing w:after="86"/>
        <w:ind w:firstLine="0"/>
      </w:pPr>
      <w:r>
        <w:t xml:space="preserve">V. – Článok 9 sa nahrádza týmito ustanoveniami: </w:t>
      </w:r>
    </w:p>
    <w:p w14:paraId="6FABA20B" w14:textId="77777777" w:rsidR="00BB5F5A" w:rsidRDefault="00CB2DD3">
      <w:pPr>
        <w:ind w:left="-15"/>
      </w:pPr>
      <w:r>
        <w:t xml:space="preserve">„ </w:t>
      </w:r>
      <w:r>
        <w:rPr>
          <w:i/>
        </w:rPr>
        <w:t xml:space="preserve">Článok 9. – </w:t>
      </w:r>
      <w:r>
        <w:t>I. – Ak vykonávajú činnosť vymedzenú v článku 1 a nemajú sídlo na území členského štátu Európskej únie, Švajčiarskej konfederácie alebo Európskeho hospodárskeho priestoru a zameriav</w:t>
      </w:r>
      <w:r>
        <w:t>ajú sa na osoby vo Francúzsku, právnické osoby alebo fyzické osoby vykonávajúce samostatnú činnosť v postavení vymedzenom v článkoch L. 526-6 až L. 526-21 obchodného zákonníka alebo v článkoch L. 526-22 až L. 526-26 uvedeného zákonníka písomne určia právni</w:t>
      </w:r>
      <w:r>
        <w:t xml:space="preserve">ckú alebo fyzickú osobu, ktorá zabezpečí určitú formu právneho zastúpenia na území Európskej únie. </w:t>
      </w:r>
    </w:p>
    <w:p w14:paraId="2674630E" w14:textId="77777777" w:rsidR="00BB5F5A" w:rsidRDefault="00CB2DD3">
      <w:pPr>
        <w:ind w:left="-15"/>
      </w:pPr>
      <w:r>
        <w:t>„ Toto zastúpenie je určené na zabezpečenie súladu zmlúv, ktorých predmetom alebo účinkom je vykonávanie činnosti obchodného vplyvu elektronickými prostried</w:t>
      </w:r>
      <w:r>
        <w:t>kami, ktorá je zameraná najmä na osoby so sídlom na francúzskom území. Určené zastúpenie je takisto zodpovedné za to, aby okrem osôb uvedených v prvom pododseku tohto oddielu I alebo namiesto nich odpovedala na všetky žiadosti príslušných správnych alebo s</w:t>
      </w:r>
      <w:r>
        <w:t xml:space="preserve">údnych orgánov týkajúce sa dodržiavania tohto zákona. </w:t>
      </w:r>
    </w:p>
    <w:p w14:paraId="5A08C8A8" w14:textId="77777777" w:rsidR="00BB5F5A" w:rsidRDefault="00CB2DD3">
      <w:pPr>
        <w:ind w:left="-15"/>
      </w:pPr>
      <w:r>
        <w:t xml:space="preserve">„ Osoby uvedené v prvom pododseku poskytnú takto určenej osobe potrebné právomoci a dostatočné zdroje na zabezpečenie účinnej spolupráce s príslušnými orgánmi na účely dodržiavania tohto zákona. </w:t>
      </w:r>
    </w:p>
    <w:p w14:paraId="1E06B431" w14:textId="77777777" w:rsidR="00BB5F5A" w:rsidRDefault="00CB2DD3">
      <w:pPr>
        <w:ind w:left="-15"/>
      </w:pPr>
      <w:r>
        <w:lastRenderedPageBreak/>
        <w:t xml:space="preserve">„ </w:t>
      </w:r>
      <w:r>
        <w:t xml:space="preserve">Osoby uvedené v prvom pododseku na požiadanie oznámia príslušným správnym orgánom meno, poštovú adresu, e-mailovú adresu a telefónne číslo osoby určenej podľa uvedeného prvého pododseku. </w:t>
      </w:r>
    </w:p>
    <w:p w14:paraId="023B8981" w14:textId="77777777" w:rsidR="00BB5F5A" w:rsidRDefault="00CB2DD3">
      <w:pPr>
        <w:ind w:firstLine="0"/>
      </w:pPr>
      <w:r>
        <w:t xml:space="preserve">„Toto určenie nepredstavuje prevádzkareň v Európskej únii.  </w:t>
      </w:r>
    </w:p>
    <w:p w14:paraId="4116DB33" w14:textId="77777777" w:rsidR="00BB5F5A" w:rsidRDefault="00CB2DD3">
      <w:pPr>
        <w:ind w:left="-15"/>
      </w:pPr>
      <w:r>
        <w:t>„ II. –</w:t>
      </w:r>
      <w:r>
        <w:t> Osoba vykonávajúca činnosť vymedzenú v článku 1, ktorá má sídlo mimo Európskej únie, Švajčiarskej konfederácie alebo Európskeho hospodárskeho priestoru, je povinná uzavrieť poistenie občianskoprávnej zodpovednosti proti finančným dôsledkom jej hmotnej zod</w:t>
      </w:r>
      <w:r>
        <w:t xml:space="preserve">povednosti pri výkone povolania u poisťovateľa so sídlom v Európskej únii, ak je táto činnosť zameraná na osoby so sídlom na území Francúzska. „III. –Postupy vykonávania tohto článku sú stanovené dekrétom prijatým po porade so Štátnou radou.“ </w:t>
      </w:r>
    </w:p>
    <w:p w14:paraId="24E41C5B" w14:textId="77777777" w:rsidR="00BB5F5A" w:rsidRDefault="00CB2DD3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Článok 2 </w:t>
      </w:r>
    </w:p>
    <w:p w14:paraId="5E209DF5" w14:textId="77777777" w:rsidR="00BB5F5A" w:rsidRDefault="00CB2DD3">
      <w:pPr>
        <w:spacing w:after="76" w:line="216" w:lineRule="auto"/>
        <w:ind w:left="-15" w:right="-15"/>
        <w:jc w:val="left"/>
      </w:pPr>
      <w:r>
        <w:t xml:space="preserve">Za uplatňovanie tohto nariadenia, ktoré bude uverejnené v </w:t>
      </w:r>
      <w:r>
        <w:rPr>
          <w:i/>
        </w:rPr>
        <w:t xml:space="preserve">Úradnom vestníku </w:t>
      </w:r>
      <w:r>
        <w:t xml:space="preserve">Francúzskej republiky, zodpovedá predseda vlády a minister hospodárstva, financií a priemyslu, každý v rozsahu svojich právomocí. </w:t>
      </w:r>
    </w:p>
    <w:p w14:paraId="2458A41C" w14:textId="77777777" w:rsidR="00BB5F5A" w:rsidRDefault="00CB2DD3">
      <w:pPr>
        <w:ind w:firstLine="0"/>
      </w:pPr>
      <w:r>
        <w:t xml:space="preserve">Dňa 6. novembra 2024. </w:t>
      </w:r>
    </w:p>
    <w:p w14:paraId="779C936B" w14:textId="77777777" w:rsidR="00BB5F5A" w:rsidRDefault="00CB2DD3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CB2DD3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Prezident </w:t>
      </w:r>
      <w:r>
        <w:rPr>
          <w:sz w:val="18"/>
        </w:rPr>
        <w:t xml:space="preserve">republiky: </w:t>
      </w:r>
    </w:p>
    <w:p w14:paraId="74F7E8BF" w14:textId="77777777" w:rsidR="00BB5F5A" w:rsidRDefault="00CB2DD3">
      <w:pPr>
        <w:spacing w:after="8" w:line="259" w:lineRule="auto"/>
        <w:ind w:left="0" w:firstLine="0"/>
        <w:jc w:val="left"/>
      </w:pPr>
      <w:r>
        <w:rPr>
          <w:i/>
        </w:rPr>
        <w:t xml:space="preserve">Predseda vlády, </w:t>
      </w:r>
    </w:p>
    <w:p w14:paraId="65A8D155" w14:textId="77777777" w:rsidR="00BB5F5A" w:rsidRDefault="00CB2DD3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CB2DD3">
      <w:pPr>
        <w:spacing w:after="54" w:line="216" w:lineRule="auto"/>
        <w:ind w:left="7307" w:firstLine="0"/>
        <w:jc w:val="center"/>
      </w:pPr>
      <w:r>
        <w:rPr>
          <w:i/>
        </w:rPr>
        <w:t xml:space="preserve">Minister hospodárstva, financií a priemyslu, </w:t>
      </w:r>
    </w:p>
    <w:p w14:paraId="276AC3A6" w14:textId="23F96FBD" w:rsidR="00BB5F5A" w:rsidRDefault="00CB2DD3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E0CF" w14:textId="77777777" w:rsidR="00CB2DD3" w:rsidRDefault="00CB2DD3">
      <w:pPr>
        <w:spacing w:after="0" w:line="240" w:lineRule="auto"/>
      </w:pPr>
      <w:r>
        <w:separator/>
      </w:r>
    </w:p>
  </w:endnote>
  <w:endnote w:type="continuationSeparator" w:id="0">
    <w:p w14:paraId="026499DF" w14:textId="77777777" w:rsidR="00CB2DD3" w:rsidRDefault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BEE0" w14:textId="77777777" w:rsidR="00CB2DD3" w:rsidRDefault="00CB2DD3">
      <w:pPr>
        <w:spacing w:after="0" w:line="240" w:lineRule="auto"/>
      </w:pPr>
      <w:r>
        <w:separator/>
      </w:r>
    </w:p>
  </w:footnote>
  <w:footnote w:type="continuationSeparator" w:id="0">
    <w:p w14:paraId="315FE3B2" w14:textId="77777777" w:rsidR="00CB2DD3" w:rsidRDefault="00CB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CB2DD3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novembra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ÚRADNÝ VESTNÍK FRANCÚZSKEJ REPUBLIKY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Text 18 zo 120 </w:t>
    </w:r>
  </w:p>
  <w:p w14:paraId="7D2344F0" w14:textId="77777777" w:rsidR="00BB5F5A" w:rsidRDefault="00CB2DD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CB2DD3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novembra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ÚRADNÝ VESTNÍK FRANCÚZSKEJ REPUBLIKY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Text 18 zo 120 </w:t>
    </w:r>
  </w:p>
  <w:p w14:paraId="03F43403" w14:textId="77777777" w:rsidR="00BB5F5A" w:rsidRDefault="00CB2DD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CB2DD3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novembra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ÚRADNÝ VESTNÍK FRANCÚZSKEJ REPUBLIKY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Text 18 zo 120 </w:t>
    </w:r>
  </w:p>
  <w:p w14:paraId="3D44B973" w14:textId="77777777" w:rsidR="00BB5F5A" w:rsidRDefault="00CB2DD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704AD1"/>
    <w:rsid w:val="00AC55CF"/>
    <w:rsid w:val="00BB5F5A"/>
    <w:rsid w:val="00C256E0"/>
    <w:rsid w:val="00CB2DD3"/>
    <w:rsid w:val="00D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11912</Characters>
  <Application>Microsoft Office Word</Application>
  <DocSecurity>0</DocSecurity>
  <Lines>174</Lines>
  <Paragraphs>76</Paragraphs>
  <ScaleCrop>false</ScaleCrop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2024-12-17T14:57:00Z</dcterms:created>
  <dcterms:modified xsi:type="dcterms:W3CDTF">2024-12-17T14:57:00Z</dcterms:modified>
</cp:coreProperties>
</file>