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Popis zabranjenih tvari u duhanskim proizvodima i elektroničkim cigaretama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Sljedeći popis sadržava primjere tvari ili kategorija tvari koje su trenutačno obuhvaćene zakonskim zabranama austrijskog Zakona o duhanu i zaštiti nepušača (TNRSG), ali ne predstavlja iscrpan popis.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Zabranjeni sastojci u elektroničkim cigaretama i spremnicima za ponovno punjenje koji sadrže nikotin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Kategorije tvari, uključujući pravnu osnovu za zabranu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Primjeri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Vitamini ili drugi aditivi koji stvaraju dojam da duhanski proizvod koristi zdravlju ili je manje opasan za zdravlje;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(članak 10.b stavak 7. točka 3. u vezi s člankom 8.b stavkom 2. točkom 1. TNRSG-a)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Vitamini uvršteni u „popis Unije” predviđen u Prilogu Uredbi (EU) br. 609/2013, kako je izmijenjena, u skladu s njezinim člankom 15.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Aminokiseline i njihovi derivati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Analgetici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biljke konoplje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Kanabinoidi (prirodnog ili sintetičkog podrijetla)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 i tvari slične hormonima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 i fosfolipidi s antioksidativnim učincima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Ostalo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klorid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hidroksid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citrat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tartarat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 metionin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L-5-hidroksitriptofan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hidroklorid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L-tartarat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Natrijev selenit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 ili taurin ili drugi aditivi i stimulansi koji se povezuju s energijom i vitalnošću (članak 10.b stavak 7. točka 3. u vezi s člankom 8.b stavkom 2. točkom 2. TNRSG-a)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kave</w:t>
            </w:r>
            <w:r>
              <w:rPr>
                <w:rStyle w:val="a"/>
                <w:color w:val="000000"/>
                <w:sz w:val="14"/>
              </w:rPr>
              <w:t xml:space="preserve"> i </w:t>
            </w:r>
            <w:r>
              <w:rPr>
                <w:rStyle w:val="a"/>
                <w:color w:val="000000"/>
                <w:sz w:val="14"/>
                <w:b/>
              </w:rPr>
              <w:t xml:space="preserve">zrna kave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čajevca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guarana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biljke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2.5.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stabla kole</w:t>
            </w:r>
            <w:r>
              <w:rPr>
                <w:rStyle w:val="a"/>
                <w:color w:val="000000"/>
                <w:sz w:val="14"/>
              </w:rPr>
              <w:t xml:space="preserve"> ili </w:t>
            </w:r>
            <w:r>
              <w:rPr>
                <w:rStyle w:val="a"/>
                <w:color w:val="000000"/>
                <w:sz w:val="14"/>
                <w:b/>
              </w:rPr>
              <w:t xml:space="preserve">kola-oraha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Šećer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Glukoza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Fruktoza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Galaktoza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Saharoza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Laktoza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Maltoza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2.7.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Ostalo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Aditivi koji imaju bojiva svojstva za emisije.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(članak 10.b stavak 7. točka 3. u vezi s člankom 8.b stavkom 2. točkom 3. TNRSG-a)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Zabranjeni sastojci u elektroničkim cigaretama i spremnicima za ponovno punjenje koji sadrže nikotin i koji ne sadrže nikotin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Kategorije tvari, uključujući pravnu osnovu za zabranu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Primjeri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Daljnje obrazloženje zabrane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Aditivi koji imaju CMR svojstva u nezapaljenom stanju.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(članak 10.b stavak 7. točka 3. u vezi s člankom 8.b stavkom 2. točkom 5. TNRSG-a;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Članak 10.b stavak 7. točka 5. TNRSG-a)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razvrstane u skladu s dijelom 3. Priloga VI. Uredbi (EZ) br. 1272/2008 Europskog parlamenta i Vijeća od 16. prosinca 2008. o razvrstavanju, označivanju i pakiranju tvari i smjesa, o izmjeni i stavljanju izvan snage Direktive 67/548/EEZ i Direktive 1999/45/EZ i o izmjeni Uredbe (EZ) br. 1907/2006 (SL L 353, 31.12.2006., str. 1.), kako je zadnje izmijenjena Uredbom (EU) 2016/1179 (SL L 195, 20.7.2016., str. 11.) kao </w:t>
            </w:r>
            <w:r>
              <w:rPr>
                <w:rStyle w:val="a"/>
                <w:color w:val="000000"/>
                <w:b/>
              </w:rPr>
              <w:t xml:space="preserve">karcinogene tvari, tvari mutagenog učinka na zametne stanice ili reproduktivne toksičnosti 1.A, 1.B ili 2 ili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klasificirane prema popisu klasifikacija Međunarodne agencije za istraživanje raka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s obzirom na karcinogenog učinke na ljude u </w:t>
            </w:r>
            <w:r>
              <w:rPr>
                <w:rStyle w:val="a"/>
                <w:color w:val="000000"/>
                <w:b/>
              </w:rPr>
              <w:t xml:space="preserve">skupine 1., 2.A ili 2.B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koje su u Nacionalnom toksikološkom programu Sjedinjenih Američkih Država razvrstane kao tvari za koje je „poznato” ili „razumno očekivano” da su karcinogene za ljude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koje, prema </w:t>
            </w:r>
            <w:r>
              <w:rPr>
                <w:rStyle w:val="a"/>
                <w:color w:val="000000"/>
                <w:b/>
              </w:rPr>
              <w:t xml:space="preserve">Popisu vrijednosti MAK-a i NRT-a</w:t>
            </w:r>
            <w:r>
              <w:rPr>
                <w:rStyle w:val="a"/>
                <w:color w:val="000000"/>
              </w:rPr>
              <w:t xml:space="preserve"> (koji je objavila udruga Deutsche Forschungsgemeinschaft (DFG)), Povjerenstvo za MAK klasificiralo je kao karcinogene u kategorijama 1., 2., 4. ili 5., kao teratogene u kategorijama A, B ili C te kao mutagene na zametne stanice u kategorijama 1., 2., 3.A ili 3.B.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koje je Europska agencija za sigurnost hrane (EFSA) klasificirala kao karcinogene tvari, tvari mutagenog učinka na zametne stanice ili reproduktivne toksičnosti.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1.1.-1.5.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Primjeri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Krizen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Titanov dioksid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 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Tvari koje utječu na reproduktivni sustav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 (para-hidroksibenzojeva kiselina, propil ester)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Određeni parabeni pokazuju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reprotoksične učinke.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(Znanstveni odbor za sigurnost potrošača) (2021.).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Mišljenje o propilparabenu (CAS br. 94-13-3, EC br. 202-307-7), preliminarna verzija od 27. i 28. listopada 2020., konačna verzija od 30. i 31. ožujka 2021.,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(Europska agencija za sigurnost hrane) (2004.).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Mišljenje Znanstvenog odbora za prehrambene aditive, arome, pomoćne tvari u procesu proizvodnje i materijale koji dolaze u dodir s hranom (AFC) u vezi s parahidroksibenzoatima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 u publikaciji EFSA-e: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Natrijev propilparaben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Kalijev propilparaben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Natrijev 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Kalijev 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Natrijev izobutilparaben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Ulje biljke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Sadrži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Stablo biljke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Listovi biljke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Kora biljke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Sastojci (osim nikotina u tekućinama koje sadrže nikotin) koji predstavljaju rizik za zdravlje ljudi u zagrijanom ili negrijanom obliku.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(članak 10.b stavak 7. točka 5. TNRSG-a)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koje imaju CMR svojstva u nezapaljenom stanju.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(vidjeti točku 1.)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razvrstane u skladu s dijelom 3. Priloga VI. Uredbi (EZ) br. 1272/2008 Europskog parlamenta i Vijeća od 16. prosinca 2008. o razvrstavanju, označivanju i pakiranju tvari i smjesa, o izmjeni i stavljanju izvan snage Direktive 67/548/EEZ i Direktive 1999/45/EZ i o izmjeni Uredbe (EZ) br. 1907/2006 (SL L 353, 31.12.2006., str. 1.), kako je zadnje izmijenjena Uredbom (EU) 2016/1179 (SL L 195, 20.7.2016., str. 11.) kao </w:t>
            </w:r>
            <w:r>
              <w:rPr>
                <w:rStyle w:val="a"/>
                <w:color w:val="000000"/>
                <w:b/>
              </w:rPr>
              <w:t xml:space="preserve">tvari koje uzrokuju preosjetljivost dišnih putova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navedene u dijelu A </w:t>
            </w:r>
            <w:r>
              <w:rPr>
                <w:rStyle w:val="a"/>
                <w:color w:val="000000"/>
                <w:b/>
              </w:rPr>
              <w:t xml:space="preserve">Priloga III. </w:t>
            </w:r>
            <w:r>
              <w:rPr>
                <w:rStyle w:val="a"/>
                <w:color w:val="000000"/>
              </w:rPr>
              <w:t xml:space="preserve">Uredbi (EZ) br. 1334/2008 Europskog parlamenta i Vijeća od 16. prosinca 2008. o </w:t>
            </w:r>
            <w:r>
              <w:rPr>
                <w:rStyle w:val="a"/>
                <w:color w:val="000000"/>
                <w:b/>
              </w:rPr>
              <w:t xml:space="preserve">aromama</w:t>
            </w:r>
            <w:r>
              <w:rPr>
                <w:rStyle w:val="a"/>
                <w:color w:val="000000"/>
              </w:rPr>
              <w:t xml:space="preserve">i nekim sastojcima hrane s osobinama aroma za upotrebu u i na hrani i njihova ažuriranja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Agaricinska kiselina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1,2-benzopiron, kumarin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Beta-azaron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1-alil-4-metoksibenzen,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Cijanovodična kiselina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4-alil-1,2-dimetoksibenzen, metil 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Kvasin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1-alil-3,4-metilendioksibenzen,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Teukrin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 (alfa i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Tvari koje, prema </w:t>
            </w:r>
            <w:r>
              <w:rPr>
                <w:rStyle w:val="a"/>
                <w:color w:val="000000"/>
                <w:b/>
              </w:rPr>
              <w:t xml:space="preserve">Popisu vrijednosti MAK-a i NRT-a </w:t>
            </w:r>
            <w:r>
              <w:rPr>
                <w:rStyle w:val="a"/>
                <w:color w:val="000000"/>
              </w:rPr>
              <w:t xml:space="preserve">(koji objavljuje udruga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(DFG), Povjerenstvo MAK razvrstava kao </w:t>
            </w:r>
            <w:r>
              <w:rPr>
                <w:rStyle w:val="a"/>
                <w:color w:val="000000"/>
                <w:b/>
              </w:rPr>
              <w:t xml:space="preserve">značajne alergene</w:t>
            </w:r>
            <w:r>
              <w:rPr>
                <w:rStyle w:val="a"/>
                <w:color w:val="000000"/>
              </w:rPr>
              <w:t xml:space="preserve"> („Sa”, „Sah”).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2.5.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Prerađeni sastavni dijelovi, ekstrakti i ulja dobiveni od-</w:t>
            </w:r>
            <w:r>
              <w:rPr>
                <w:rStyle w:val="a"/>
                <w:color w:val="000000"/>
                <w:b/>
              </w:rPr>
              <w:t xml:space="preserve">mirisne metvice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Minirsna metvica sadrži pulegon, koji je hepatotoksična tvar.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Europska agencija za sigurnost hrane (2008.).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 i mentofuran u aromama – mišljenje Znanstvenog odbora za prehrambene aditive, arome, pomoćne tvari u procesu proizvodnje i materijale koji dolaze u dodir s hranom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i Khojasteh S. Cyrus (2015.).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12.-20.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Masne/uljne tvari kao što su zasićene ili nezasićene slobodne masne kiseline i njihovi derivati;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alkani, alkeni i alkini s lancem ugljika duljine od 12 ili više atoma ugljika;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monogliceridi, digliceridi i trigliceridi;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voskovi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(trigliceridi srednjeg lanca)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Inhalacija ili aspiracija lipida (masnih/uljnih tvari) smatra se glavnim uzrokom razvoja egzogene lipidne pneumonije (kronične pneumonije).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Egzogena lipidna pneumonija može biti potaknuta mineralnim uljima, kao i uljnim/masnim tvarima životinjskog i biljnog podrijetla.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Budući da se znanstvena objašnjenja uvijek odnose na ulja i masti ili masne tvari općenito, masna/uljna narav, a ne specifičan sastav tvari, trebala bi biti odlučujuća za štetan učinak na zdravlje (Hadda i Khilnani 2010., M. Schwaiblmair et al. 2010., Nguyen i Oh 2013.).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i Khilnani Gopi C. (2010.).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799.-807.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i Oh Scott S (2013.).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2010.;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27.-31.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453.-458.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Kolofonij, smola ili smolne kiseline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Abijetinska kiselina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Pare smole razvrstane su kao tvari koje izazivaju preosjetljivost dišnih putova i kao mogući okidači astme.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Pimarinska kiselina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Izopimarinska kiselina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Palustrinska kiselina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Levopimarinska kiselina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Vitamin-E-acetat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Vitamin-E-acetat usko je povezan s izbijanjem EVALI-ja 2019. godine (ozljeda pluća povezana s uporabom e-cigareta ili e-pušenjem) u Sjedinjenim Američkim Državama.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697.-705.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 i određeni strukturni analozi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Diacetil i 2,3-pentadion mogu uzrokovati teške upale i bolesti dišnog sustava nakon udisanja.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Kao mjera opreza, preporučuje se proširenje zabrane na strukturne analoge 2,3-heksadion i 2,3-heptadion.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(2015.) ‘Diacetyl [Dokumentacija o vrijednostima MAK-a na njemačkom jeziku, 2015.].’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[Dokumentacija o vrijednostima MAK-a na njemačkom jezik, 2017.].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(German Federal Institute for Risk Assessment) (2015.).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Zdravstvena promjena aditiva za duhanske proizvode i elektroničke cigarete.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(na njemačkom jeziku: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‘Gesundheitliche Bewertung von Zusatzstoffen für Tabakerzeugnisse und elektronische Zigaretten.’)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BfR Opinion no. 045/2015 of 30 July 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2,3-heksadion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2.10.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Ulje gorkog badema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Ulje gorkog badema može prirodno sadržavati cijanovodičnu kiselinu.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Cijanovodična kiselina snažan je otrov koji može paralizirati središnji dišni sustav.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Commission (2001.).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Hydrogen cyanide, potassium and sodium cyanide [Dokumentacija o vrijednostima MAK-a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na njemačkom jeziku, 2001.].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1.-19.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Zabranjeni sastojci u duhanskim proizvodima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Kategorije tvari, uključujući pravnu osnovu za zabranu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Primjeri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Daljnje obrazloženje zabrane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Vitamini ili drugi aditivi koji stvaraju dojam da duhanski proizvod koristi zdravlju ili je manje opasan za zdravlje;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(članak 8.b stavak 2. točka 1. TNRSG-a)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Vitamini uvršteni u „popis Unije” predviđen u Prilogu Uredbi (EU) br. 609/2013, kako je izmijenjena, u skladu s njezinim člankom 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Aminokiseline i njihovi derivati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Analgetici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konoplje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Kanabinoidi (prirodnog ili sintetičkog podrijetla)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 i tvari slične hormonima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 i fosfolipidi s antioksidativnim učincima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Ostalo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hidroksid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citrat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 tartarat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 metionin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L-5-hidroksitriptofan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hidroklorid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L-tartarat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Natrijev selenit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 ili taurin ili drugi aditivi i stimulansi koji se povezuju s energijom i vitalnošću (članak 8.b stavak 2. točka 2. TNRSG-a)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kave</w:t>
            </w:r>
            <w:r>
              <w:rPr>
                <w:rStyle w:val="a"/>
                <w:color w:val="000000"/>
                <w:sz w:val="14"/>
              </w:rPr>
              <w:t xml:space="preserve"> i </w:t>
            </w:r>
            <w:r>
              <w:rPr>
                <w:rStyle w:val="a"/>
                <w:color w:val="000000"/>
                <w:sz w:val="14"/>
                <w:b/>
              </w:rPr>
              <w:t xml:space="preserve">zrna kave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čajevca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biljke guarana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biljke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</w:t>
            </w:r>
            <w:r>
              <w:rPr>
                <w:rStyle w:val="a"/>
                <w:color w:val="000000"/>
                <w:sz w:val="14"/>
                <w:b/>
              </w:rPr>
              <w:t xml:space="preserve">stabla kole</w:t>
            </w:r>
            <w:r>
              <w:rPr>
                <w:rStyle w:val="a"/>
                <w:color w:val="000000"/>
                <w:sz w:val="14"/>
              </w:rPr>
              <w:t xml:space="preserve"> ili </w:t>
            </w:r>
            <w:r>
              <w:rPr>
                <w:rStyle w:val="a"/>
                <w:color w:val="000000"/>
                <w:sz w:val="14"/>
                <w:b/>
              </w:rPr>
              <w:t xml:space="preserve">kola-oraha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2.6.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Ostalo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Aditivi koji imaju bojiva svojstva za emisije.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(članak 8.b stavak 2. točka 3. TNRSG-a)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Aditivi koji olakšavaju udisanje ili unos nikotina za duhanske proizvode (članak 8.b stavak 2. točka 4. TNRSG-a)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i analozi, agonisti TRPM-8, „spojevi s učinkom hlađenja”, „sintetički spojevi s učinkom hlađenja”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p-mentan-3-zamjenski i modificirani spojevi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Sve tvari ili smjese s učinkom hlađenja ili analgetičkim učinkom smatraju se tvarima koje olakšavaju udisanje.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Upućivanje: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Datum: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prosinca 2020.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Ref. br. dokumenta: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p-mentan-3-karboksamid, uključujući p-mentan-3-N-alkilkarboksamid i p-mentan-3-N-arilkarboksamid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p-mentan-3-karboksilne kiseline i njihovi esteri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Ostali p-mentan-3-supstituirani i modificirani spojevi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 alkoholi i njihovi esteri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Primjeri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N-etil-p-mentan-3-karboksamid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2-izopropil-5-metil-cikloheksankarboksilna kiselina (4-metoksifenil) 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(1R,2S,5R)-N-((etoksikarbonil)metil)-p-mentan-3-karboksamid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N-tert-butil-p-mentan-3-karboksamid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2-izopropil-N,2,3-trimetilbutiramid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N-(p-mentan-3-karbonil)-D-alanin etil ester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N-(4-fluorofenil)-p-mentan-3-karboksamid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N-(4-etoksifenil)-p-mentan-3-karboksamid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 laktat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Mentoksipropan-1,2-diol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2-izopropil-5-metilcikloheksankarboksilna kiselina 2,3-dihidroksi-propilni 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 1,2-glicerol 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Monomentil sukcinat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Mentil-3-hidroksibutirat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 acetat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etilen glikol karbonat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2,3-dihidroksipropil p-mentan-3-karboksilat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Cooling Agent AG-3-5 (3,4-Dihidro-3-(2-hidroksifenil)-6-(3-nitrofenil)-(1H)-pirimidin-2-on)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 2,3-trimetilbutiramid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1-(di-sek-butil-fosfinoil)-heptan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(–)-mentol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Linalool: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(eukaliptol)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Hidroksicitronelal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Sastavni dijelovi, uključujući prerađene sastavne dijelove, ekstrakte i ulja biljaka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Eukaliptus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Timijan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4.3.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Nikotinske soli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benzoat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Nikotinske soli mogu se brže apsorbirati u tijelo ako se udišu i uzrokuju manje iritacije od nikotina u slobodnom obliku.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Upućivanja: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853.-861.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1127.-1139.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(2021.).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ditartrat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laktat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levulinat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malat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salicilat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Aditivi koji imaju CMR svojstva u nezapaljenom stanju.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(članak 10.b stavak 7. točka 3. u vezi s člankom 8.b stavkom 2. točkom 5. TNRSG-a)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Tvari razvrstane u skladu s dijelom 3. Priloga VI. Uredbi (EZ) br. 1272/2008 Europskog parlamenta i Vijeća od 16. prosinca 2008. o razvrstavanju, označivanju i pakiranju tvari i smjesa, o izmjeni i stavljanju izvan snage Direktive 67/548/EEZ i Direktive 1999/45/EZ i o izmjeni Uredbe (EZ) br. 1907/2006 (SL L 353, 31.12.2006., str. 1.), kako je zadnje izmijenjena Uredbom (EU) 2016/1179 (SL L 195, 20.7.2016., str. 11.) kao </w:t>
            </w:r>
            <w:r>
              <w:rPr>
                <w:rStyle w:val="a"/>
                <w:color w:val="000000"/>
                <w:sz w:val="12"/>
                <w:b/>
              </w:rPr>
              <w:t xml:space="preserve">karcinogene tvari, tvari mutagenog učinka na zametne stanice ili reproduktivne toksičnosti 1.A, 1.B ili 2 ili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Tvari klasificirane prema popisu klasifikacija Međunarodne agencije za istraživanje raka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s obzirom na karcinogenog učinke na ljude u </w:t>
            </w:r>
            <w:r>
              <w:rPr>
                <w:rStyle w:val="a"/>
                <w:color w:val="000000"/>
                <w:sz w:val="12"/>
                <w:b/>
              </w:rPr>
              <w:t xml:space="preserve">skupine 1., 2.A ili 2.B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Tvari koje su u Nacionalnom toksikološkom programu Sjedinjenih Američkih Država razvrstane kao tvari za koje je „poznato” ili „razumno očekivano” da su karcinogene za ljude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Tvari koje, prema </w:t>
            </w:r>
            <w:r>
              <w:rPr>
                <w:rStyle w:val="a"/>
                <w:color w:val="000000"/>
                <w:sz w:val="12"/>
                <w:b/>
              </w:rPr>
              <w:t xml:space="preserve">Popisu vrijednosti MAK-a i NRT-a</w:t>
            </w:r>
            <w:r>
              <w:rPr>
                <w:rStyle w:val="a"/>
                <w:color w:val="000000"/>
                <w:sz w:val="12"/>
              </w:rPr>
              <w:t xml:space="preserve"> (koji je objavila udruga Deutsche Forschungsgemeinschaft (DFG)), Povjerenstvo za MAK klasificiralo je kao karcinogene u kategorijama 1., 2., 4. ili 5., kao teratogene u kategorijama A, B ili C te kao mutagene na zametne stanice u kategorijama 1., 2., 3.A ili 3.B.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5.5.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Tvari koje je Europska agencija za sigurnost hrane (EFSA) klasificirala kao karcinogene tvari, tvari mutagenog učinka na zametne stanice ili reproduktivne toksičnosti.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Primjeri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Krizen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Titanov dioksid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 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Tvari koje utječu na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Reproduktivni sustav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(para-hidroksibenzojeva kiselina, propil ester)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Određeni parabeni pokazuju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reprotoksične učinke.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Upućivanja: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(Znanstveni odbor za sigurnost potrošača) (2021.).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Mišljenje o propilparabenu (CAS br. 94-13-3, EC br. 202-307-7), preliminarna verzija od 27. i 28. listopada 2020., konačna verzija od 30. i 31. ožujka 2021.,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(Europska agencija za sigurnost hrane) (2004.).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DOI u publikaciji EFSA-e: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Natrijev propilparaben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Kalijev propilparaben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Natrijev 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Kalijev 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Natrijev izobutilparaben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5.7.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Ulje biljke Sasafras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Sadrži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Stablo biljke Sasafras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Listovi biljke Sasafras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Kora biljke Sasafras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Stranica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od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Stranica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od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Završna verzija prema Savjetodavnom odboru za sastojke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Završna verzija prema Savjetodavnom odboru za sastojke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