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9A513" w14:textId="77777777" w:rsidR="00255EB4" w:rsidRPr="00555190" w:rsidRDefault="00000000">
      <w:pPr>
        <w:pStyle w:val="10"/>
        <w:keepNext/>
        <w:keepLines/>
        <w:rPr>
          <w:rStyle w:val="1"/>
          <w:b/>
          <w:bCs/>
        </w:rPr>
      </w:pPr>
      <w:bookmarkStart w:id="0" w:name="bookmark0"/>
      <w:r>
        <w:rPr>
          <w:rStyle w:val="1"/>
          <w:b/>
        </w:rPr>
        <w:t xml:space="preserve">Förteckning över förbjudna ämnen i tobaksprodukter och e-cigarettvätskor</w:t>
      </w:r>
      <w:bookmarkEnd w:id="0"/>
    </w:p>
    <w:p w14:paraId="6E242289" w14:textId="77777777" w:rsidR="00555190" w:rsidRPr="00555190" w:rsidRDefault="00555190">
      <w:pPr>
        <w:pStyle w:val="10"/>
        <w:keepNext/>
        <w:keepLines/>
        <w:rPr>
          <w:lang w:val="de-DE"/>
        </w:rPr>
      </w:pPr>
    </w:p>
    <w:p w14:paraId="2FAEA8FD" w14:textId="77777777" w:rsidR="00255EB4" w:rsidRDefault="00000000">
      <w:pPr>
        <w:pStyle w:val="22"/>
        <w:keepNext/>
        <w:keepLines/>
        <w:rPr>
          <w:rStyle w:val="21"/>
        </w:rPr>
      </w:pPr>
      <w:bookmarkStart w:id="1" w:name="bookmark2"/>
      <w:r>
        <w:rPr>
          <w:rStyle w:val="21"/>
        </w:rPr>
        <w:t xml:space="preserve">Följande förteckning representerar, som exempel, de ämnen eller kategorier av ämnen som för närvarande omfattas av de lagstadgade förbuden i den österrikiska lagen om tobak och icke-rökares skydd (TNRSG), men utgör inte en uttömmande förteckning.</w:t>
      </w:r>
      <w:bookmarkEnd w:id="1"/>
    </w:p>
    <w:p w14:paraId="4612E29B" w14:textId="77777777" w:rsidR="00025909" w:rsidRPr="00025909" w:rsidRDefault="00025909" w:rsidP="00025909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de-DE"/>
        </w:rPr>
      </w:pPr>
    </w:p>
    <w:tbl>
      <w:tblPr>
        <w:tblOverlap w:val="never"/>
        <w:tblW w:w="90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4349"/>
        <w:gridCol w:w="1325"/>
        <w:gridCol w:w="2914"/>
      </w:tblGrid>
      <w:tr w:rsidR="00255EB4" w:rsidRPr="00025909" w14:paraId="3CD95767" w14:textId="77777777" w:rsidTr="008A46F5">
        <w:trPr>
          <w:trHeight w:val="341"/>
          <w:jc w:val="center"/>
        </w:trPr>
        <w:tc>
          <w:tcPr>
            <w:tcW w:w="9068" w:type="dxa"/>
            <w:gridSpan w:val="4"/>
            <w:vMerge w:val="restart"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5A95B8A4" w14:textId="77777777" w:rsidR="00255EB4" w:rsidRPr="00555190" w:rsidRDefault="00000000">
            <w:pPr>
              <w:pStyle w:val="a0"/>
              <w:shd w:val="clear" w:color="auto" w:fill="000000"/>
              <w:rPr>
                <w:sz w:val="17"/>
                <w:szCs w:val="17"/>
                <w:u w:val="single"/>
              </w:rPr>
            </w:pPr>
            <w:r>
              <w:rPr>
                <w:rStyle w:val="a"/>
                <w:b/>
                <w:color w:val="FFFFFF"/>
                <w:sz w:val="17"/>
                <w:u w:val="single"/>
              </w:rPr>
              <w:t xml:space="preserve">Förbjudna ingredienser i nikotinhaltiga elektroniska cigaretter och påfyllningsbehållare</w:t>
            </w:r>
          </w:p>
        </w:tc>
      </w:tr>
      <w:tr w:rsidR="00255EB4" w:rsidRPr="00025909" w14:paraId="488452A5" w14:textId="77777777" w:rsidTr="008A46F5">
        <w:trPr>
          <w:trHeight w:val="276"/>
          <w:jc w:val="center"/>
        </w:trPr>
        <w:tc>
          <w:tcPr>
            <w:tcW w:w="9068" w:type="dxa"/>
            <w:gridSpan w:val="4"/>
            <w:vMerge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78FACC8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95AF07F" w14:textId="77777777" w:rsidTr="008A46F5">
        <w:trPr>
          <w:trHeight w:val="637"/>
          <w:jc w:val="center"/>
        </w:trPr>
        <w:tc>
          <w:tcPr>
            <w:tcW w:w="6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635F6F" w14:textId="77777777" w:rsidR="00255EB4" w:rsidRPr="00555190" w:rsidRDefault="0000000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Ämneskategorier inklusive rättslig grund för förbudet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50D07B" w14:textId="77777777" w:rsidR="00255EB4" w:rsidRPr="00555190" w:rsidRDefault="0000000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Exempel</w:t>
            </w:r>
          </w:p>
        </w:tc>
      </w:tr>
      <w:tr w:rsidR="00555190" w:rsidRPr="00555190" w14:paraId="3BF2671A" w14:textId="77777777" w:rsidTr="008A46F5">
        <w:trPr>
          <w:trHeight w:val="48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60C934F7" w14:textId="77777777" w:rsidR="00555190" w:rsidRPr="00555190" w:rsidRDefault="0055519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1.</w:t>
            </w:r>
          </w:p>
        </w:tc>
        <w:tc>
          <w:tcPr>
            <w:tcW w:w="8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201D919" w14:textId="77777777" w:rsidR="00555190" w:rsidRPr="00555190" w:rsidRDefault="00555190" w:rsidP="00025909">
            <w:pPr>
              <w:pStyle w:val="a0"/>
              <w:shd w:val="clear" w:color="auto" w:fill="808080"/>
              <w:spacing w:line="276" w:lineRule="auto"/>
              <w:ind w:right="122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Vitaminer eller andra tillsatser som ger intryck av att en tobaksvara har en hälsofördel eller medför minskade hälsorisker.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(10b.7 § stycke 3 jämförd med 8b.2 § stycke 1 i TNRSG)</w:t>
            </w:r>
          </w:p>
        </w:tc>
      </w:tr>
      <w:tr w:rsidR="00255EB4" w:rsidRPr="00025909" w14:paraId="23F39027" w14:textId="77777777" w:rsidTr="008A46F5">
        <w:trPr>
          <w:trHeight w:val="57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75184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1.1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8F2AF8" w14:textId="3914FF0D" w:rsidR="00255EB4" w:rsidRPr="00555190" w:rsidRDefault="00000000">
            <w:pPr>
              <w:pStyle w:val="a0"/>
              <w:spacing w:line="266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Vitaminer som är förtecknade i bilagan till ”unionsförteckningen” till förordning (EU) 609/2013, i dess ändrade lydelse, i enlighet med artikel 15 i den förordningen.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022C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163DB83" w14:textId="77777777" w:rsidTr="00025909">
        <w:trPr>
          <w:trHeight w:val="1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EDE9E1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1.2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32420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Aminosyror och deras derivat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361C69A7" w14:textId="77777777" w:rsidR="00255EB4" w:rsidRPr="00025909" w:rsidRDefault="00255EB4">
            <w:pPr>
              <w:rPr>
                <w:sz w:val="10"/>
                <w:szCs w:val="1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DF45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64625F0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E9210E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1.3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A6089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Smärtstillande medel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5CA3DE3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0FCF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2E83DBA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A5295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1.4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C3F949" w14:textId="756B8688" w:rsidR="00255EB4" w:rsidRPr="00555190" w:rsidRDefault="00000000" w:rsidP="00025909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Komponenter, inbegripet bearbetade komponenter, extrakt och oljor av</w:t>
            </w:r>
            <w:r>
              <w:rPr>
                <w:rStyle w:val="a"/>
                <w:color w:val="000000"/>
                <w:sz w:val="14"/>
              </w:rPr>
              <w:br/>
            </w:r>
            <w:r>
              <w:rPr>
                <w:rStyle w:val="a"/>
                <w:color w:val="000000"/>
                <w:sz w:val="14"/>
                <w:b/>
              </w:rPr>
              <w:t xml:space="preserve">hampväxt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F1A7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B65AC3E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94B5E6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1.5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1334A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Cannabinoider (av naturligt eller syntetiskt ursprung)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51D7234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0973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Cannabidiol</w:t>
            </w:r>
          </w:p>
        </w:tc>
      </w:tr>
      <w:tr w:rsidR="00255EB4" w:rsidRPr="00555190" w14:paraId="3D81C78D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68D6DC9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0AB998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D25EAB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98C8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THC</w:t>
            </w:r>
          </w:p>
        </w:tc>
      </w:tr>
      <w:tr w:rsidR="00255EB4" w:rsidRPr="00555190" w14:paraId="4F33E36F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6D14D42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68DB01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4A88D3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F29C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HHC</w:t>
            </w:r>
          </w:p>
        </w:tc>
      </w:tr>
      <w:tr w:rsidR="00255EB4" w:rsidRPr="00555190" w14:paraId="7C6B4C0F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A8EF1F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1.6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EA2AE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Hormoner och hormonliknande ämnen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457D24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7E07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Melatonin</w:t>
            </w:r>
          </w:p>
        </w:tc>
      </w:tr>
      <w:tr w:rsidR="00255EB4" w:rsidRPr="00555190" w14:paraId="3ADC0615" w14:textId="77777777" w:rsidTr="00025909">
        <w:trPr>
          <w:trHeight w:val="1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51CE04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1.7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593EF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Flavonoider och fosfolipider med antioxidativa effekter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16D0E5C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B62D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Naringin</w:t>
            </w:r>
          </w:p>
        </w:tc>
      </w:tr>
      <w:tr w:rsidR="00255EB4" w:rsidRPr="00555190" w14:paraId="360B245D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23902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1.8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B1D25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Övriga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2ADF8B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E1E3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Kolin</w:t>
            </w:r>
          </w:p>
        </w:tc>
      </w:tr>
      <w:tr w:rsidR="00255EB4" w:rsidRPr="00555190" w14:paraId="4C066982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647ED694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70FAE0F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394CDC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71CB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Kolinklorid</w:t>
            </w:r>
          </w:p>
        </w:tc>
      </w:tr>
      <w:tr w:rsidR="00255EB4" w:rsidRPr="00555190" w14:paraId="41E73744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D0A7AD1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06166E8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59C142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D07F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Kolinhydroxid</w:t>
            </w:r>
          </w:p>
        </w:tc>
      </w:tr>
      <w:tr w:rsidR="00255EB4" w:rsidRPr="00555190" w14:paraId="6667DB19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E400FE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AAE255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5DA9AE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62B4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Kolincitrat</w:t>
            </w:r>
          </w:p>
        </w:tc>
      </w:tr>
      <w:tr w:rsidR="00255EB4" w:rsidRPr="00555190" w14:paraId="6360CB27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94D3BC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62FB182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5D9BE3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268F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Kolintartrat</w:t>
            </w:r>
          </w:p>
        </w:tc>
      </w:tr>
      <w:tr w:rsidR="00255EB4" w:rsidRPr="00555190" w14:paraId="4B299CE5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35E7CB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2AE2973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1D0486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5E04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Betain</w:t>
            </w:r>
          </w:p>
        </w:tc>
      </w:tr>
      <w:tr w:rsidR="00255EB4" w:rsidRPr="00555190" w14:paraId="1EDB4CD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674D14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A8CC98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61C709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8F2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S-adenosylmetionin</w:t>
            </w:r>
          </w:p>
        </w:tc>
      </w:tr>
      <w:tr w:rsidR="00255EB4" w:rsidRPr="00555190" w14:paraId="07139321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E1EC79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DDCBC2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782A45F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BA207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L-5-hydroxitryptofan</w:t>
            </w:r>
          </w:p>
        </w:tc>
      </w:tr>
      <w:tr w:rsidR="00255EB4" w:rsidRPr="00555190" w14:paraId="3F432C3E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5000F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E5B1DD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489553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FA9D6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Karnitin</w:t>
            </w:r>
          </w:p>
        </w:tc>
      </w:tr>
      <w:tr w:rsidR="00255EB4" w:rsidRPr="00555190" w14:paraId="4E643952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0F05148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0F135E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0AD442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D056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L-karnitin</w:t>
            </w:r>
          </w:p>
        </w:tc>
      </w:tr>
      <w:tr w:rsidR="00255EB4" w:rsidRPr="00555190" w14:paraId="3A3390DD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75F7EBE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432128E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A2BCE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4A2B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L-karnitinhydroklorid</w:t>
            </w:r>
          </w:p>
        </w:tc>
      </w:tr>
      <w:tr w:rsidR="00255EB4" w:rsidRPr="00555190" w14:paraId="5C2B662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6749393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7F24BF0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FC17DC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24C0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L-karnitin L-tartrat</w:t>
            </w:r>
          </w:p>
        </w:tc>
      </w:tr>
      <w:tr w:rsidR="00255EB4" w:rsidRPr="00555190" w14:paraId="14A8C8BE" w14:textId="77777777" w:rsidTr="00025909">
        <w:trPr>
          <w:trHeight w:val="19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07FA0C2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EB214C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0D40ED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AA50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Natriumselenit</w:t>
            </w:r>
          </w:p>
        </w:tc>
      </w:tr>
      <w:tr w:rsidR="00255EB4" w:rsidRPr="00555190" w14:paraId="02CD6420" w14:textId="77777777" w:rsidTr="008A46F5">
        <w:trPr>
          <w:trHeight w:val="216"/>
          <w:jc w:val="center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A29EF66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2.</w:t>
            </w:r>
          </w:p>
        </w:tc>
        <w:tc>
          <w:tcPr>
            <w:tcW w:w="85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5D1F5BF" w14:textId="77777777" w:rsidR="00255EB4" w:rsidRPr="00555190" w:rsidRDefault="00000000" w:rsidP="00555190">
            <w:pPr>
              <w:pStyle w:val="a0"/>
              <w:shd w:val="clear" w:color="auto" w:fill="808080"/>
              <w:spacing w:line="266" w:lineRule="auto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Koffein eller taurin eller andra tillsatser och stimulerande föreningar som är förknippade med energi och vitalitet (10b.7 § stycke 3 jämförd med 8b.2 § stycke 2 i TNRSG)</w:t>
            </w:r>
          </w:p>
        </w:tc>
      </w:tr>
      <w:tr w:rsidR="00255EB4" w:rsidRPr="00555190" w14:paraId="148B99EC" w14:textId="77777777" w:rsidTr="008A46F5">
        <w:trPr>
          <w:trHeight w:val="276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1C86DAE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858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14:paraId="7C8850A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5427E0B0" w14:textId="77777777" w:rsidTr="008A46F5">
        <w:trPr>
          <w:trHeight w:val="38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9CB87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2.1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EFD898" w14:textId="3152EC03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Komponenter, inbegripet bearbetade komponenter, extrakter och oljor, av </w:t>
            </w:r>
            <w:r>
              <w:rPr>
                <w:rStyle w:val="a"/>
                <w:color w:val="000000"/>
                <w:sz w:val="14"/>
                <w:b/>
              </w:rPr>
              <w:t xml:space="preserve">kaffeplanta</w:t>
            </w:r>
            <w:r>
              <w:rPr>
                <w:rStyle w:val="a"/>
                <w:color w:val="000000"/>
                <w:sz w:val="14"/>
              </w:rPr>
              <w:t xml:space="preserve"> och </w:t>
            </w:r>
            <w:r>
              <w:rPr>
                <w:rStyle w:val="a"/>
                <w:color w:val="000000"/>
                <w:sz w:val="14"/>
                <w:b/>
              </w:rPr>
              <w:t xml:space="preserve">kaffebönor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51C3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A842609" w14:textId="77777777" w:rsidTr="00025909">
        <w:trPr>
          <w:trHeight w:val="3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3AC1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2.2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4C9968" w14:textId="77777777" w:rsidR="00255EB4" w:rsidRPr="00555190" w:rsidRDefault="00000000">
            <w:pPr>
              <w:pStyle w:val="a0"/>
              <w:spacing w:line="276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Komponenter, inbegripet bearbetade komponenter, extrakt och oljor av </w:t>
            </w:r>
            <w:r>
              <w:rPr>
                <w:rStyle w:val="a"/>
                <w:color w:val="000000"/>
                <w:sz w:val="14"/>
                <w:b/>
              </w:rPr>
              <w:t xml:space="preserve">teplanta</w:t>
            </w:r>
            <w:r>
              <w:rPr>
                <w:rStyle w:val="a"/>
                <w:color w:val="000000"/>
                <w:sz w:val="14"/>
              </w:rPr>
              <w:t xml:space="preserve"> Camellia sinensis (L.) Kuntze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6227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2F0EAC28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4111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2.3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753292" w14:textId="6AA7F20B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Komponenter, inbegripet bearbetade komponenter, extrakter och oljor, av </w:t>
            </w:r>
            <w:r>
              <w:rPr>
                <w:rStyle w:val="a"/>
                <w:color w:val="000000"/>
                <w:sz w:val="14"/>
                <w:b/>
              </w:rPr>
              <w:t xml:space="preserve">guaranaväxt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1DC5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0BC0A09D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F36F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2.4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16C954" w14:textId="60872044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Komponenter, inbegripet bearbetade komponenter, extrakt och oljor av </w:t>
            </w:r>
            <w:r>
              <w:rPr>
                <w:rStyle w:val="a"/>
                <w:color w:val="000000"/>
                <w:sz w:val="14"/>
                <w:b/>
              </w:rPr>
              <w:t xml:space="preserve">yerba mate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649F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311D3E98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DE61A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2.5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1AA06B" w14:textId="4BF9398E" w:rsidR="00255EB4" w:rsidRPr="00555190" w:rsidRDefault="00000000" w:rsidP="00025909">
            <w:pPr>
              <w:pStyle w:val="a0"/>
              <w:ind w:right="194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Komponenter, inbegripet bearbetade komponenter, extrakt och oljor av </w:t>
            </w:r>
            <w:r>
              <w:rPr>
                <w:rStyle w:val="a"/>
                <w:color w:val="000000"/>
                <w:sz w:val="14"/>
                <w:b/>
              </w:rPr>
              <w:t xml:space="preserve">kolaträd </w:t>
            </w:r>
            <w:r>
              <w:rPr>
                <w:rStyle w:val="a"/>
                <w:color w:val="000000"/>
                <w:sz w:val="14"/>
              </w:rPr>
              <w:t xml:space="preserve">eller </w:t>
            </w:r>
            <w:r>
              <w:rPr>
                <w:rStyle w:val="a"/>
                <w:color w:val="000000"/>
                <w:sz w:val="14"/>
                <w:b/>
              </w:rPr>
              <w:t xml:space="preserve">kolanöt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FB4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5EFDCBA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7189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2.6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77751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Socker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2CD37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93FC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Glukos</w:t>
            </w:r>
          </w:p>
        </w:tc>
      </w:tr>
      <w:tr w:rsidR="00255EB4" w:rsidRPr="00555190" w14:paraId="522D273F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DF3B0F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28D82AE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7F2A47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CBDE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Fruktos</w:t>
            </w:r>
          </w:p>
        </w:tc>
      </w:tr>
      <w:tr w:rsidR="00255EB4" w:rsidRPr="00555190" w14:paraId="0A4CA069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94772C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50C2E4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F58A47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A9CC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Galaktos</w:t>
            </w:r>
          </w:p>
        </w:tc>
      </w:tr>
      <w:tr w:rsidR="00255EB4" w:rsidRPr="00555190" w14:paraId="4FF3854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8B29F3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7927D8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9E6BCF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C6B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Sackaros</w:t>
            </w:r>
          </w:p>
        </w:tc>
      </w:tr>
      <w:tr w:rsidR="00255EB4" w:rsidRPr="00555190" w14:paraId="55E0D791" w14:textId="77777777" w:rsidTr="00025909">
        <w:trPr>
          <w:trHeight w:val="235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4C4C0BD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C6E3EC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4C6AF05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3459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Laktos</w:t>
            </w:r>
          </w:p>
        </w:tc>
      </w:tr>
      <w:tr w:rsidR="00255EB4" w:rsidRPr="00555190" w14:paraId="4670B5B6" w14:textId="77777777" w:rsidTr="00025909">
        <w:trPr>
          <w:trHeight w:val="230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DBAB43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6EA1447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BCCDEA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585F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Maltos</w:t>
            </w:r>
          </w:p>
        </w:tc>
      </w:tr>
      <w:tr w:rsidR="00255EB4" w:rsidRPr="00555190" w14:paraId="3F4299F3" w14:textId="77777777" w:rsidTr="00025909">
        <w:trPr>
          <w:trHeight w:val="2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7D950" w14:textId="77777777" w:rsidR="00255EB4" w:rsidRPr="00555190" w:rsidRDefault="00000000" w:rsidP="00025909">
            <w:pPr>
              <w:pStyle w:val="a0"/>
              <w:ind w:hanging="13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2.7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</w:tcPr>
          <w:p w14:paraId="7B58B5D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Övriga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1545DD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B13C7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Maltodextrin</w:t>
            </w:r>
          </w:p>
        </w:tc>
      </w:tr>
      <w:tr w:rsidR="00255EB4" w:rsidRPr="00555190" w14:paraId="3180EBF8" w14:textId="77777777" w:rsidTr="008A46F5">
        <w:trPr>
          <w:trHeight w:val="202"/>
          <w:jc w:val="center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18E5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tcBorders>
              <w:bottom w:val="single" w:sz="4" w:space="0" w:color="auto"/>
            </w:tcBorders>
            <w:shd w:val="clear" w:color="auto" w:fill="auto"/>
          </w:tcPr>
          <w:p w14:paraId="4B1FD0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</w:tcPr>
          <w:p w14:paraId="1E932DB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AA0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Inositol</w:t>
            </w:r>
          </w:p>
        </w:tc>
      </w:tr>
      <w:tr w:rsidR="00255EB4" w:rsidRPr="00025909" w14:paraId="50E5AC69" w14:textId="77777777" w:rsidTr="008A46F5">
        <w:trPr>
          <w:trHeight w:val="278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39E9549F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3.</w:t>
            </w:r>
          </w:p>
        </w:tc>
        <w:tc>
          <w:tcPr>
            <w:tcW w:w="85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7603532" w14:textId="77777777" w:rsidR="00255EB4" w:rsidRPr="00025909" w:rsidRDefault="00000000" w:rsidP="00025909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Tillsatser med färgande egenskaper för utsläpp.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(10b.7 § stycke 3 jämförd med 8b.2 § stycke 3 i TNRSG)</w:t>
            </w:r>
          </w:p>
        </w:tc>
      </w:tr>
      <w:tr w:rsidR="00255EB4" w:rsidRPr="00025909" w14:paraId="483A2523" w14:textId="77777777" w:rsidTr="008A46F5">
        <w:trPr>
          <w:trHeight w:val="276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16140B8B" w14:textId="77777777" w:rsidR="00255EB4" w:rsidRPr="00025909" w:rsidRDefault="00255EB4">
            <w:pPr>
              <w:rPr>
                <w:lang w:val="pl-PL"/>
              </w:rPr>
            </w:pPr>
          </w:p>
        </w:tc>
        <w:tc>
          <w:tcPr>
            <w:tcW w:w="858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A0B8D58" w14:textId="77777777" w:rsidR="00255EB4" w:rsidRPr="00025909" w:rsidRDefault="00255EB4">
            <w:pPr>
              <w:rPr>
                <w:lang w:val="pl-PL"/>
              </w:rPr>
            </w:pPr>
          </w:p>
        </w:tc>
      </w:tr>
    </w:tbl>
    <w:p w14:paraId="1416E786" w14:textId="77777777" w:rsidR="00555190" w:rsidRPr="00025909" w:rsidRDefault="00555190">
      <w:pPr>
        <w:pStyle w:val="22"/>
        <w:keepNext/>
        <w:keepLines/>
        <w:spacing w:line="240" w:lineRule="auto"/>
        <w:rPr>
          <w:rStyle w:val="21"/>
          <w:b/>
          <w:bCs/>
          <w:lang w:val="pl-PL"/>
        </w:rPr>
      </w:pPr>
    </w:p>
    <w:p w14:paraId="5BCA3059" w14:textId="77777777" w:rsidR="00555190" w:rsidRPr="00025909" w:rsidRDefault="00555190">
      <w:pPr>
        <w:pStyle w:val="22"/>
        <w:keepNext/>
        <w:keepLines/>
        <w:spacing w:line="240" w:lineRule="auto"/>
        <w:rPr>
          <w:rStyle w:val="21"/>
          <w:b/>
          <w:bCs/>
          <w:lang w:val="pl-PL"/>
        </w:rPr>
      </w:pPr>
    </w:p>
    <w:p w14:paraId="5D6B07B2" w14:textId="77777777" w:rsidR="00555190" w:rsidRPr="00025909" w:rsidRDefault="00555190">
      <w:pPr>
        <w:pStyle w:val="22"/>
        <w:keepNext/>
        <w:keepLines/>
        <w:spacing w:line="240" w:lineRule="auto"/>
        <w:rPr>
          <w:lang w:val="pl-PL"/>
        </w:rPr>
        <w:sectPr w:rsidR="00555190" w:rsidRPr="00025909" w:rsidSect="00555190">
          <w:headerReference w:type="default" r:id="rId6"/>
          <w:footerReference w:type="default" r:id="rId7"/>
          <w:footerReference w:type="first" r:id="rId8"/>
          <w:pgSz w:w="11906" w:h="16838" w:code="9"/>
          <w:pgMar w:top="1418" w:right="1750" w:bottom="1276" w:left="1495" w:header="680" w:footer="680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4765"/>
        <w:gridCol w:w="11"/>
        <w:gridCol w:w="2630"/>
        <w:gridCol w:w="19"/>
        <w:gridCol w:w="4037"/>
      </w:tblGrid>
      <w:tr w:rsidR="00255EB4" w:rsidRPr="00025909" w14:paraId="715BDC71" w14:textId="77777777" w:rsidTr="001652C2">
        <w:trPr>
          <w:trHeight w:val="475"/>
        </w:trPr>
        <w:tc>
          <w:tcPr>
            <w:tcW w:w="14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E13316C" w14:textId="77777777" w:rsidR="00255EB4" w:rsidRPr="00555190" w:rsidRDefault="00000000">
            <w:pPr>
              <w:pStyle w:val="a0"/>
              <w:shd w:val="clear" w:color="auto" w:fill="000000"/>
              <w:rPr>
                <w:sz w:val="16"/>
                <w:szCs w:val="16"/>
                <w:u w:val="single"/>
              </w:rPr>
            </w:pPr>
            <w:r>
              <w:rPr>
                <w:rStyle w:val="a"/>
                <w:b/>
                <w:color w:val="FFFFFF"/>
                <w:sz w:val="16"/>
                <w:u w:val="single"/>
              </w:rPr>
              <w:t xml:space="preserve">Förbjudna ingredienser i nikotinhaltiga och nikotinfria elektroniska cigaretter och påfyllningsbehållare</w:t>
            </w:r>
          </w:p>
        </w:tc>
      </w:tr>
      <w:tr w:rsidR="00555190" w:rsidRPr="00025909" w14:paraId="5889D192" w14:textId="77777777" w:rsidTr="001652C2">
        <w:trPr>
          <w:trHeight w:val="216"/>
        </w:trPr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49DC8E4" w14:textId="60B325B4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  <w:sz w:val="15"/>
              </w:rPr>
              <w:t xml:space="preserve">Ämneskategorier inklusive rättslig grund för förbudet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430B954" w14:textId="05115B39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  <w:sz w:val="15"/>
              </w:rPr>
              <w:t xml:space="preserve">Exempel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C24BD94" w14:textId="05E53CB4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</w:rPr>
              <w:t xml:space="preserve">Ytterligare motivering av förbudet</w:t>
            </w:r>
          </w:p>
        </w:tc>
      </w:tr>
      <w:tr w:rsidR="00255EB4" w:rsidRPr="00025909" w14:paraId="4D441EB4" w14:textId="77777777" w:rsidTr="001652C2">
        <w:trPr>
          <w:trHeight w:val="235"/>
        </w:trPr>
        <w:tc>
          <w:tcPr>
            <w:tcW w:w="140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F6A54CE" w14:textId="77777777" w:rsidR="00255EB4" w:rsidRPr="00025909" w:rsidRDefault="00000000" w:rsidP="00555190">
            <w:pPr>
              <w:pStyle w:val="a0"/>
              <w:shd w:val="clear" w:color="auto" w:fill="808080"/>
              <w:tabs>
                <w:tab w:val="left" w:pos="356"/>
              </w:tabs>
              <w:rPr>
                <w:u w:val="single"/>
              </w:rPr>
            </w:pPr>
            <w:r>
              <w:rPr>
                <w:rStyle w:val="a"/>
                <w:b/>
                <w:color w:val="FFFFFF"/>
                <w:u w:val="single"/>
              </w:rPr>
              <w:t xml:space="preserve">1.</w:t>
            </w:r>
            <w:r>
              <w:rPr>
                <w:rStyle w:val="a"/>
                <w:b/>
                <w:color w:val="FFFFFF"/>
              </w:rPr>
              <w:tab/>
            </w:r>
            <w:r>
              <w:rPr>
                <w:rStyle w:val="a"/>
                <w:b/>
                <w:color w:val="FFFFFF"/>
                <w:u w:val="single"/>
              </w:rPr>
              <w:t xml:space="preserve">Tillsatser som har CMR-egenskaper i oförbränd form.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(10b.7 § stycke 3 jämförd med 8b.2 § stycke 5 i TNRSG;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10b.7 § stycke 5 i TNRSG</w:t>
            </w:r>
          </w:p>
        </w:tc>
      </w:tr>
      <w:tr w:rsidR="00255EB4" w:rsidRPr="00025909" w14:paraId="39417571" w14:textId="77777777" w:rsidTr="001652C2">
        <w:trPr>
          <w:trHeight w:val="276"/>
        </w:trPr>
        <w:tc>
          <w:tcPr>
            <w:tcW w:w="140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95ABE40" w14:textId="77777777" w:rsidR="00255EB4" w:rsidRPr="00025909" w:rsidRDefault="00255EB4">
            <w:pPr>
              <w:rPr>
                <w:lang w:val="pl-PL"/>
              </w:rPr>
            </w:pPr>
          </w:p>
        </w:tc>
      </w:tr>
      <w:tr w:rsidR="00255EB4" w:rsidRPr="00025909" w14:paraId="3A3E4782" w14:textId="77777777">
        <w:trPr>
          <w:trHeight w:val="1243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341E0" w14:textId="0FD44A06" w:rsidR="00255EB4" w:rsidRPr="00555190" w:rsidRDefault="00000000">
            <w:pPr>
              <w:pStyle w:val="a0"/>
              <w:spacing w:line="262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1.1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Ämnen som klassificerats i enlighet med del 3 i bilaga VI till Europaparlamentets och rådets förordning (EG) 1272/2008 av den 16 december 2008 om klassificering, märkning och förpackning av ämnen och blandningar, ändring och upphävande av direktiven 67/548/EEG och 1999/45/EG samt ändring av förordning (EG) 1907/2006 (EUT L 353, 31.12.2006, s. 1), senast ändrad genom förordning (EU) 2016/1179 (EUT L 195, 20.7.2016, s. 11) som </w:t>
            </w:r>
            <w:r>
              <w:rPr>
                <w:rStyle w:val="a"/>
                <w:color w:val="000000"/>
                <w:b/>
              </w:rPr>
              <w:t xml:space="preserve">CMR-ämnen i kategori 1A, 1B, 2 eller Lact.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2EF5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4A29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1F71827" w14:textId="77777777">
        <w:trPr>
          <w:trHeight w:val="542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A191A" w14:textId="003C86AB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1.2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Ämnen klassificerade enligt den förteckning över klassificeringar som upprättats av Internationella centret för cancerforskning (</w:t>
            </w:r>
            <w:r>
              <w:rPr>
                <w:rStyle w:val="a"/>
                <w:color w:val="000000"/>
                <w:b/>
              </w:rPr>
              <w:t xml:space="preserve">IARC</w:t>
            </w:r>
            <w:r>
              <w:rPr>
                <w:rStyle w:val="a"/>
                <w:color w:val="000000"/>
              </w:rPr>
              <w:t xml:space="preserve">) med avseende på cancerframkallande effekter hos människor i </w:t>
            </w:r>
            <w:r>
              <w:rPr>
                <w:rStyle w:val="a"/>
                <w:color w:val="000000"/>
                <w:b/>
              </w:rPr>
              <w:t xml:space="preserve">Grupp 1, 2A eller 2B</w:t>
            </w:r>
            <w:r>
              <w:rPr>
                <w:rStyle w:val="a"/>
                <w:color w:val="000000"/>
              </w:rPr>
              <w:t xml:space="preserve"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1A9D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ECF6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03B599A" w14:textId="77777777">
        <w:trPr>
          <w:trHeight w:val="509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66E6E" w14:textId="2D06F622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1.3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Ämnen som klassificeras som antingen "kända" eller "rimligen förväntade" att vara cancerframkallande för människor av Förenta staternas nationella toxikologiprogram (NTP)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A738C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9A9F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3D0015D4" w14:textId="77777777">
        <w:trPr>
          <w:trHeight w:val="816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2FC57" w14:textId="043BCA65" w:rsidR="00255EB4" w:rsidRPr="00555190" w:rsidRDefault="00000000" w:rsidP="00025909">
            <w:pPr>
              <w:pStyle w:val="a0"/>
              <w:tabs>
                <w:tab w:val="left" w:pos="356"/>
              </w:tabs>
              <w:spacing w:line="262" w:lineRule="auto"/>
              <w:ind w:left="416" w:right="302" w:hanging="416"/>
            </w:pPr>
            <w:r>
              <w:rPr>
                <w:rStyle w:val="a"/>
                <w:color w:val="000000"/>
              </w:rPr>
              <w:t xml:space="preserve">1.4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Ämnen som enligt </w:t>
            </w:r>
            <w:r>
              <w:rPr>
                <w:rStyle w:val="a"/>
                <w:color w:val="000000"/>
                <w:b/>
              </w:rPr>
              <w:t xml:space="preserve">Förteckning över MAK- och BAT-värden</w:t>
            </w:r>
            <w:r>
              <w:rPr>
                <w:rStyle w:val="a"/>
                <w:color w:val="000000"/>
              </w:rPr>
              <w:t xml:space="preserve"> (publicerad av Deutsche Forschungsgemeinschaft (DFG)) har av MAK-kommissionen klassificerats som cancerframkallande i kategorierna 1, 2, 4 eller 5, att ha teratogena effekter i kategorierna A, B eller C och att ha könscellsmutagena effekter i kategorierna 1, 2, 3A eller 3B.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74B8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A580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35E0D7C3" w14:textId="77777777">
        <w:trPr>
          <w:trHeight w:val="341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524792" w14:textId="3D1E6889" w:rsidR="00255EB4" w:rsidRPr="00555190" w:rsidRDefault="00000000">
            <w:pPr>
              <w:pStyle w:val="a0"/>
              <w:spacing w:line="257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1.5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Ämnen som klassificeras som cancerframkallande, mutagena eller reproduktionstoxiska av Europeiska myndigheten för livsmedelssäkerhet (EFSA).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098E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6F98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9329273" w14:textId="77777777">
        <w:trPr>
          <w:trHeight w:val="182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C2348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1.1 - 1.5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Exempel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4D21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Isoforon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D848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A8916AE" w14:textId="77777777">
        <w:trPr>
          <w:trHeight w:val="197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292A5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49CF9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Pyridin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D2C4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01F6F92" w14:textId="77777777">
        <w:trPr>
          <w:trHeight w:val="149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37FE8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2C81C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Myrcen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B3EA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F7B187B" w14:textId="77777777">
        <w:trPr>
          <w:trHeight w:val="211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082B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700FB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Chrysene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7B4A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56289B8" w14:textId="77777777">
        <w:trPr>
          <w:trHeight w:val="149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66F30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867DA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Bens(a)antracen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E6FC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D8CBBFB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4A37A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6CDE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Bens(b)fluoranten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5D9A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98DD16C" w14:textId="77777777">
        <w:trPr>
          <w:trHeight w:val="16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1468E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0800F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Titandioxid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8CD6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B6C10FA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A7FB9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6CBF0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Metyleugenol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864B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3AF3645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D41A8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A0FA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Safrol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80B8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7C4A8DE" w14:textId="77777777">
        <w:trPr>
          <w:trHeight w:val="168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C1FB9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DC9EF3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Estragol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AAFB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65F087D" w14:textId="77777777">
        <w:trPr>
          <w:trHeight w:val="40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F4A3A" w14:textId="77777777" w:rsidR="00255EB4" w:rsidRPr="00555190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</w:rPr>
              <w:t xml:space="preserve">1.6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Ämnen med effekter på reproduktionssystemet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F7D6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Parabener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A5BDD" w14:textId="77777777" w:rsidR="00255EB4" w:rsidRPr="00555190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</w:rPr>
              <w:t xml:space="preserve">Propylparaben (parahydroxibensoesyrapropylester)</w:t>
            </w:r>
          </w:p>
        </w:tc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314C2" w14:textId="77777777" w:rsidR="00255EB4" w:rsidRPr="00555190" w:rsidRDefault="00000000">
            <w:pPr>
              <w:pStyle w:val="a0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Vissa parabener visar reproduktionstoxiska effekter </w:t>
            </w:r>
            <w:r>
              <w:rPr>
                <w:rStyle w:val="a"/>
                <w:color w:val="000000"/>
                <w:i/>
              </w:rPr>
              <w:t xml:space="preserve">in vivo</w:t>
            </w:r>
            <w:r>
              <w:rPr>
                <w:rStyle w:val="a"/>
                <w:color w:val="000000"/>
              </w:rPr>
              <w:t xml:space="preserve">.</w:t>
            </w:r>
          </w:p>
          <w:p w14:paraId="4C754D05" w14:textId="77777777" w:rsidR="00555190" w:rsidRPr="00555190" w:rsidRDefault="00555190">
            <w:pPr>
              <w:pStyle w:val="a0"/>
              <w:rPr>
                <w:lang w:val="de-DE"/>
              </w:rPr>
            </w:pPr>
          </w:p>
          <w:p w14:paraId="7B8050C2" w14:textId="77777777" w:rsidR="00255EB4" w:rsidRPr="00025909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Referenser:</w:t>
            </w:r>
          </w:p>
          <w:p w14:paraId="04A70D1A" w14:textId="77777777" w:rsidR="00255EB4" w:rsidRPr="00025909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SCCS (Vetenskapliga kommittén för konsumentsäkerhet) (2021).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Yttrande om propylparaben (CAS-nr 94-13-3, EG-nr 202-307-7), preliminär version av den 27–28 oktober 2020, slutlig version av den 30–31 mars 2021, SCCS/1623/20</w:t>
            </w:r>
          </w:p>
          <w:p w14:paraId="17AE6435" w14:textId="77777777" w:rsidR="00255EB4" w:rsidRPr="00025909" w:rsidRDefault="00255EB4">
            <w:pPr>
              <w:pStyle w:val="a0"/>
              <w:spacing w:line="254" w:lineRule="auto"/>
            </w:pPr>
            <w:hyperlink r:id="rId9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https://health.ec.europa.eu/document/download/7c416df0-2650-4d7a-82f7- 650081bf250c en?filename=sccs o 243.pdf</w:t>
              </w:r>
            </w:hyperlink>
          </w:p>
          <w:p w14:paraId="06E4BE0C" w14:textId="77777777" w:rsidR="00555190" w:rsidRPr="00025909" w:rsidRDefault="00555190">
            <w:pPr>
              <w:pStyle w:val="a0"/>
              <w:spacing w:line="254" w:lineRule="auto"/>
              <w:rPr>
                <w:sz w:val="11"/>
                <w:szCs w:val="11"/>
                <w:lang w:val="es-ES"/>
              </w:rPr>
            </w:pPr>
          </w:p>
          <w:p w14:paraId="1846FCDA" w14:textId="77777777" w:rsidR="00255EB4" w:rsidRPr="00555190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EFSA (Europeiska myndigheten för livsmedelssäkerhet) (2004).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Yttrande från den vetenskapliga panelen för livsmedelstillsatser, aromämnen, processhjälpmedel och material i kontakt med livsmedel avseende parahydroxibensoater (E 214–219).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EFSA Journal:s digitala objektidentifierare: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0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https://doi.org/10.2903/j.efsa.2004.83</w:t>
              </w:r>
            </w:hyperlink>
          </w:p>
        </w:tc>
      </w:tr>
      <w:tr w:rsidR="00255EB4" w:rsidRPr="00555190" w14:paraId="63758B00" w14:textId="77777777">
        <w:trPr>
          <w:trHeight w:val="211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36D5A6A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D686A6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6E1A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Natriumpropylparaben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BEDF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E4A0FB3" w14:textId="77777777">
        <w:trPr>
          <w:trHeight w:val="182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2F62708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8358E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6BE2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Kaliumpropylparaben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8EFF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5C5840A" w14:textId="77777777">
        <w:trPr>
          <w:trHeight w:val="16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3A49186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38E64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E61B1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Butylparaben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AF6A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8DABE7" w14:textId="77777777">
        <w:trPr>
          <w:trHeight w:val="17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45675AF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919555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EC2A3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Natriumbutylparaben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BAB7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E0DC654" w14:textId="77777777">
        <w:trPr>
          <w:trHeight w:val="149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4408952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5004D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D7757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Kaliumbutylparaben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3292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B75C440" w14:textId="77777777">
        <w:trPr>
          <w:trHeight w:val="17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717E81B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435DC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70EDA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Isobutylparaben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A54D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4F56C1E" w14:textId="77777777" w:rsidTr="00555190">
        <w:trPr>
          <w:trHeight w:val="390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7FF6A6A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6492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4DD6B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Natriumisobutylparaben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2E12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F72EA01" w14:textId="77777777">
        <w:trPr>
          <w:trHeight w:val="173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417C9C" w14:textId="77777777" w:rsidR="00255EB4" w:rsidRPr="00555190" w:rsidRDefault="00000000">
            <w:pPr>
              <w:pStyle w:val="a0"/>
              <w:ind w:firstLine="360"/>
            </w:pPr>
            <w:r>
              <w:rPr>
                <w:rStyle w:val="a"/>
                <w:color w:val="000000"/>
              </w:rPr>
              <w:t xml:space="preserve">1.7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Sassafras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651F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Sassafrasolja</w:t>
            </w:r>
          </w:p>
        </w:tc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3AD7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Innehåller safrol.</w:t>
            </w:r>
          </w:p>
        </w:tc>
      </w:tr>
      <w:tr w:rsidR="00255EB4" w:rsidRPr="00555190" w14:paraId="040032AD" w14:textId="77777777">
        <w:trPr>
          <w:trHeight w:val="16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87E32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234C1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Sassafrasträ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B6CF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6CC182" w14:textId="77777777">
        <w:trPr>
          <w:trHeight w:val="187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A4BC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BFBE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Sassafraslöv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ABF6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B00BF84" w14:textId="77777777">
        <w:trPr>
          <w:trHeight w:val="168"/>
        </w:trPr>
        <w:tc>
          <w:tcPr>
            <w:tcW w:w="74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4866D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D9B3F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Sassafrasbark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9DA0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66C0143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2"/>
        <w:gridCol w:w="2674"/>
        <w:gridCol w:w="4109"/>
      </w:tblGrid>
      <w:tr w:rsidR="00255EB4" w:rsidRPr="00555190" w14:paraId="0D43449C" w14:textId="77777777" w:rsidTr="001652C2">
        <w:trPr>
          <w:trHeight w:val="432"/>
        </w:trPr>
        <w:tc>
          <w:tcPr>
            <w:tcW w:w="1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1D4D6D9" w14:textId="77777777" w:rsidR="00255EB4" w:rsidRPr="00555190" w:rsidRDefault="00000000" w:rsidP="00555190">
            <w:pPr>
              <w:pStyle w:val="a0"/>
              <w:shd w:val="clear" w:color="auto" w:fill="808080"/>
              <w:tabs>
                <w:tab w:val="left" w:pos="384"/>
              </w:tabs>
              <w:rPr>
                <w:u w:val="single"/>
              </w:rPr>
            </w:pPr>
            <w:r>
              <w:rPr>
                <w:rStyle w:val="a"/>
                <w:b/>
                <w:color w:val="FFFFFF"/>
                <w:u w:val="single"/>
              </w:rPr>
              <w:t xml:space="preserve">2.</w:t>
            </w:r>
            <w:r>
              <w:rPr>
                <w:rStyle w:val="a"/>
                <w:b/>
                <w:color w:val="FFFFFF"/>
              </w:rPr>
              <w:tab/>
            </w:r>
            <w:r>
              <w:rPr>
                <w:rStyle w:val="a"/>
                <w:b/>
                <w:color w:val="FFFFFF"/>
                <w:u w:val="single"/>
              </w:rPr>
              <w:t xml:space="preserve">Ingredienser (med undantag för nikotin i nikotinhaltiga vätskor) som utgör en risk för människors hälsa i uppvärmd eller ouppvärmd form.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(10b.7 § stycke 5 i TNRSG)</w:t>
            </w:r>
          </w:p>
        </w:tc>
      </w:tr>
      <w:tr w:rsidR="00255EB4" w:rsidRPr="00555190" w14:paraId="4D0852CB" w14:textId="77777777" w:rsidTr="001652C2">
        <w:trPr>
          <w:trHeight w:val="178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ABDF39" w14:textId="730B0D54" w:rsidR="00255EB4" w:rsidRPr="00555190" w:rsidRDefault="00000000" w:rsidP="00555190">
            <w:pPr>
              <w:pStyle w:val="a0"/>
              <w:tabs>
                <w:tab w:val="left" w:pos="370"/>
              </w:tabs>
            </w:pPr>
            <w:r>
              <w:rPr>
                <w:rStyle w:val="a"/>
                <w:color w:val="000000"/>
              </w:rPr>
              <w:t xml:space="preserve">2.1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Ämnen som har CMR-egenskaper i oförbränd form.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(Se punkt 1)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F83A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A270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6AA75ED6" w14:textId="77777777">
        <w:trPr>
          <w:trHeight w:val="1262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D1D5F" w14:textId="0A0B368C" w:rsidR="00255EB4" w:rsidRPr="00555190" w:rsidRDefault="00000000">
            <w:pPr>
              <w:pStyle w:val="a0"/>
              <w:spacing w:line="266" w:lineRule="auto"/>
              <w:ind w:left="360" w:hanging="360"/>
            </w:pPr>
            <w:r>
              <w:rPr>
                <w:rStyle w:val="a"/>
                <w:color w:val="000000"/>
              </w:rPr>
              <w:t xml:space="preserve">2.2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Ämnen som klassificeras i enlighet med del 3 i bilaga VI till Europaparlamentets och rådets förordning (EG) 1272/2008 av den 16 december 2008 om klassificering, märkning och förpackning av ämnen och blandningar, ändring och upphävande av direktiven 67/548/EEG och 1999/45/EG samt ändring av förordning (EG) 1907/2006 (EUT L 353, 31.12.2006, s. 1), senast ändrad genom förordning (EU) 2016/1179 (EUT L 195, 20.7.2016, s. 11), som </w:t>
            </w:r>
            <w:r>
              <w:rPr>
                <w:rStyle w:val="a"/>
                <w:color w:val="000000"/>
                <w:b/>
              </w:rPr>
              <w:t xml:space="preserve">luftvägssensibiliserande (Resp. Sens.</w:t>
            </w:r>
            <w:r>
              <w:rPr>
                <w:rStyle w:val="a"/>
                <w:color w:val="000000"/>
                <w:b/>
              </w:rPr>
              <w:t xml:space="preserve"> </w:t>
            </w:r>
            <w:r>
              <w:rPr>
                <w:rStyle w:val="a"/>
                <w:color w:val="000000"/>
                <w:b/>
              </w:rPr>
              <w:t xml:space="preserve">1)</w:t>
            </w:r>
            <w:r>
              <w:rPr>
                <w:rStyle w:val="a"/>
                <w:color w:val="000000"/>
              </w:rPr>
              <w:t xml:space="preserve"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3CA75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DA38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CA60890" w14:textId="77777777">
        <w:trPr>
          <w:trHeight w:val="168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E2E0E" w14:textId="183C85AE" w:rsidR="00255EB4" w:rsidRPr="00555190" w:rsidRDefault="00000000" w:rsidP="00025909">
            <w:pPr>
              <w:pStyle w:val="a0"/>
              <w:spacing w:line="269" w:lineRule="auto"/>
              <w:ind w:left="360" w:right="255" w:hanging="360"/>
            </w:pPr>
            <w:r>
              <w:rPr>
                <w:rStyle w:val="a"/>
                <w:color w:val="000000"/>
              </w:rPr>
              <w:t xml:space="preserve">2.3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Ämnen förtecknade i </w:t>
            </w:r>
            <w:r>
              <w:rPr>
                <w:rStyle w:val="a"/>
                <w:color w:val="000000"/>
                <w:b/>
              </w:rPr>
              <w:t xml:space="preserve">bilaga III</w:t>
            </w:r>
            <w:r>
              <w:rPr>
                <w:rStyle w:val="a"/>
                <w:color w:val="000000"/>
              </w:rPr>
              <w:t xml:space="preserve">, del A, i Europaparlamentets och rådets förordning (EG) 1334/2008 av den 16 december 2008 om </w:t>
            </w:r>
            <w:r>
              <w:rPr>
                <w:rStyle w:val="a"/>
                <w:color w:val="000000"/>
                <w:b/>
              </w:rPr>
              <w:t xml:space="preserve">aromämnen </w:t>
            </w:r>
            <w:r>
              <w:rPr>
                <w:rStyle w:val="a"/>
                <w:color w:val="000000"/>
              </w:rPr>
              <w:t xml:space="preserve">och vissa livsmedelsingredienser med aromgivande egenskaper för användning i och på livsmedel och uppdateringar av dessa är förtecknade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69A1A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Agarsyra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B8A5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CAF0825" w14:textId="77777777">
        <w:trPr>
          <w:trHeight w:val="182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A34C8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BCF86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Aloin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20AA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0A8C126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D87A1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D0879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Kapsaicin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D9CE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AF1D2CE" w14:textId="77777777">
        <w:trPr>
          <w:trHeight w:val="16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06C55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CD992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1,2-bensopyron, kumarin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98BB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271D310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31152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06789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Hypericin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C8AB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AB4F0CF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BAE52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5E8E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Beta-asaron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5AB2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AB91FA5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86FAA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4AE77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1-allyl-4-metoxibensen, estragol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F3B7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300C425" w14:textId="77777777">
        <w:trPr>
          <w:trHeight w:val="16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FFC77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9522B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Cyanvätesyra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1763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3292FCC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7180B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635B4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Mentofuran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0794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F1E85C2" w14:textId="77777777">
        <w:trPr>
          <w:trHeight w:val="158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1B75E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863198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4-allyl-1,2-dimetoxibensen, metyleugenol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993F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AC9431F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FE36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74EA4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Pulegon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B9CC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3BC1F2C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20E02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43A3D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Kvassin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2268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8FD0764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049B9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D11FE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1-allyl-3,4-metylendioxibensen, safrol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1E86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1FD7CA2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11509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4E3CDF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Teukrin 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22CC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DC39B3A" w14:textId="77777777">
        <w:trPr>
          <w:trHeight w:val="168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A3034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C0BB7E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Tujon (alfa och beta)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5AA4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51ECC37A" w14:textId="77777777">
        <w:trPr>
          <w:trHeight w:val="629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6C3BA" w14:textId="64E121CD" w:rsidR="00255EB4" w:rsidRPr="00555190" w:rsidRDefault="00000000" w:rsidP="00555190">
            <w:pPr>
              <w:pStyle w:val="a0"/>
              <w:tabs>
                <w:tab w:val="left" w:pos="370"/>
              </w:tabs>
              <w:spacing w:line="264" w:lineRule="auto"/>
            </w:pPr>
            <w:r>
              <w:rPr>
                <w:rStyle w:val="a"/>
                <w:color w:val="000000"/>
              </w:rPr>
              <w:t xml:space="preserve">2.4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Ämnen som enligt </w:t>
            </w:r>
            <w:r>
              <w:rPr>
                <w:rStyle w:val="a"/>
                <w:color w:val="000000"/>
                <w:b/>
              </w:rPr>
              <w:t xml:space="preserve">förteckningen över MAK- och BAT-värden </w:t>
            </w:r>
            <w:r>
              <w:rPr>
                <w:rStyle w:val="a"/>
                <w:color w:val="000000"/>
              </w:rPr>
              <w:t xml:space="preserve">(publicerad av Deutsche</w:t>
            </w:r>
          </w:p>
          <w:p w14:paraId="0E2FB79A" w14:textId="77777777" w:rsidR="00255EB4" w:rsidRPr="00555190" w:rsidRDefault="00000000" w:rsidP="00025909">
            <w:pPr>
              <w:pStyle w:val="a0"/>
              <w:spacing w:line="264" w:lineRule="auto"/>
              <w:ind w:left="370" w:right="397"/>
            </w:pPr>
            <w:r>
              <w:rPr>
                <w:rStyle w:val="a"/>
                <w:color w:val="000000"/>
              </w:rPr>
              <w:t xml:space="preserve">Forschungsgesellschaft (DFG) klassificeras av MAK-kommissionen som </w:t>
            </w:r>
            <w:r>
              <w:rPr>
                <w:rStyle w:val="a"/>
                <w:color w:val="000000"/>
                <w:b/>
              </w:rPr>
              <w:t xml:space="preserve">substantiella allergener</w:t>
            </w:r>
            <w:r>
              <w:rPr>
                <w:rStyle w:val="a"/>
                <w:color w:val="000000"/>
              </w:rPr>
              <w:t xml:space="preserve"> (”Sa”, ”Sah”).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A33A5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188E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3FEC6D3" w14:textId="77777777">
        <w:trPr>
          <w:trHeight w:val="2578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1411D1" w14:textId="54F6F859" w:rsidR="00255EB4" w:rsidRPr="00555190" w:rsidRDefault="00000000" w:rsidP="00555190">
            <w:pPr>
              <w:pStyle w:val="a0"/>
              <w:tabs>
                <w:tab w:val="left" w:pos="384"/>
              </w:tabs>
            </w:pPr>
            <w:r>
              <w:rPr>
                <w:rStyle w:val="a"/>
                <w:color w:val="000000"/>
              </w:rPr>
              <w:t xml:space="preserve">2.5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Bearbetade komponenter, extrakter och oljor som utvunnits ur </w:t>
            </w:r>
            <w:r>
              <w:rPr>
                <w:rStyle w:val="a"/>
                <w:color w:val="000000"/>
                <w:b/>
              </w:rPr>
              <w:t xml:space="preserve">pennyroyal</w:t>
            </w:r>
            <w:r>
              <w:rPr>
                <w:rStyle w:val="a"/>
                <w:color w:val="000000"/>
              </w:rPr>
              <w:t xml:space="preserve">-växten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FC210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8918" w14:textId="77777777" w:rsidR="00255EB4" w:rsidRPr="00555190" w:rsidRDefault="00000000">
            <w:pPr>
              <w:pStyle w:val="a0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Pennyroyal innehåller pulegon, ett hepatotoxiskt ämne.</w:t>
            </w:r>
          </w:p>
          <w:p w14:paraId="69E58F96" w14:textId="77777777" w:rsidR="00555190" w:rsidRPr="00555190" w:rsidRDefault="00555190">
            <w:pPr>
              <w:pStyle w:val="a0"/>
              <w:rPr>
                <w:lang w:val="de-DE"/>
              </w:rPr>
            </w:pPr>
          </w:p>
          <w:p w14:paraId="06174B1E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Referenser:</w:t>
            </w:r>
          </w:p>
          <w:p w14:paraId="46A978DE" w14:textId="77777777" w:rsidR="00255EB4" w:rsidRPr="00025909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  <w:sz w:val="11"/>
              </w:rPr>
              <w:t xml:space="preserve">Europeiska myndigheten för livsmedelssäkerhet (2008).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Pulegon och mentofuran i aromämnen – yttrande från den vetenskapliga panelen för livsmedelstillsatser, aromer, processhjälpmedel och material i kontakt med livsmedel (AFC).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EFSA Journal 6(3):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298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1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https://doi.org/10.2903/j.efsa.2008.298</w:t>
              </w:r>
            </w:hyperlink>
          </w:p>
          <w:p w14:paraId="07C407B5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6DE5443D" w14:textId="77777777" w:rsidR="00555190" w:rsidRPr="00555190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Gordon Perry och Khojasteh S. Cyrus (2015).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En decennier lång undersökning av akut metabolismbaserad hepatotoxicitet av växtbaserade beståndsdelar: En fallstudie av pennyroyalolja.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Drug Metabolism Reviews 47(1):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12-20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</w:p>
          <w:p w14:paraId="6E8EB49D" w14:textId="06686487" w:rsidR="00255EB4" w:rsidRPr="00555190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10.3109/03602532.2014.990032.</w:t>
            </w:r>
          </w:p>
          <w:p w14:paraId="73B3CE50" w14:textId="77777777" w:rsidR="00255EB4" w:rsidRPr="00555190" w:rsidRDefault="00255EB4">
            <w:pPr>
              <w:pStyle w:val="a0"/>
              <w:spacing w:line="257" w:lineRule="auto"/>
              <w:rPr>
                <w:sz w:val="11"/>
                <w:szCs w:val="11"/>
              </w:rPr>
            </w:pPr>
            <w:hyperlink r:id="rId12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https://doi.org/10.3109/03602532.2014.990032</w:t>
              </w:r>
            </w:hyperlink>
          </w:p>
        </w:tc>
      </w:tr>
    </w:tbl>
    <w:p w14:paraId="701E7EE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2"/>
        <w:gridCol w:w="2674"/>
        <w:gridCol w:w="4075"/>
      </w:tblGrid>
      <w:tr w:rsidR="00255EB4" w:rsidRPr="00555190" w14:paraId="77A19341" w14:textId="77777777">
        <w:trPr>
          <w:trHeight w:val="178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F7D749" w14:textId="0F77D704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2.6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Oljiga/feta ämnen såsom mättade eller omättade fria fettsyror och deras derivat;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alkaner, alkener och alkyner med en kolkedjelängd på 12 eller fler;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Mono-, di- och triglycerider.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vaxer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0AE42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MCT (medellånga triglycerider)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FCE29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Inandning eller aspiration av lipider (fetthaltiga/oljiga ämnen) anses vara den centrala orsaken till utvecklingen av exogen lipidpneumoni (kronisk lunginflammation).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Exogen lipidpneumoni kan utlösas av mineraloljor samt av oljiga/feta ämnen av animaliskt och vegetabiliskt ursprung.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Eftersom de vetenskapliga förklaringarna alltid hänvisar till oljor och fetter eller oljiga och feta ämnen i allmänhet, bör den oljiga/fettiga karaktären, snarare än en specifik sammansättning av ämnet, vara avgörande för de negativa hälsoeffekterna (Hadda och Khilnani 2010, M. Schwaiblmair med flera 2010, Nguyen och Oh 2013).</w:t>
            </w:r>
          </w:p>
          <w:p w14:paraId="731C84BB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33F4EFDC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Referenser:</w:t>
            </w:r>
          </w:p>
          <w:p w14:paraId="56A29327" w14:textId="77777777" w:rsidR="00255EB4" w:rsidRPr="00025909" w:rsidRDefault="00000000">
            <w:pPr>
              <w:pStyle w:val="a0"/>
              <w:spacing w:line="262" w:lineRule="auto"/>
            </w:pPr>
            <w:r>
              <w:rPr>
                <w:rStyle w:val="a"/>
                <w:color w:val="000000"/>
                <w:sz w:val="11"/>
              </w:rPr>
              <w:t xml:space="preserve">Hadda Vijay och Khilnani Gopi C. (2010).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Lipoid lunginflammation: en översikt.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Expert Review of Respiratory Medicine 4(6):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799-807</w:t>
            </w:r>
            <w:hyperlink r:id="rId13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 https://doi.org/10.1586/ers.10.74</w:t>
              </w:r>
            </w:hyperlink>
          </w:p>
          <w:p w14:paraId="77568942" w14:textId="77777777" w:rsidR="00555190" w:rsidRPr="00025909" w:rsidRDefault="00555190">
            <w:pPr>
              <w:pStyle w:val="a0"/>
              <w:spacing w:line="262" w:lineRule="auto"/>
              <w:rPr>
                <w:sz w:val="11"/>
                <w:szCs w:val="11"/>
              </w:rPr>
            </w:pPr>
          </w:p>
          <w:p w14:paraId="3E0DE9A7" w14:textId="77777777" w:rsid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Nguyen Christopher D och Oh Scott S (2013).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Ett fall av exogen lipoid lunginflammation.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Andningsvård 58(3): e23-e27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10.4187)respcare.01727.</w:t>
            </w:r>
          </w:p>
          <w:p w14:paraId="35F41CE7" w14:textId="2161BFF5" w:rsidR="00255EB4" w:rsidRPr="00025909" w:rsidRDefault="00255EB4">
            <w:pPr>
              <w:pStyle w:val="a0"/>
              <w:spacing w:line="257" w:lineRule="auto"/>
            </w:pPr>
            <w:hyperlink r:id="rId14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https://rc.rcjournal.com/content/respcare/58/3/e23.full.pdf</w:t>
              </w:r>
            </w:hyperlink>
          </w:p>
          <w:p w14:paraId="21DAE37F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  <w:lang w:val="it-IT"/>
              </w:rPr>
            </w:pPr>
          </w:p>
          <w:p w14:paraId="7105ACAC" w14:textId="77777777" w:rsidR="00255EB4" w:rsidRPr="00555190" w:rsidRDefault="00000000">
            <w:pPr>
              <w:pStyle w:val="a0"/>
              <w:spacing w:line="262" w:lineRule="auto"/>
            </w:pPr>
            <w:r>
              <w:rPr>
                <w:rStyle w:val="a"/>
                <w:color w:val="000000"/>
                <w:sz w:val="11"/>
              </w:rPr>
              <w:t xml:space="preserve">M. Schwaiblmair med flera (2010).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Lipidpneumoni – ett underskattat syndrom?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Deutsche Medizinische Wochenschrift 2010;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135(1/02):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27-31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10.1055/s- 0029-1244813.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5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https://www.thieme-connect.com/products/ejournals/abstract/10.1055/s-0029-1244813</w:t>
              </w:r>
            </w:hyperlink>
          </w:p>
          <w:p w14:paraId="3A027EA0" w14:textId="77777777" w:rsidR="00555190" w:rsidRPr="00555190" w:rsidRDefault="00555190">
            <w:pPr>
              <w:pStyle w:val="a0"/>
              <w:spacing w:line="262" w:lineRule="auto"/>
              <w:rPr>
                <w:sz w:val="11"/>
                <w:szCs w:val="11"/>
                <w:lang w:val="de-DE"/>
              </w:rPr>
            </w:pPr>
          </w:p>
          <w:p w14:paraId="01BE2BC3" w14:textId="77777777" w:rsidR="00255EB4" w:rsidRPr="00555190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Lee Jin Seong med flera (1998).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Skvalenaspirationspneumoni: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Thin-Section CT and Histopathologic Findings1. jkrs 38(3):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453-458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10.3348/jkrs.1998.38.3.453.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6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http://dx.doi.org/10.3348/jkrs.1998.38.3.453</w:t>
              </w:r>
            </w:hyperlink>
          </w:p>
        </w:tc>
      </w:tr>
      <w:tr w:rsidR="00255EB4" w:rsidRPr="00555190" w14:paraId="60353643" w14:textId="77777777">
        <w:trPr>
          <w:trHeight w:val="202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9B266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CABF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Skvalan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DC9D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1C9F074" w14:textId="77777777">
        <w:trPr>
          <w:trHeight w:val="206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6F9D8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FB212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Skvalen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4B3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9A2B464" w14:textId="77777777">
        <w:trPr>
          <w:trHeight w:val="4229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1A73B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5608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53EA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9BE6592" w14:textId="77777777">
        <w:trPr>
          <w:trHeight w:val="173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F1AB3" w14:textId="1D7B83D3" w:rsidR="00255EB4" w:rsidRPr="00555190" w:rsidRDefault="00000000" w:rsidP="00555190">
            <w:pPr>
              <w:pStyle w:val="a0"/>
              <w:tabs>
                <w:tab w:val="left" w:pos="376"/>
              </w:tabs>
            </w:pPr>
            <w:r>
              <w:rPr>
                <w:rStyle w:val="a"/>
                <w:color w:val="000000"/>
              </w:rPr>
              <w:t xml:space="preserve">2.7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Rosin, harts eller hartssyror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E00B9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Abietinsyra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A3D8E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Hartsrök klassificeras som luftvägssensibiliserande och möjliga utlösare för astma.</w:t>
            </w:r>
          </w:p>
          <w:p w14:paraId="53F9493D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21886148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Referenser:</w:t>
            </w:r>
          </w:p>
          <w:p w14:paraId="0808C1D4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HSE Health and Safety Executive (2001).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Astmagen?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Kritiska bedömningar av bevisen för ämnen som är inblandade i yrkesrelaterad astma.</w:t>
            </w:r>
          </w:p>
          <w:p w14:paraId="53009E1B" w14:textId="77777777" w:rsidR="00255EB4" w:rsidRPr="00025909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17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https://www.hse.gov.uk/asthma/asthmagen.pdf</w:t>
              </w:r>
            </w:hyperlink>
          </w:p>
        </w:tc>
      </w:tr>
      <w:tr w:rsidR="00255EB4" w:rsidRPr="00555190" w14:paraId="4245D0C4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4B843A" w14:textId="77777777" w:rsidR="00255EB4" w:rsidRPr="00025909" w:rsidRDefault="00255EB4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1C9E6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Pimarsyra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4CC1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B3740DB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66BD3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75511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Isopimarsyra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52AC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CDD2DD3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BFD13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CB46D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Palustrinsyra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A521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9810C8B" w14:textId="77777777">
        <w:trPr>
          <w:trHeight w:val="504"/>
        </w:trPr>
        <w:tc>
          <w:tcPr>
            <w:tcW w:w="75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33EB3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D2943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Levopimarinsyra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AF0A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56CAF85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3"/>
        <w:gridCol w:w="2674"/>
        <w:gridCol w:w="4090"/>
      </w:tblGrid>
      <w:tr w:rsidR="00255EB4" w:rsidRPr="00555190" w14:paraId="5BD038D0" w14:textId="77777777">
        <w:trPr>
          <w:trHeight w:val="233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675F4" w14:textId="267D0740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2.8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E-vitaminacetat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07E2A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E6E9E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Vitamin E-acetat är nära besläktat med 2019-utbrottet av EVALI (lungskada associerad med e-cigarett- eller vejpproduktanvändning) i USA.</w:t>
            </w:r>
          </w:p>
          <w:p w14:paraId="556BD566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7C367059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Referenser:</w:t>
            </w:r>
          </w:p>
          <w:p w14:paraId="4D71233E" w14:textId="77777777" w:rsid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CDC (Centers for Disease Control and Prevention):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Utbrott av lungskada i samband med användning av e-cigarett- eller vejpprodukter</w:t>
            </w:r>
          </w:p>
          <w:p w14:paraId="4F80F513" w14:textId="6C8F3856" w:rsidR="00255EB4" w:rsidRP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(</w:t>
            </w:r>
            <w:hyperlink r:id="rId18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https://www.cdc.gov/tobacco/basic_information/e-cigarettes/severe-lung-disease.html</w:t>
              </w:r>
            </w:hyperlink>
            <w:r>
              <w:rPr>
                <w:rStyle w:val="a"/>
                <w:color w:val="000000"/>
                <w:sz w:val="11"/>
              </w:rPr>
              <w:t xml:space="preserve">)</w:t>
            </w:r>
          </w:p>
          <w:p w14:paraId="3AA3B6C3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2146C5BA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Blount Benjamin C. med flera (2019).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Vitamin E-acetat i bronkoalveolär sköljvätska associerad med EVALI.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New England Journal of Medicine 382(8)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697-705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</w:p>
          <w:p w14:paraId="331C32A8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  <w:u w:val="single"/>
              </w:rPr>
              <w:t xml:space="preserve">10.1056/NEJMoa1916433.</w:t>
            </w:r>
            <w:hyperlink r:id="rId19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https://www.nejm.org/doi/full/10.1056/NEJMoa191643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 3</w:t>
            </w:r>
          </w:p>
        </w:tc>
      </w:tr>
      <w:tr w:rsidR="00255EB4" w:rsidRPr="00025909" w14:paraId="60A243F4" w14:textId="77777777">
        <w:trPr>
          <w:trHeight w:val="154"/>
        </w:trPr>
        <w:tc>
          <w:tcPr>
            <w:tcW w:w="7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05EF9" w14:textId="258BF4AC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2.9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Diacetyl och vissa strukturella analoger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E8676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Diacetyl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29D72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Diacetyl och 2,3-pentandion kan orsaka allvarlig inflammation och luftvägssjukdomar vid inandning.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Som en försiktighetsåtgärd rekommenderas att förbudet utvidgas till att omfatta de strukturella analogerna 2,3-hexadion och 2,3-heptadion.</w:t>
            </w:r>
          </w:p>
          <w:p w14:paraId="669F3BF0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0AEF1AE0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Referenser:</w:t>
            </w:r>
          </w:p>
          <w:p w14:paraId="11E6AB8A" w14:textId="77777777" w:rsidR="00255EB4" w:rsidRP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MAK-Kommission (2015) ‘Diacetyl [MAK-värdesdokumentation på tyska, 2015].’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MAK-samlingen för arbetarskydd, 1–42 Digital objektidentifierare: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20" w:history="1">
              <w:r>
                <w:rPr>
                  <w:rStyle w:val="a"/>
                  <w:color w:val="000000"/>
                  <w:sz w:val="11"/>
                </w:rPr>
                <w:t xml:space="preserve">https://doi.org/10.1002/3527600418.mb43103d0058</w:t>
              </w:r>
            </w:hyperlink>
            <w:r>
              <w:rPr>
                <w:rStyle w:val="a"/>
                <w:color w:val="000000"/>
                <w:sz w:val="11"/>
              </w:rPr>
              <w:t xml:space="preserve">.</w:t>
            </w:r>
          </w:p>
          <w:p w14:paraId="63DC81C3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594F8E65" w14:textId="77777777" w:rsidR="00255EB4" w:rsidRPr="00025909" w:rsidRDefault="00000000">
            <w:pPr>
              <w:pStyle w:val="a0"/>
              <w:spacing w:line="262" w:lineRule="auto"/>
              <w:rPr>
                <w:rStyle w:val="a"/>
                <w:color w:val="000000"/>
                <w:sz w:val="11"/>
                <w:szCs w:val="11"/>
                <w:u w:val="single"/>
              </w:rPr>
            </w:pPr>
            <w:r>
              <w:rPr>
                <w:rStyle w:val="a"/>
                <w:color w:val="000000"/>
                <w:sz w:val="11"/>
              </w:rPr>
              <w:t xml:space="preserve">MAK-Kommission (2017) ’2,3-pentandion [MAK-värdedokumentation på tyska, 2017].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’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MAK-samlingen för arbetshälsa och -säkerhet, 135160 Digital objektidientifierare: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21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https://doi.org/10.1002/3527600418.mb60014d0062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.</w:t>
            </w:r>
          </w:p>
          <w:p w14:paraId="2C84E059" w14:textId="77777777" w:rsidR="00555190" w:rsidRPr="00025909" w:rsidRDefault="00555190">
            <w:pPr>
              <w:pStyle w:val="a0"/>
              <w:spacing w:line="262" w:lineRule="auto"/>
              <w:rPr>
                <w:sz w:val="11"/>
                <w:szCs w:val="11"/>
              </w:rPr>
            </w:pPr>
          </w:p>
          <w:p w14:paraId="5C169A8C" w14:textId="77777777" w:rsidR="00255EB4" w:rsidRPr="00555190" w:rsidRDefault="00000000">
            <w:pPr>
              <w:pStyle w:val="a0"/>
              <w:spacing w:line="262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BfR (Tyska federala institutet för riskbedömning) (2015).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Hälsobedömning av tillsatser för tobaksprodukter och elektroniska cigaretter.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(på tyska: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”Gesundheitliche Bewertung von Zusatzstoffen für Tabakerzeugnisse und elektronische Zigaretten.”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BfR:s yttrande nr 045/2015 av den 30 juli 2015.</w:t>
            </w:r>
          </w:p>
          <w:p w14:paraId="012EDEE8" w14:textId="77777777" w:rsidR="00555190" w:rsidRPr="00555190" w:rsidRDefault="00555190">
            <w:pPr>
              <w:pStyle w:val="a0"/>
              <w:spacing w:line="262" w:lineRule="auto"/>
              <w:rPr>
                <w:sz w:val="11"/>
                <w:szCs w:val="11"/>
                <w:lang w:val="de-DE"/>
              </w:rPr>
            </w:pPr>
          </w:p>
          <w:p w14:paraId="6A33CF3D" w14:textId="77777777" w:rsidR="00255EB4" w:rsidRPr="00555190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22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https://www.bfr.bund.de/cm/343/gesundheitliche-bewertung-von-zusatzstoffen-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fuer-tabakerzeugnisse-und-elektronische-zigaretten.pdf</w:t>
            </w:r>
          </w:p>
        </w:tc>
      </w:tr>
      <w:tr w:rsidR="00255EB4" w:rsidRPr="00555190" w14:paraId="736A2820" w14:textId="77777777">
        <w:trPr>
          <w:trHeight w:val="206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15DDF4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F0AC3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2,3-pentadion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B73E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0D387A5" w14:textId="77777777">
        <w:trPr>
          <w:trHeight w:val="211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925134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2223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2,3-hexadion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768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AAAD57D" w14:textId="77777777">
        <w:trPr>
          <w:trHeight w:val="2434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0798DD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801A8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2,3-heptadion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7328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339561E" w14:textId="77777777">
        <w:trPr>
          <w:trHeight w:val="149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CCF1D4" w14:textId="05363CD6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2,10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Bittermandelolja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663A0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89CA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Bittermandelolja kan naturligt innehålla cyanvätesyra.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Cyanvätesyra är ett kraftfullt gift som kan förlama det centrala andningssystemet.</w:t>
            </w:r>
          </w:p>
          <w:p w14:paraId="30573D90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74CED828" w14:textId="77777777" w:rsidR="00255EB4" w:rsidRPr="00555190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Referenser:</w:t>
            </w:r>
          </w:p>
          <w:p w14:paraId="3E476533" w14:textId="77777777" w:rsidR="00255EB4" w:rsidRPr="00555190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MAK-kommissionen (2001).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Vätecyanid, kaliumcyanid och natriumcyanid [MAK-värde</w:t>
            </w:r>
          </w:p>
          <w:p w14:paraId="54023A4E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Dokumentation på tyska, 2001].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MAK-samlingen för arbetshälsa</w:t>
            </w:r>
          </w:p>
          <w:p w14:paraId="7483A7F0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och -säkerhet: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1-19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</w:p>
          <w:p w14:paraId="79CE87B6" w14:textId="77777777" w:rsidR="00255EB4" w:rsidRPr="00025909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23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https://doi.org/10.1002/3527600418.mb7490verd0032.https://onlinelibrary.wiley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 . com/doi/abs/10.1002/3527600418. mb7490verd0032</w:t>
            </w:r>
          </w:p>
        </w:tc>
      </w:tr>
    </w:tbl>
    <w:p w14:paraId="49A98042" w14:textId="77777777" w:rsidR="00255EB4" w:rsidRPr="00025909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6485"/>
        <w:gridCol w:w="3561"/>
        <w:gridCol w:w="3692"/>
      </w:tblGrid>
      <w:tr w:rsidR="00255EB4" w:rsidRPr="00555190" w14:paraId="4DC47012" w14:textId="77777777" w:rsidTr="00025909">
        <w:trPr>
          <w:trHeight w:val="485"/>
        </w:trPr>
        <w:tc>
          <w:tcPr>
            <w:tcW w:w="142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6AA4923" w14:textId="77777777" w:rsidR="00255EB4" w:rsidRPr="00555190" w:rsidRDefault="00000000">
            <w:pPr>
              <w:pStyle w:val="a0"/>
              <w:shd w:val="clear" w:color="auto" w:fill="000000"/>
              <w:rPr>
                <w:sz w:val="17"/>
                <w:szCs w:val="17"/>
                <w:u w:val="single"/>
              </w:rPr>
            </w:pPr>
            <w:r>
              <w:rPr>
                <w:rStyle w:val="a"/>
                <w:b/>
                <w:color w:val="FFFFFF"/>
                <w:sz w:val="17"/>
                <w:u w:val="single"/>
              </w:rPr>
              <w:t xml:space="preserve">Förbjudna ingredienser i tobaksprodukter</w:t>
            </w:r>
          </w:p>
        </w:tc>
      </w:tr>
      <w:tr w:rsidR="00555190" w:rsidRPr="00025909" w14:paraId="309C2D5C" w14:textId="77777777" w:rsidTr="00025909">
        <w:trPr>
          <w:trHeight w:val="216"/>
        </w:trPr>
        <w:tc>
          <w:tcPr>
            <w:tcW w:w="7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40C50C3" w14:textId="77777777" w:rsidR="00555190" w:rsidRPr="00555190" w:rsidRDefault="0055519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Ämneskategorier inklusive rättslig grund för förbudet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A9E68A6" w14:textId="566EA66D" w:rsidR="00555190" w:rsidRPr="00555190" w:rsidRDefault="00555190">
            <w:pPr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6"/>
              </w:rPr>
              <w:t xml:space="preserve">Exempel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A217542" w14:textId="77777777" w:rsidR="00555190" w:rsidRPr="00555190" w:rsidRDefault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Ytterligare motivering av förbudet</w:t>
            </w:r>
          </w:p>
        </w:tc>
      </w:tr>
      <w:tr w:rsidR="00255EB4" w:rsidRPr="00555190" w14:paraId="6C1BBE6F" w14:textId="77777777" w:rsidTr="00025909">
        <w:trPr>
          <w:trHeight w:val="51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7284E7BA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1.</w:t>
            </w:r>
          </w:p>
        </w:tc>
        <w:tc>
          <w:tcPr>
            <w:tcW w:w="13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FBACB72" w14:textId="77777777" w:rsidR="00255EB4" w:rsidRPr="00555190" w:rsidRDefault="00000000" w:rsidP="00555190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Vitaminer eller andra tillsatser som ger intryck av att en tobaksvara har en hälsofördel eller medför minskade hälsorisker.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(8b.2 § stycke 1 i TNRSG)</w:t>
            </w:r>
          </w:p>
        </w:tc>
      </w:tr>
      <w:tr w:rsidR="00255EB4" w:rsidRPr="00025909" w14:paraId="46A0E861" w14:textId="77777777" w:rsidTr="00025909">
        <w:trPr>
          <w:trHeight w:val="4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5A96C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1.1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A21933C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Vitaminer som är förtecknade i bilagan till ”unionsförteckningen” till förordning (EU) 609/2013, i dess ändrade lydelse, i enlighet med artikel 15 i den förordningen.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1A608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50A8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613F215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FFB233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1.2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6403A6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Aminosyror och deras derivat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CEF3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0F6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2374D59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3ADAC9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1.3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E80B9E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Smärtstillande medel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2618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4233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1033C79" w14:textId="77777777">
        <w:trPr>
          <w:trHeight w:val="54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EFF71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1.4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4BA4DB0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Komponenter, inbegripet bearbetade komponenter, extrakt och oljor av </w:t>
            </w:r>
            <w:r>
              <w:rPr>
                <w:rStyle w:val="a"/>
                <w:color w:val="000000"/>
                <w:sz w:val="14"/>
                <w:b/>
              </w:rPr>
              <w:t xml:space="preserve">hampväxt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4341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8F45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EBE7F81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33B9A2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1.5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65673A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Cannabinoider (av naturligt eller syntetiskt ursprung)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35DAB6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Cannabidiol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44C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8C7BC2C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2D2E57B3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65E72DB7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D1AE7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THC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E845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50AAFFAC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18AB12A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0BB4F2F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D9770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HHC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7D67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D2F9344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1F5A07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1.6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CD91A4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Hormoner och hormonliknande ämnen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5904E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Melatonin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E51A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FD7AE94" w14:textId="77777777">
        <w:trPr>
          <w:trHeight w:val="17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316D7F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1.7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429128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Flavonoider och fosfolipider med antioxidativa effekter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C7743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Naringin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21CC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07EE9E2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512FE6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1.8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A72CA6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Övriga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8A89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840E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94437CB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7FDF68A0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8BDC70C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89FA3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Kolinklorid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FF3A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988C25E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91D61EE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742B2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CB11F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Kolinhydroxid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E18C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1C45D7A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5E95353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D283BA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845A7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Kolincitrat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066C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582E1586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5542E218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1E8853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4B684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Kolintartrat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CF2D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C4DEDD2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7AFC9EA7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485F58D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E0FB3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Betain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23A2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78DB8A6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24A94A3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D91BB7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D070C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S-adenosylmetionin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3923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AB29715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2F1A2A1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4AF8CAA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839CD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L-5-hydroxitryptofan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5EAE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4AC01BD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305AECA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2B367FF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D8F04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Karnitin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634F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BB72463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5CB871B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C0AC9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D9C5E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8E49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E09F343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6BFBE37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95370F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21172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L-karnitinhydroklorid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338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9426D66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EC60F2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F404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C0B6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L-karnitin L-tartrat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4D7A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7AE8625" w14:textId="77777777">
        <w:trPr>
          <w:trHeight w:val="197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46BB75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364B9C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6E95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Natriumselenit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2B2B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288EDD5" w14:textId="77777777" w:rsidTr="00025909">
        <w:trPr>
          <w:trHeight w:val="28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808080"/>
            <w:vAlign w:val="center"/>
          </w:tcPr>
          <w:p w14:paraId="7D5D22B6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2.</w:t>
            </w:r>
          </w:p>
        </w:tc>
        <w:tc>
          <w:tcPr>
            <w:tcW w:w="1373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909A842" w14:textId="77777777" w:rsidR="00255EB4" w:rsidRPr="002B5C56" w:rsidRDefault="00000000" w:rsidP="002B5C56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Koffein eller taurin eller andra tillsatser och stimulerande föreningar som är förknippade med energi och vitalitet (8b.2 § stycke 2 i TNRSG)</w:t>
            </w:r>
          </w:p>
        </w:tc>
      </w:tr>
      <w:tr w:rsidR="00255EB4" w:rsidRPr="00555190" w14:paraId="641D2DDA" w14:textId="77777777" w:rsidTr="00025909">
        <w:trPr>
          <w:trHeight w:val="276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A18AF9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37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015EC7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495DAAE1" w14:textId="77777777" w:rsidTr="00025909">
        <w:trPr>
          <w:trHeight w:val="3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74ECDF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2.1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B004F8" w14:textId="77777777" w:rsidR="00255EB4" w:rsidRPr="00555190" w:rsidRDefault="00000000">
            <w:pPr>
              <w:pStyle w:val="a0"/>
              <w:spacing w:line="252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Komponenter, inbegripet bearbetade komponenter, extrakter och oljor, av </w:t>
            </w:r>
            <w:r>
              <w:rPr>
                <w:rStyle w:val="a"/>
                <w:color w:val="000000"/>
                <w:sz w:val="14"/>
                <w:b/>
              </w:rPr>
              <w:t xml:space="preserve">kaffeplanta</w:t>
            </w:r>
            <w:r>
              <w:rPr>
                <w:rStyle w:val="a"/>
                <w:color w:val="000000"/>
                <w:sz w:val="14"/>
              </w:rPr>
              <w:t xml:space="preserve"> och </w:t>
            </w:r>
            <w:r>
              <w:rPr>
                <w:rStyle w:val="a"/>
                <w:color w:val="000000"/>
                <w:sz w:val="14"/>
                <w:b/>
              </w:rPr>
              <w:t xml:space="preserve">kaffebönor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B9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CEA1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7C4A3C6E" w14:textId="77777777">
        <w:trPr>
          <w:trHeight w:val="3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165DD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2.2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E5D86E1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Komponenter, inbegripet bearbetade komponenter, extrakt och oljor av </w:t>
            </w:r>
            <w:r>
              <w:rPr>
                <w:rStyle w:val="a"/>
                <w:color w:val="000000"/>
                <w:sz w:val="14"/>
                <w:b/>
              </w:rPr>
              <w:t xml:space="preserve">teplanta</w:t>
            </w:r>
            <w:r>
              <w:rPr>
                <w:rStyle w:val="a"/>
                <w:color w:val="000000"/>
                <w:sz w:val="14"/>
              </w:rPr>
              <w:t xml:space="preserve"> Camellia sinensis (L.) Kuntze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C5D6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7EF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A55B80B" w14:textId="77777777" w:rsidTr="002B5C56">
        <w:trPr>
          <w:trHeight w:val="23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D3415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2.3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AC3E7A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Komponenter, inbegripet bearbetade komponenter, extrakter och oljor, av </w:t>
            </w:r>
            <w:r>
              <w:rPr>
                <w:rStyle w:val="a"/>
                <w:color w:val="000000"/>
                <w:sz w:val="14"/>
                <w:b/>
              </w:rPr>
              <w:t xml:space="preserve">guaranaväxt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B3D0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0E82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25DD7E1" w14:textId="77777777" w:rsidTr="002B5C56">
        <w:trPr>
          <w:trHeight w:val="28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23C1C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2.4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048EE4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Komponenter, inbegripet bearbetade komponenter, extrakt och oljor av </w:t>
            </w:r>
            <w:r>
              <w:rPr>
                <w:rStyle w:val="a"/>
                <w:color w:val="000000"/>
                <w:sz w:val="14"/>
                <w:b/>
              </w:rPr>
              <w:t xml:space="preserve">yerba mate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9765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E37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0A352A29" w14:textId="77777777">
        <w:trPr>
          <w:trHeight w:val="3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FBABC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2.5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431BC2FF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Komponenter, inbegripet bearbetade komponenter, extrakt och oljor av </w:t>
            </w:r>
            <w:r>
              <w:rPr>
                <w:rStyle w:val="a"/>
                <w:color w:val="000000"/>
                <w:sz w:val="14"/>
                <w:b/>
              </w:rPr>
              <w:t xml:space="preserve">kolaträd </w:t>
            </w:r>
            <w:r>
              <w:rPr>
                <w:rStyle w:val="a"/>
                <w:color w:val="000000"/>
                <w:sz w:val="14"/>
              </w:rPr>
              <w:t xml:space="preserve">eller </w:t>
            </w:r>
            <w:r>
              <w:rPr>
                <w:rStyle w:val="a"/>
                <w:color w:val="000000"/>
                <w:sz w:val="14"/>
                <w:b/>
              </w:rPr>
              <w:t xml:space="preserve">kolanöt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47E7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550A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D2FF316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9F1F9E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2.6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78CB721" w14:textId="77777777" w:rsidR="00255EB4" w:rsidRPr="00555190" w:rsidRDefault="00000000" w:rsidP="00025909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Övriga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A58C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Maltodextrin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DE5A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5E58658" w14:textId="77777777" w:rsidTr="00025909">
        <w:trPr>
          <w:trHeight w:val="182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8D6E6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tcBorders>
              <w:bottom w:val="single" w:sz="4" w:space="0" w:color="auto"/>
            </w:tcBorders>
            <w:shd w:val="clear" w:color="auto" w:fill="auto"/>
          </w:tcPr>
          <w:p w14:paraId="23D1565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E9F0D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Inositol</w:t>
            </w:r>
          </w:p>
        </w:tc>
        <w:tc>
          <w:tcPr>
            <w:tcW w:w="3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580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8E90544" w14:textId="77777777" w:rsidTr="00025909">
        <w:trPr>
          <w:trHeight w:val="264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415F9F3B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3.</w:t>
            </w:r>
          </w:p>
        </w:tc>
        <w:tc>
          <w:tcPr>
            <w:tcW w:w="1373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C6C7C4B" w14:textId="77777777" w:rsidR="00255EB4" w:rsidRPr="002B5C56" w:rsidRDefault="00000000">
            <w:pPr>
              <w:pStyle w:val="a0"/>
              <w:shd w:val="clear" w:color="auto" w:fill="808080"/>
              <w:ind w:firstLine="36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Tillsatser med färgande egenskaper för utsläpp.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(8b.2 § stycke 3 i TNRSG)</w:t>
            </w:r>
          </w:p>
        </w:tc>
      </w:tr>
      <w:tr w:rsidR="00255EB4" w:rsidRPr="00555190" w14:paraId="68A16A54" w14:textId="77777777" w:rsidTr="00025909">
        <w:trPr>
          <w:trHeight w:val="276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E7BC82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37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DB9B6AA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1378F8CD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68"/>
        <w:gridCol w:w="3802"/>
        <w:gridCol w:w="3240"/>
        <w:gridCol w:w="3374"/>
      </w:tblGrid>
      <w:tr w:rsidR="00255EB4" w:rsidRPr="00025909" w14:paraId="558500D0" w14:textId="77777777" w:rsidTr="0033216F">
        <w:trPr>
          <w:trHeight w:val="145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2ED939C" w14:textId="77777777" w:rsidR="00255EB4" w:rsidRPr="00555190" w:rsidRDefault="00000000">
            <w:pPr>
              <w:pStyle w:val="a0"/>
              <w:shd w:val="clear" w:color="auto" w:fill="808080"/>
              <w:rPr>
                <w:sz w:val="12"/>
                <w:szCs w:val="12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4.</w:t>
            </w:r>
          </w:p>
        </w:tc>
        <w:tc>
          <w:tcPr>
            <w:tcW w:w="12384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F4497EC" w14:textId="77777777" w:rsidR="00255EB4" w:rsidRPr="002B5C56" w:rsidRDefault="00000000">
            <w:pPr>
              <w:pStyle w:val="a0"/>
              <w:shd w:val="clear" w:color="auto" w:fill="808080"/>
              <w:rPr>
                <w:sz w:val="12"/>
                <w:szCs w:val="12"/>
                <w:u w:val="single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Tillsatser som underlättar inandning eller upptag av nikotin för tobaksvaror (8b.2 § stycke 4 i TNRSG)</w:t>
            </w:r>
          </w:p>
        </w:tc>
      </w:tr>
      <w:tr w:rsidR="00255EB4" w:rsidRPr="00025909" w14:paraId="1DCC306B" w14:textId="77777777" w:rsidTr="0033216F">
        <w:trPr>
          <w:trHeight w:val="276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6A7D21B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23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D83A13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EDC72AC" w14:textId="77777777" w:rsidTr="0033216F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A3B42" w14:textId="77777777" w:rsidR="00255EB4" w:rsidRPr="00555190" w:rsidRDefault="00000000">
            <w:pPr>
              <w:pStyle w:val="a0"/>
              <w:ind w:firstLine="36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4.1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702A45" w14:textId="77777777" w:rsidR="00255EB4" w:rsidRPr="00025909" w:rsidRDefault="00000000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Mentol och analoger, TRPM-8-agonister, ”kylföreningar”, ”syntetiska kylmedel”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1263F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p-mentan-3-substituerade och modifierade föreningar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2F9B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1BCDD" w14:textId="77777777" w:rsidR="00255EB4" w:rsidRDefault="00000000">
            <w:pPr>
              <w:pStyle w:val="a0"/>
              <w:spacing w:line="276" w:lineRule="auto"/>
              <w:rPr>
                <w:rStyle w:val="a"/>
                <w:color w:val="000000"/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Alla ämnen eller blandningar med kylande eller smärtlindrande effekter betraktas som ämnen som underlättar inandning.</w:t>
            </w:r>
          </w:p>
          <w:p w14:paraId="5C350D88" w14:textId="77777777" w:rsidR="002B5C56" w:rsidRPr="00555190" w:rsidRDefault="002B5C56">
            <w:pPr>
              <w:pStyle w:val="a0"/>
              <w:spacing w:line="276" w:lineRule="auto"/>
              <w:rPr>
                <w:sz w:val="12"/>
                <w:szCs w:val="12"/>
                <w:lang w:val="de-DE"/>
              </w:rPr>
            </w:pPr>
          </w:p>
          <w:p w14:paraId="363741A7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Referens:</w:t>
            </w:r>
          </w:p>
          <w:p w14:paraId="00DE7592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br/>
            </w:r>
            <w:r>
              <w:rPr>
                <w:rStyle w:val="a"/>
                <w:color w:val="000000"/>
                <w:sz w:val="10"/>
              </w:rPr>
              <w:t xml:space="preserve">Gemensam åtgärd om tobakskontroll WP9: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D9.3 Rapport om referentgranskningen av den förbättrade rapporteringsinformationen om prioriterade tillsatser.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RIVM, BfR, ANSES, NIPH, ISS och den oberoende granskningspanelen WP 9</w:t>
            </w:r>
          </w:p>
          <w:p w14:paraId="7151039B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Datum: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3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december 2020</w:t>
            </w:r>
          </w:p>
          <w:p w14:paraId="4C043989" w14:textId="77777777" w:rsidR="00255EB4" w:rsidRPr="00025909" w:rsidRDefault="00000000">
            <w:pPr>
              <w:pStyle w:val="a0"/>
              <w:spacing w:line="271" w:lineRule="auto"/>
              <w:rPr>
                <w:rStyle w:val="a"/>
                <w:color w:val="000000"/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Dok. nr: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D9.3</w:t>
            </w:r>
          </w:p>
          <w:p w14:paraId="296CD813" w14:textId="77777777" w:rsidR="002B5C56" w:rsidRPr="00025909" w:rsidRDefault="002B5C56">
            <w:pPr>
              <w:pStyle w:val="a0"/>
              <w:spacing w:line="271" w:lineRule="auto"/>
              <w:rPr>
                <w:sz w:val="10"/>
                <w:szCs w:val="10"/>
              </w:rPr>
            </w:pPr>
          </w:p>
          <w:p w14:paraId="59201542" w14:textId="77777777" w:rsidR="00255EB4" w:rsidRPr="00025909" w:rsidRDefault="00255EB4">
            <w:pPr>
              <w:pStyle w:val="a0"/>
              <w:spacing w:line="266" w:lineRule="auto"/>
              <w:rPr>
                <w:sz w:val="10"/>
                <w:szCs w:val="10"/>
              </w:rPr>
            </w:pPr>
            <w:hyperlink r:id="rId24" w:history="1">
              <w:r>
                <w:rPr>
                  <w:rStyle w:val="a"/>
                  <w:color w:val="000000"/>
                  <w:sz w:val="10"/>
                  <w:u w:val="single"/>
                </w:rPr>
                <w:t xml:space="preserve">https://jaotc.eu/wp-content/uploads/2021/04/D9.3-Report-on-the-peer-review-of-the-enhanced-reporting-information-on-priority-additives.pdf</w:t>
              </w:r>
            </w:hyperlink>
          </w:p>
        </w:tc>
      </w:tr>
      <w:tr w:rsidR="00255EB4" w:rsidRPr="00555190" w14:paraId="1372039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280754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DE8FF" w14:textId="77777777" w:rsidR="00255EB4" w:rsidRPr="00025909" w:rsidRDefault="00255EB4"/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0636B" w14:textId="77777777" w:rsidR="00255EB4" w:rsidRPr="00025909" w:rsidRDefault="00000000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p-mentan-3-karboxamid inkl. p-mentan-3-N-alkylkarboxamid och p-mentan-3-N-arylkarboxamid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82BF1C" w14:textId="77777777" w:rsidR="00255EB4" w:rsidRPr="00025909" w:rsidRDefault="00255EB4"/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A7AB3" w14:textId="77777777" w:rsidR="00255EB4" w:rsidRPr="00025909" w:rsidRDefault="00255EB4"/>
        </w:tc>
      </w:tr>
      <w:tr w:rsidR="00255EB4" w:rsidRPr="00555190" w14:paraId="4C7A95A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00742D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759E4A" w14:textId="77777777" w:rsidR="00255EB4" w:rsidRPr="00025909" w:rsidRDefault="00255EB4"/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4662B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p-mentan-3-ester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45B43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E67A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07511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CC25C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D1EB4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CE90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p-mentan-3-eter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C475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4066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75464EB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BE18B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C659D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71DD5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p-mentan-3-karboxylsyror och deras estrar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44D74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2962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4DB61F5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45F34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92EB4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5989CB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Andra p-mentan-3-substituerade och modifierade föreningar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07F9A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14B6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10D7CB40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DDD2C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EC0BA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8742E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p-mentanalkoholer och deras estrar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1E9E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A645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32B335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9D1CD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67F5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8FC0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Exempel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299FF0" w14:textId="77777777" w:rsidR="00255EB4" w:rsidRPr="00025909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N-etyl-p-mentan-3-karboxamid (WS-3)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99CA4" w14:textId="77777777" w:rsidR="00255EB4" w:rsidRPr="00025909" w:rsidRDefault="00255EB4"/>
        </w:tc>
      </w:tr>
      <w:tr w:rsidR="00255EB4" w:rsidRPr="00555190" w14:paraId="7AB86C0A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5D82E0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727EEE" w14:textId="77777777" w:rsidR="00255EB4" w:rsidRPr="00025909" w:rsidRDefault="00255EB4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7C22BD" w14:textId="77777777" w:rsidR="00255EB4" w:rsidRPr="00025909" w:rsidRDefault="00255E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4D81EE" w14:textId="77777777" w:rsidR="00255EB4" w:rsidRPr="00025909" w:rsidRDefault="00000000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2-isopropyl-5-metylcyklohexankarboxylsyra (4-metoxifenyl)amid (WS-12)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E5610" w14:textId="77777777" w:rsidR="00255EB4" w:rsidRPr="00025909" w:rsidRDefault="00255EB4"/>
        </w:tc>
      </w:tr>
      <w:tr w:rsidR="00255EB4" w:rsidRPr="00025909" w14:paraId="7446709F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15BFBC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694BC4" w14:textId="77777777" w:rsidR="00255EB4" w:rsidRPr="00025909" w:rsidRDefault="00255EB4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8C6815" w14:textId="77777777" w:rsidR="00255EB4" w:rsidRPr="00025909" w:rsidRDefault="00255E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81CB38" w14:textId="77777777" w:rsidR="00255EB4" w:rsidRPr="00025909" w:rsidRDefault="00000000" w:rsidP="002B5C56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(1R,2S,5R)-N-((etoxikarbonyl)metyl)-p-mentan-3-karboxamid (WS-5)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DD1CC" w14:textId="77777777" w:rsidR="00255EB4" w:rsidRPr="00025909" w:rsidRDefault="00255EB4">
            <w:pPr>
              <w:rPr>
                <w:lang w:val="pt-BR"/>
              </w:rPr>
            </w:pPr>
          </w:p>
        </w:tc>
      </w:tr>
      <w:tr w:rsidR="002B5C56" w:rsidRPr="002B5C56" w14:paraId="0415078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5B8B15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F38044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8C9029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835E78" w14:textId="1B678DA9" w:rsidR="002B5C56" w:rsidRPr="002B5C56" w:rsidRDefault="002B5C56" w:rsidP="002B5C56">
            <w:pPr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N-tert-butyl-p-mentan-3-karboxamid (WS-14)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BF8D0" w14:textId="77777777" w:rsidR="002B5C56" w:rsidRPr="002B5C56" w:rsidRDefault="002B5C56" w:rsidP="002B5C56"/>
        </w:tc>
      </w:tr>
      <w:tr w:rsidR="002B5C56" w:rsidRPr="002B5C56" w14:paraId="309E6A5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CE6FDB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A5E5AC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68CB68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50190A" w14:textId="58ED8BA2" w:rsidR="002B5C56" w:rsidRPr="002B5C56" w:rsidRDefault="002B5C56" w:rsidP="002B5C56">
            <w:pPr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2-isopropyl-N,2,3-trimetylbutyramid (WS-23)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D80AE" w14:textId="77777777" w:rsidR="002B5C56" w:rsidRPr="002B5C56" w:rsidRDefault="002B5C56" w:rsidP="002B5C56"/>
        </w:tc>
      </w:tr>
      <w:tr w:rsidR="002B5C56" w:rsidRPr="002B5C56" w14:paraId="58BC38F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62E20D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86E105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733D8F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0D4808" w14:textId="33D7F321" w:rsidR="002B5C56" w:rsidRPr="002B5C56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N-(p-mentan-3-karbonyl)-D-alaninetylester (CPS-369, WS-109)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10D68" w14:textId="77777777" w:rsidR="002B5C56" w:rsidRPr="002B5C56" w:rsidRDefault="002B5C56" w:rsidP="002B5C56"/>
        </w:tc>
      </w:tr>
      <w:tr w:rsidR="002B5C56" w:rsidRPr="00555190" w14:paraId="2B6553F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E1DCDB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E28CD5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41A7F7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D56761" w14:textId="6D66691E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N-(4-fluorfenyl)-p-mentan-3-karboxamid (CPS-124)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BB40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3645EB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E3DD5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AFDF1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0DAEC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F6C330" w14:textId="42940EFA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CPS-125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AD97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17D75B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4C0EE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E5B93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00783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1612C" w14:textId="77777777" w:rsidR="002B5C56" w:rsidRPr="00555190" w:rsidRDefault="002B5C56" w:rsidP="002B5C56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N-(4-etoxifenyl)-p-mentan-3-karboxamid (CPS-128)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9CAF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CC1229D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191E9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B709B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FC147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AAA793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CPS-368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B73A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615191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59C3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AAA66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BDAE2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CF02F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Mentyllaktat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237D8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34184E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701CA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07632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744D2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C1880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Mentoxipropan-1,2-diol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CFFE3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52FE607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9458C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F83D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12BBE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C082F6" w14:textId="77777777" w:rsidR="002B5C56" w:rsidRPr="00555190" w:rsidRDefault="002B5C56" w:rsidP="002B5C56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2-isopropyl-5-metylcyklohexankarboxylsyra 2,3-dihydroxipropylester (WS-30)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CE79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6F8DB9A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C81E7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463FA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05DEB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3EBB0C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Menton-1,2-glycerolketal (Frescolat MGA)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A92A7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914303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0D48A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856B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1307C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1EA66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Monometylsuccinat (Frescolat ML)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284FA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D43229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8A1C5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6F4E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20138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9AAFF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Mentyl-3-hydroxibutyrat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C480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29CC11C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928E4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687BF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69054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FC5E5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Mentylacetat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D135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759769D9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A91F5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245A7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AE9B5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89F681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Mentoletylenglykolkarbonat (Frescolat MGC)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2788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7DB6FB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C4A59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12549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434B6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B019D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2,3-dihydroxipropyl-p-mentan-3-karboxylat (WS-30)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B1C5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1D99292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5A13E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BA5CE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8A2D6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BD5E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Cis-p-mentan-3,8-diol (PMD38)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AE75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682F2E6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CC9A6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4B539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D2348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A340F0" w14:textId="7BB590C9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Icilin / Kylmedel AG-3-5 (3,4-dihydro-3-(2-hydroxifenyl)-6-(3-nitrofenyl)-(1H)-pyrimidin-2-on)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EFCA6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5F600E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13941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25D19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E6320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1AC5EF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2-isopropyl-N-2,3-trimetylbutyramid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837EA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196C23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8D38D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C98BC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045A0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FEF812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Isopulegol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F742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517CDFA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A4D87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1076E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AEBF4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EC0F22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1-(di-sec-butyl-fosfinoyl)-heptan (W-148, CPS-148)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D623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150949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9CA1B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F4F57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78FBF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662B1C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5-metyl-4-(1-pyrolidinyl)-3-2H-furanon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0B3D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BF830B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60B83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874C7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8DB6F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B1090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54A8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DBF6BC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7103D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AD2D8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B7F5B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99836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(-)-mentol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134B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773018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96865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AC714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836B9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C27649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(+)-mentol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0BBD8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87F115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0F148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94440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01D20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E30D1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A0E3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10E6175C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C82E0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99FDE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AE9EC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0ED91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(-)-menton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3CA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F8ADD3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1AD07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BCD10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ABEB4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6E1F05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(+)-menton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8D1F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A20872E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54AE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B3FDE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1FBE1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CC3CE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L-karvon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9BE9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3CA716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EEECF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069AB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6A8BF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876336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Geraniol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5CD1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DFECD1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6C77A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36D3E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6B178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72B079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Linalol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8D34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30B460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0E09C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9AC46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6E8A5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BD6E3D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1,8-cineol (eukalyptol)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AFD1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2820760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8A2DB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08C81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F0981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0832C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1,4-cineol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0D68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B743543" w14:textId="77777777" w:rsidTr="00025909"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61D91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26B3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684D1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613E9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Hydroxicitronellal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B61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</w:tbl>
    <w:p w14:paraId="642C470B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160"/>
        <w:gridCol w:w="4176"/>
        <w:gridCol w:w="3562"/>
        <w:gridCol w:w="3706"/>
      </w:tblGrid>
      <w:tr w:rsidR="00255EB4" w:rsidRPr="00555190" w14:paraId="528DFC59" w14:textId="77777777" w:rsidTr="00025909">
        <w:trPr>
          <w:trHeight w:val="17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E6D01" w14:textId="77777777" w:rsidR="00255EB4" w:rsidRPr="00555190" w:rsidRDefault="00000000">
            <w:pPr>
              <w:pStyle w:val="a0"/>
              <w:ind w:firstLine="36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4.2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988A70" w14:textId="77777777" w:rsidR="00255EB4" w:rsidRPr="00555190" w:rsidRDefault="00000000">
            <w:pPr>
              <w:pStyle w:val="a0"/>
              <w:spacing w:line="257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Komponenter, inbegripet bearbetade komponenter, extrakt och oljor av växter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03EB0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Mynta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5CBE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E018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BD25D0C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16CDC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E1374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11FBB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Eukalyptus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F2E8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F6D5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031910B" w14:textId="77777777" w:rsidTr="00025909">
        <w:trPr>
          <w:trHeight w:val="18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4889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C71C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454B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Ocimum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83BE6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D981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CCCC44D" w14:textId="77777777" w:rsidTr="00025909">
        <w:trPr>
          <w:trHeight w:val="17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95F3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B761D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31067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Thymus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D26CC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4152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9D1AD22" w14:textId="77777777" w:rsidTr="00025909">
        <w:trPr>
          <w:trHeight w:val="178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9381D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E99E2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41D3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Salvia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C1E74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1706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D687E1D" w14:textId="77777777" w:rsidTr="00025909">
        <w:trPr>
          <w:trHeight w:val="168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EBAE0C" w14:textId="77777777" w:rsidR="00255EB4" w:rsidRPr="00555190" w:rsidRDefault="00000000">
            <w:pPr>
              <w:pStyle w:val="a0"/>
              <w:ind w:firstLine="36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4.3</w:t>
            </w:r>
          </w:p>
        </w:tc>
        <w:tc>
          <w:tcPr>
            <w:tcW w:w="6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0BAC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Nikotinsalter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8A5B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Nikotinbensoat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39CAE" w14:textId="77777777" w:rsidR="00255EB4" w:rsidRDefault="00000000">
            <w:pPr>
              <w:pStyle w:val="a0"/>
              <w:spacing w:line="257" w:lineRule="auto"/>
              <w:rPr>
                <w:rStyle w:val="a"/>
                <w:color w:val="000000"/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Nikotinsalter kan absorberas i kroppen snabbare vid inandning och orsaka mindre irritation än nikotin i fri form.</w:t>
            </w:r>
          </w:p>
          <w:p w14:paraId="391B6EE1" w14:textId="77777777" w:rsidR="002B5C56" w:rsidRPr="00555190" w:rsidRDefault="002B5C56">
            <w:pPr>
              <w:pStyle w:val="a0"/>
              <w:spacing w:line="257" w:lineRule="auto"/>
              <w:rPr>
                <w:sz w:val="14"/>
                <w:szCs w:val="14"/>
                <w:lang w:val="de-DE"/>
              </w:rPr>
            </w:pPr>
          </w:p>
          <w:p w14:paraId="4ECEA629" w14:textId="77777777" w:rsidR="00255EB4" w:rsidRPr="00555190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Referenser:</w:t>
            </w:r>
          </w:p>
          <w:p w14:paraId="68C962C3" w14:textId="77777777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O’Connell Grant med flera (2019).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En randomiserad, öppen, klinisk överkorsningsstudie för att utvärdera de farmakokinetiska profilerna för cigaretter och e-cigaretter med nikotinsaltberedningar hos amerikanska vuxna rökare.</w:t>
            </w:r>
          </w:p>
          <w:p w14:paraId="10DEB3F3" w14:textId="77777777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Internal and Emergency Medicine 14(6):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853-861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10.1007/s11739-019-02025-</w:t>
            </w:r>
          </w:p>
          <w:p w14:paraId="4AAA3456" w14:textId="77777777" w:rsidR="00255EB4" w:rsidRPr="00025909" w:rsidRDefault="00000000">
            <w:pPr>
              <w:pStyle w:val="a0"/>
              <w:spacing w:line="269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3.https://www.ncbi.nlm.nih.gov/pubmed/30712148</w:t>
            </w:r>
          </w:p>
          <w:p w14:paraId="0E83BCBB" w14:textId="77777777" w:rsidR="002B5C56" w:rsidRPr="00025909" w:rsidRDefault="002B5C56">
            <w:pPr>
              <w:pStyle w:val="a0"/>
              <w:spacing w:line="269" w:lineRule="auto"/>
              <w:rPr>
                <w:sz w:val="11"/>
                <w:szCs w:val="11"/>
              </w:rPr>
            </w:pPr>
          </w:p>
          <w:p w14:paraId="5CC2EEAA" w14:textId="730DB6FB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Caldwell Brent med flera (2012).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En systematisk översyn av nikotin genom inandning: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Finns det en roll för inandningsvägen?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Nicotine &amp; Tobacco Research 14(10):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1127-1139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</w:p>
          <w:p w14:paraId="3D4AE59F" w14:textId="77777777" w:rsidR="00255EB4" w:rsidRPr="00025909" w:rsidRDefault="00000000">
            <w:pPr>
              <w:pStyle w:val="a0"/>
              <w:spacing w:line="269" w:lineRule="auto"/>
            </w:pPr>
            <w:r>
              <w:rPr>
                <w:rStyle w:val="a"/>
                <w:color w:val="000000"/>
                <w:sz w:val="11"/>
              </w:rPr>
              <w:t xml:space="preserve">10.1093/ntr/nts009.</w:t>
            </w:r>
            <w:hyperlink r:id="rId25" w:history="1">
              <w:r>
                <w:rPr>
                  <w:rStyle w:val="a"/>
                  <w:color w:val="000000"/>
                  <w:sz w:val="11"/>
                </w:rPr>
                <w:t xml:space="preserve">https://doi.org/10.1093/ntr/nts009</w:t>
              </w:r>
            </w:hyperlink>
          </w:p>
          <w:p w14:paraId="3E649CEB" w14:textId="77777777" w:rsidR="002B5C56" w:rsidRPr="00025909" w:rsidRDefault="002B5C56">
            <w:pPr>
              <w:pStyle w:val="a0"/>
              <w:spacing w:line="269" w:lineRule="auto"/>
              <w:rPr>
                <w:sz w:val="11"/>
                <w:szCs w:val="11"/>
              </w:rPr>
            </w:pPr>
          </w:p>
          <w:p w14:paraId="7D57D3E2" w14:textId="77777777" w:rsidR="00255EB4" w:rsidRPr="00555190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Leventhal A. M., med flera (2021).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Effekten av exponering för e-cigaretter med salt- vs fri bas-nikotin på attraktionskraft och sensorisk upplevelse av vejpning: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En randomiserad klinisk prövning.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JAMA Netw Open 4(1): e2032757 Digital objektidentifierare: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10,1001/jamanetworkopen.2020.32757</w:t>
            </w:r>
          </w:p>
        </w:tc>
      </w:tr>
      <w:tr w:rsidR="00255EB4" w:rsidRPr="00555190" w14:paraId="72506690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BADF8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81CF77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4F1C8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Nikotinditartrat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712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28E0E20" w14:textId="77777777" w:rsidTr="00025909">
        <w:trPr>
          <w:trHeight w:val="16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7BA0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EDA167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DAA8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Nikotinlaktat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4C7B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EE8C864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C08AE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B9DE9B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1B8F4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Nikotinlevulinat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5995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8085BEC" w14:textId="77777777" w:rsidTr="00025909">
        <w:trPr>
          <w:trHeight w:val="18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5C951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1D0A1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BCE0C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Nikotinmalat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C926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161C6F3" w14:textId="77777777" w:rsidTr="00025909">
        <w:trPr>
          <w:trHeight w:val="245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BB278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E93C9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C73E8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Nikotinsalicylat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C086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6F1A0BD3" w14:textId="0A2AC122" w:rsidR="002B5C56" w:rsidRDefault="002B5C56">
      <w:pPr>
        <w:rPr>
          <w:lang w:val="de-DE"/>
        </w:rPr>
      </w:pPr>
    </w:p>
    <w:p w14:paraId="253FEDA0" w14:textId="77777777" w:rsidR="002B5C56" w:rsidRDefault="002B5C56"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877"/>
        <w:gridCol w:w="3633"/>
        <w:gridCol w:w="3091"/>
        <w:gridCol w:w="3226"/>
      </w:tblGrid>
      <w:tr w:rsidR="00255EB4" w:rsidRPr="00555190" w14:paraId="1A406E72" w14:textId="77777777" w:rsidTr="00025909">
        <w:trPr>
          <w:trHeight w:val="269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5449CA8" w14:textId="77777777" w:rsidR="00255EB4" w:rsidRPr="00555190" w:rsidRDefault="00000000">
            <w:pPr>
              <w:pStyle w:val="a0"/>
              <w:shd w:val="clear" w:color="auto" w:fill="808080"/>
              <w:rPr>
                <w:sz w:val="12"/>
                <w:szCs w:val="12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5.</w:t>
            </w:r>
          </w:p>
        </w:tc>
        <w:tc>
          <w:tcPr>
            <w:tcW w:w="11827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43AAE60" w14:textId="77777777" w:rsidR="00255EB4" w:rsidRPr="002B5C56" w:rsidRDefault="00000000">
            <w:pPr>
              <w:pStyle w:val="a0"/>
              <w:shd w:val="clear" w:color="auto" w:fill="808080"/>
              <w:rPr>
                <w:sz w:val="12"/>
                <w:szCs w:val="12"/>
                <w:u w:val="single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Tillsatser som har CMR-egenskaper i oförbränd form.</w:t>
            </w: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(10b.7 § stycke 3 jämförd med 8b.2 § stycke 5 i TNRSG)</w:t>
            </w:r>
          </w:p>
        </w:tc>
      </w:tr>
      <w:tr w:rsidR="00255EB4" w:rsidRPr="00555190" w14:paraId="17E5959F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34D9CF8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182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2FB25C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F4D2709" w14:textId="77777777" w:rsidTr="00025909">
        <w:trPr>
          <w:trHeight w:val="11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9A311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5.1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E1A6C1" w14:textId="77777777" w:rsidR="00255EB4" w:rsidRPr="00555190" w:rsidRDefault="00000000" w:rsidP="00025909">
            <w:pPr>
              <w:pStyle w:val="a0"/>
              <w:spacing w:line="262" w:lineRule="auto"/>
              <w:ind w:right="144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Ämnen som klassificerats i enlighet med del 3 i bilaga VI till Europaparlamentets och rådets förordning (EG) 1272/2008 av den 16 december 2008 om klassificering, märkning och förpackning av ämnen och blandningar, ändring och upphävande av direktiven 67/548/EEG och 1999/45/EG samt ändring av förordning (EG) 1907/2006 (EUT L 353, 31.12.2006, s. 1), senast ändrad genom förordning (EU) 2016/1179 (EUT L 195, 20.7.2016, s. 11) som </w:t>
            </w:r>
            <w:r>
              <w:rPr>
                <w:rStyle w:val="a"/>
                <w:color w:val="000000"/>
                <w:sz w:val="12"/>
                <w:b/>
              </w:rPr>
              <w:t xml:space="preserve">CMR-ämnen i kategori 1A, 1B, 2 eller Lact.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7235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28EC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6A8D5B40" w14:textId="77777777" w:rsidTr="00025909">
        <w:trPr>
          <w:trHeight w:val="5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DF78EE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5.2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2F3BA0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Ämnen klassificerade enligt den förteckning över klassificeringar som upprättats av Internationella centret för cancerforskning (</w:t>
            </w:r>
            <w:r>
              <w:rPr>
                <w:rStyle w:val="a"/>
                <w:color w:val="000000"/>
                <w:sz w:val="12"/>
                <w:b/>
              </w:rPr>
              <w:t xml:space="preserve">IARC</w:t>
            </w:r>
            <w:r>
              <w:rPr>
                <w:rStyle w:val="a"/>
                <w:color w:val="000000"/>
                <w:sz w:val="12"/>
              </w:rPr>
              <w:t xml:space="preserve">) med avseende på cancerframkallande effekter hos människor i </w:t>
            </w:r>
            <w:r>
              <w:rPr>
                <w:rStyle w:val="a"/>
                <w:color w:val="000000"/>
                <w:sz w:val="12"/>
                <w:b/>
              </w:rPr>
              <w:t xml:space="preserve">Grupp 1, 2A eller 2B</w:t>
            </w:r>
            <w:r>
              <w:rPr>
                <w:rStyle w:val="a"/>
                <w:color w:val="000000"/>
                <w:sz w:val="12"/>
              </w:rPr>
              <w:t xml:space="preserve"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F11A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5648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15B1F717" w14:textId="77777777" w:rsidTr="00025909">
        <w:trPr>
          <w:trHeight w:val="6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29931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5.3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EBB8B4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Ämnen som klassificeras som antingen "kända" eller "rimligen förväntade" att vara cancerframkallande för människor av Förenta staternas nationella toxikologiprogram (NTP)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9AB4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DA7F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7D892253" w14:textId="77777777" w:rsidTr="00025909">
        <w:trPr>
          <w:trHeight w:val="8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0FBF4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5.4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5F1188" w14:textId="06C099AD" w:rsidR="00255EB4" w:rsidRPr="00555190" w:rsidRDefault="00000000" w:rsidP="00025909">
            <w:pPr>
              <w:pStyle w:val="a0"/>
              <w:spacing w:line="259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Ämnen som enligt </w:t>
            </w:r>
            <w:r>
              <w:rPr>
                <w:rStyle w:val="a"/>
                <w:color w:val="000000"/>
                <w:sz w:val="12"/>
                <w:b/>
              </w:rPr>
              <w:t xml:space="preserve">Förteckning över MAK- och BAT-värden</w:t>
            </w:r>
            <w:r>
              <w:rPr>
                <w:rStyle w:val="a"/>
                <w:color w:val="000000"/>
                <w:sz w:val="12"/>
              </w:rPr>
              <w:t xml:space="preserve"> (publicerad av Deutsche Forschungsgemeinschaft (DFG)) har av MAK-kommissionen klassificerats som cancerframkallande i kategorierna 1, 2, 4 eller 5, att ha teratogena effekter i kategorierna A, B eller C och att ha könscellsmutagena effekter i kategorierna 1, 2, 3A eller 3B.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30712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21B2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4CB6479" w14:textId="77777777" w:rsidTr="00025909">
        <w:trPr>
          <w:trHeight w:val="4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F6D359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5.5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16C749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Ämnen som klassificeras som cancerframkallande, mutagena eller reproduktionstoxiska av Europeiska myndigheten för livsmedelssäkerhet (EFSA).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8201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3499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891F0C3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DA5364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5.1 - 5.5</w:t>
            </w:r>
          </w:p>
        </w:tc>
        <w:tc>
          <w:tcPr>
            <w:tcW w:w="55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BE1EF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Exempel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B691F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Isoforon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A9F6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9D3DB72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CE21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4BD918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9A0E7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Pyridin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A1E2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4C05EBA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96620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073AA60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00BA20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Myrcen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15E6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4181FFC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FEEB5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8969C4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F5400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Chrysene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550C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154D95A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8FC38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24D596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C91C6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Bens(a)antracen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1375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49BD6E8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2315E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200B3D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F560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Bens(b)fluoranten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492A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8410833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9056E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2161B77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C79C1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Titandioxid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B9B4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8C09DE5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E46DB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351A92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D2DBF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Metyleugenol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D764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5FCD696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765B4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179924D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260DDC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Safrol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EAA0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A26B100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C0F37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5848CDD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0D47C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Estragol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8AB7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F3EE4A2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10C64" w14:textId="77777777" w:rsidR="00255EB4" w:rsidRPr="00555190" w:rsidRDefault="00000000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5.6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B25256F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Ämnen med effekter på</w:t>
            </w:r>
          </w:p>
          <w:p w14:paraId="2B19C34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reproduktionssystemet</w:t>
            </w:r>
          </w:p>
        </w:tc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655E3A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Parabener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DC8BF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Propylparaben (parahydroxibensoesyrapropylester)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28C13" w14:textId="77777777" w:rsidR="00255EB4" w:rsidRDefault="00000000">
            <w:pPr>
              <w:pStyle w:val="a0"/>
              <w:spacing w:line="264" w:lineRule="auto"/>
              <w:rPr>
                <w:rStyle w:val="a"/>
                <w:color w:val="000000"/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Vissa parabener visar reproduktionstoxiska effekter </w:t>
            </w:r>
            <w:r>
              <w:rPr>
                <w:rStyle w:val="a"/>
                <w:color w:val="000000"/>
                <w:sz w:val="12"/>
                <w:i/>
              </w:rPr>
              <w:t xml:space="preserve">in vivo</w:t>
            </w:r>
            <w:r>
              <w:rPr>
                <w:rStyle w:val="a"/>
                <w:color w:val="000000"/>
                <w:sz w:val="12"/>
              </w:rPr>
              <w:t xml:space="preserve">.</w:t>
            </w:r>
          </w:p>
          <w:p w14:paraId="77BB76E7" w14:textId="77777777" w:rsidR="002B5C56" w:rsidRPr="00555190" w:rsidRDefault="002B5C56">
            <w:pPr>
              <w:pStyle w:val="a0"/>
              <w:spacing w:line="264" w:lineRule="auto"/>
              <w:rPr>
                <w:sz w:val="12"/>
                <w:szCs w:val="12"/>
                <w:lang w:val="de-DE"/>
              </w:rPr>
            </w:pPr>
          </w:p>
          <w:p w14:paraId="6FF48CB7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Referenser:</w:t>
            </w:r>
          </w:p>
          <w:p w14:paraId="13C74431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SCCS (Vetenskapliga kommittén för konsumentsäkerhet) (2021).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Yttrande om propylparaben (CAS-nr 94-13-3, EG-nr 202-307-7), preliminär version av den 27–28 oktober 2020, slutlig version av den 30–31 mars 2021, SCCS/1623/20</w:t>
            </w:r>
          </w:p>
          <w:p w14:paraId="5E8FBB14" w14:textId="77777777" w:rsidR="00255EB4" w:rsidRPr="00025909" w:rsidRDefault="00255EB4">
            <w:pPr>
              <w:pStyle w:val="a0"/>
              <w:spacing w:line="257" w:lineRule="auto"/>
              <w:rPr>
                <w:rStyle w:val="a"/>
                <w:color w:val="000000"/>
                <w:sz w:val="10"/>
                <w:szCs w:val="10"/>
                <w:u w:val="single"/>
              </w:rPr>
            </w:pPr>
            <w:hyperlink r:id="rId26" w:history="1">
              <w:r>
                <w:rPr>
                  <w:rStyle w:val="a"/>
                  <w:color w:val="000000"/>
                  <w:sz w:val="10"/>
                </w:rPr>
                <w:t xml:space="preserve">https://health.ec.europa.eu/document/download/7c416df0-2650-4d7a-</w:t>
              </w:r>
            </w:hyperlink>
            <w:r>
              <w:rPr>
                <w:rStyle w:val="a"/>
                <w:color w:val="000000"/>
                <w:sz w:val="10"/>
                <w:u w:val="single"/>
              </w:rPr>
              <w:t xml:space="preserve">82f7-650081bf250c_en?filename=sccs_o_243.pdf</w:t>
            </w:r>
          </w:p>
          <w:p w14:paraId="00AF111C" w14:textId="77777777" w:rsidR="002B5C56" w:rsidRPr="00025909" w:rsidRDefault="002B5C56">
            <w:pPr>
              <w:pStyle w:val="a0"/>
              <w:spacing w:line="257" w:lineRule="auto"/>
              <w:rPr>
                <w:sz w:val="10"/>
                <w:szCs w:val="10"/>
              </w:rPr>
            </w:pPr>
          </w:p>
          <w:p w14:paraId="4B08DFB5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EFSA (Europeiska myndigheten för livsmedelssäkerhet) (2004).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Yttrande från</w:t>
            </w:r>
          </w:p>
          <w:p w14:paraId="2E7AFCBF" w14:textId="77777777" w:rsidR="00255EB4" w:rsidRPr="00555190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Vetenskapliga panelen för livsmedelstillsatser, aromämnen, processhjälpmedel och material i kontakt med livsmedel (AFC) avseende parahydroxibensoater (E 214–219).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EFSA Journal:s digitala objektidentifierare: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hyperlink r:id="rId27" w:history="1">
              <w:r>
                <w:rPr>
                  <w:rStyle w:val="a"/>
                  <w:color w:val="000000"/>
                  <w:sz w:val="10"/>
                  <w:u w:val="single"/>
                </w:rPr>
                <w:t xml:space="preserve">https://doi.org/10.2903/j.efsa.2004.83</w:t>
              </w:r>
            </w:hyperlink>
          </w:p>
        </w:tc>
      </w:tr>
      <w:tr w:rsidR="00255EB4" w:rsidRPr="00555190" w14:paraId="5EB1C820" w14:textId="77777777" w:rsidTr="00025909">
        <w:trPr>
          <w:trHeight w:val="187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D5EBF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2BCB8AF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9F5DA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9B34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Natriumpropylparaben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F872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EA90414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575A5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33209A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A95F8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C199CD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Kaliumpropylparaben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6215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97F5367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0E637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540986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8AC1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392DFC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Butylparaben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600F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0B82EB0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AF6A3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4889902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6AE98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8E9C7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Natriumbutylparaben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55DB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8DA5AC3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E3DD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44C0960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47755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6E31D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Kaliumbutylparaben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A389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E90287E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D8DD8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79B86E0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61A32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BC502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Isobutylparaben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BCB3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46A9EE4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6E3B0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EDA1E9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D3FAB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62E80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Natriumisobutylparaben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2AD2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B90F427" w14:textId="77777777" w:rsidTr="00025909">
        <w:trPr>
          <w:trHeight w:val="77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5E813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9902CD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160D3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0635F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16B6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2CA1B91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F3517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1B88044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1953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965D4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502D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7EE686F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05C06" w14:textId="77777777" w:rsidR="00255EB4" w:rsidRPr="00555190" w:rsidRDefault="00000000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5.7</w:t>
            </w:r>
          </w:p>
        </w:tc>
        <w:tc>
          <w:tcPr>
            <w:tcW w:w="55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271D8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Sassafras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5C673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Sassafrasolja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AF8F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Innehåller safrol.</w:t>
            </w:r>
          </w:p>
        </w:tc>
      </w:tr>
      <w:tr w:rsidR="00255EB4" w:rsidRPr="00555190" w14:paraId="6C9A2CBD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94D7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5B8D40E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F5E4B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Sassafras</w:t>
            </w:r>
            <w:r>
              <w:rPr>
                <w:rStyle w:val="a"/>
                <w:color w:val="000000"/>
                <w:sz w:val="12"/>
              </w:rPr>
              <w:t xml:space="preserve">trä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1399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D61A26F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B3504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071BE3A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93D2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Sassafras</w:t>
            </w:r>
            <w:r>
              <w:rPr>
                <w:rStyle w:val="a"/>
                <w:color w:val="000000"/>
                <w:sz w:val="12"/>
              </w:rPr>
              <w:t xml:space="preserve">löv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B156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B1E1E06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A139C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531EB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35715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Sassafras</w:t>
            </w:r>
            <w:r>
              <w:rPr>
                <w:rStyle w:val="a"/>
                <w:color w:val="000000"/>
                <w:sz w:val="12"/>
              </w:rPr>
              <w:t xml:space="preserve">bark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DD71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4D72D48C" w14:textId="77777777" w:rsidR="00296790" w:rsidRPr="00555190" w:rsidRDefault="00296790">
      <w:pPr>
        <w:rPr>
          <w:lang w:val="de-DE"/>
        </w:rPr>
      </w:pPr>
    </w:p>
    <w:sectPr w:rsidR="00296790" w:rsidRPr="00555190" w:rsidSect="002B5C56">
      <w:headerReference w:type="first" r:id="rId28"/>
      <w:pgSz w:w="18720" w:h="12240" w:orient="landscape"/>
      <w:pgMar w:top="1586" w:right="1851" w:bottom="1041" w:left="2074" w:header="68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97D29" w14:textId="77777777" w:rsidR="00627665" w:rsidRDefault="00627665">
      <w:r>
        <w:separator/>
      </w:r>
    </w:p>
  </w:endnote>
  <w:endnote w:type="continuationSeparator" w:id="0">
    <w:p w14:paraId="2D8B5A6E" w14:textId="77777777" w:rsidR="00627665" w:rsidRDefault="0062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4DEA0" w14:textId="766888E0" w:rsidR="00555190" w:rsidRDefault="00555190" w:rsidP="00555190">
    <w:pPr>
      <w:pStyle w:val="Footer"/>
      <w:jc w:val="center"/>
    </w:pPr>
    <w:bookmarkStart w:id="2" w:name="bookmark4"/>
    <w:r>
      <w:rPr>
        <w:rStyle w:val="21"/>
      </w:rPr>
      <w:t xml:space="preserve">Sida </w:t>
    </w:r>
    <w:r w:rsidRPr="00555190">
      <w:rPr>
        <w:rStyle w:val="21"/>
        <w:b/>
      </w:rPr>
      <w:fldChar w:fldCharType="begin"/>
    </w:r>
    <w:r w:rsidRPr="00555190">
      <w:rPr>
        <w:rStyle w:val="21"/>
        <w:b/>
      </w:rPr>
      <w:instrText>PAGE  \* Arabic  \* MERGEFORMAT</w:instrText>
    </w:r>
    <w:r w:rsidRPr="00555190">
      <w:rPr>
        <w:rStyle w:val="21"/>
        <w:b/>
      </w:rPr>
      <w:fldChar w:fldCharType="separate"/>
    </w:r>
    <w:r w:rsidRPr="00555190">
      <w:rPr>
        <w:rStyle w:val="21"/>
        <w:b/>
      </w:rPr>
      <w:t>1</w:t>
    </w:r>
    <w:r w:rsidRPr="00555190">
      <w:rPr>
        <w:rStyle w:val="21"/>
        <w:b/>
      </w:rPr>
      <w:fldChar w:fldCharType="end"/>
    </w:r>
    <w:r>
      <w:rPr>
        <w:rStyle w:val="21"/>
      </w:rPr>
      <w:t xml:space="preserve"> av </w:t>
    </w:r>
    <w:r>
      <w:rPr>
        <w:rStyle w:val="21"/>
      </w:rPr>
      <w:t xml:space="preserve"> </w:t>
    </w:r>
    <w:r w:rsidRPr="00555190">
      <w:rPr>
        <w:rStyle w:val="21"/>
        <w:b/>
      </w:rPr>
      <w:fldChar w:fldCharType="begin" w:dirty="true"/>
    </w:r>
    <w:r w:rsidRPr="00555190">
      <w:rPr>
        <w:rStyle w:val="21"/>
        <w:b/>
      </w:rPr>
      <w:instrText>NUMPAGES  \* Arabic  \* MERGEFORMAT</w:instrText>
    </w:r>
    <w:r w:rsidRPr="00555190">
      <w:rPr>
        <w:rStyle w:val="21"/>
        <w:b/>
      </w:rPr>
      <w:fldChar w:fldCharType="separate"/>
    </w:r>
    <w:r w:rsidRPr="00555190">
      <w:rPr>
        <w:rStyle w:val="21"/>
        <w:b/>
      </w:rPr>
      <w:t>2</w:t>
    </w:r>
    <w:r w:rsidRPr="00555190">
      <w:rPr>
        <w:rStyle w:val="21"/>
        <w:b/>
      </w:rPr>
      <w:fldChar w:fldCharType="end"/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C012A" w14:textId="724A713D" w:rsidR="00555190" w:rsidRDefault="00555190" w:rsidP="00555190">
    <w:pPr>
      <w:pStyle w:val="Footer"/>
      <w:jc w:val="center"/>
    </w:pPr>
    <w:r>
      <w:rPr>
        <w:rStyle w:val="21"/>
      </w:rPr>
      <w:t xml:space="preserve">Sida </w:t>
    </w:r>
    <w:r w:rsidRPr="00555190">
      <w:rPr>
        <w:rStyle w:val="21"/>
        <w:b/>
      </w:rPr>
      <w:fldChar w:fldCharType="begin"/>
    </w:r>
    <w:r w:rsidRPr="00555190">
      <w:rPr>
        <w:rStyle w:val="21"/>
        <w:b/>
      </w:rPr>
      <w:instrText>PAGE  \* Arabic  \* MERGEFORMAT</w:instrText>
    </w:r>
    <w:r w:rsidRPr="00555190">
      <w:rPr>
        <w:rStyle w:val="21"/>
        <w:b/>
      </w:rPr>
      <w:fldChar w:fldCharType="separate"/>
    </w:r>
    <w:r>
      <w:rPr>
        <w:rStyle w:val="21"/>
        <w:b/>
      </w:rPr>
      <w:t>1</w:t>
    </w:r>
    <w:r w:rsidRPr="00555190">
      <w:rPr>
        <w:rStyle w:val="21"/>
        <w:b/>
      </w:rPr>
      <w:fldChar w:fldCharType="end"/>
    </w:r>
    <w:r>
      <w:rPr>
        <w:rStyle w:val="21"/>
      </w:rPr>
      <w:t xml:space="preserve"> av </w:t>
    </w:r>
    <w:r>
      <w:rPr>
        <w:rStyle w:val="21"/>
      </w:rPr>
      <w:t xml:space="preserve"> </w:t>
    </w:r>
    <w:r w:rsidRPr="00555190">
      <w:rPr>
        <w:rStyle w:val="21"/>
        <w:b/>
      </w:rPr>
      <w:fldChar w:fldCharType="begin" w:dirty="true"/>
    </w:r>
    <w:r w:rsidRPr="00555190">
      <w:rPr>
        <w:rStyle w:val="21"/>
        <w:b/>
      </w:rPr>
      <w:instrText>NUMPAGES  \* Arabic  \* MERGEFORMAT</w:instrText>
    </w:r>
    <w:r w:rsidRPr="00555190">
      <w:rPr>
        <w:rStyle w:val="21"/>
        <w:b/>
      </w:rPr>
      <w:fldChar w:fldCharType="separate"/>
    </w:r>
    <w:r>
      <w:rPr>
        <w:rStyle w:val="21"/>
        <w:b/>
      </w:rPr>
      <w:t>13</w:t>
    </w:r>
    <w:r w:rsidRPr="00555190">
      <w:rPr>
        <w:rStyle w:val="21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E6CA1" w14:textId="77777777" w:rsidR="00627665" w:rsidRDefault="00627665"/>
  </w:footnote>
  <w:footnote w:type="continuationSeparator" w:id="0">
    <w:p w14:paraId="771FFACE" w14:textId="77777777" w:rsidR="00627665" w:rsidRDefault="006276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ED597" w14:textId="77777777" w:rsidR="00555190" w:rsidRDefault="00555190" w:rsidP="00555190">
    <w:pPr>
      <w:pStyle w:val="20"/>
      <w:rPr>
        <w:rStyle w:val="2"/>
        <w:rFonts w:ascii="Calibri" w:eastAsia="Calibri" w:hAnsi="Calibri" w:cs="Calibri"/>
        <w:sz w:val="18"/>
        <w:szCs w:val="18"/>
      </w:rPr>
    </w:pPr>
  </w:p>
  <w:p w14:paraId="0D57D284" w14:textId="01FABE9A" w:rsidR="00555190" w:rsidRPr="00555190" w:rsidRDefault="00555190" w:rsidP="00555190">
    <w:pPr>
      <w:pStyle w:val="20"/>
      <w:jc w:val="right"/>
      <w:rPr>
        <w:sz w:val="18"/>
        <w:szCs w:val="18"/>
      </w:rPr>
    </w:pPr>
    <w:r>
      <w:rPr>
        <w:rStyle w:val="2"/>
        <w:sz w:val="18"/>
        <w:rFonts w:ascii="Calibri" w:hAnsi="Calibri"/>
      </w:rPr>
      <w:t xml:space="preserve">Slutlig version enligt den rådgivande kommittén för ingredienser</w:t>
    </w:r>
  </w:p>
  <w:p w14:paraId="38656AD9" w14:textId="0290F01A" w:rsidR="00255EB4" w:rsidRPr="00555190" w:rsidRDefault="00255EB4">
    <w:pPr>
      <w:spacing w:line="1" w:lineRule="exact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8270F" w14:textId="77777777" w:rsidR="00555190" w:rsidRDefault="00555190" w:rsidP="00555190">
    <w:pPr>
      <w:pStyle w:val="20"/>
      <w:rPr>
        <w:rStyle w:val="2"/>
        <w:rFonts w:ascii="Calibri" w:eastAsia="Calibri" w:hAnsi="Calibri" w:cs="Calibri"/>
        <w:sz w:val="18"/>
        <w:szCs w:val="18"/>
      </w:rPr>
    </w:pPr>
  </w:p>
  <w:p w14:paraId="419F2737" w14:textId="77777777" w:rsidR="00555190" w:rsidRPr="00555190" w:rsidRDefault="00555190" w:rsidP="00555190">
    <w:pPr>
      <w:pStyle w:val="20"/>
      <w:jc w:val="right"/>
      <w:rPr>
        <w:sz w:val="18"/>
        <w:szCs w:val="18"/>
      </w:rPr>
    </w:pPr>
    <w:r>
      <w:rPr>
        <w:rStyle w:val="2"/>
        <w:sz w:val="18"/>
        <w:rFonts w:ascii="Calibri" w:hAnsi="Calibri"/>
      </w:rPr>
      <w:t xml:space="preserve">Slutlig version enligt den rådgivande kommittén för ingredienser</w:t>
    </w:r>
  </w:p>
  <w:p w14:paraId="11B04EBC" w14:textId="77777777" w:rsidR="00555190" w:rsidRPr="00555190" w:rsidRDefault="00555190" w:rsidP="00555190">
    <w:pPr>
      <w:spacing w:line="1" w:lineRule="exact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dirty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B4"/>
    <w:rsid w:val="00025909"/>
    <w:rsid w:val="001652C2"/>
    <w:rsid w:val="0024331C"/>
    <w:rsid w:val="00255EB4"/>
    <w:rsid w:val="00296790"/>
    <w:rsid w:val="002B5C56"/>
    <w:rsid w:val="0033216F"/>
    <w:rsid w:val="00555190"/>
    <w:rsid w:val="00627665"/>
    <w:rsid w:val="008A46F5"/>
    <w:rsid w:val="00E5705F"/>
    <w:rsid w:val="00F6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D4FB1"/>
  <w15:docId w15:val="{989224BE-25D7-497C-8B6E-E682C3EC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sv-SE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19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Επικεφαλίδα #1_"/>
    <w:basedOn w:val="DefaultParagraphFont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Κεφαλίδα ή υποσέλιδο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Επικεφαλίδα #2_"/>
    <w:basedOn w:val="DefaultParagraphFont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">
    <w:name w:val="Άλλα_"/>
    <w:basedOn w:val="DefaultParagraphFont"/>
    <w:link w:val="a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41414"/>
      <w:sz w:val="13"/>
      <w:szCs w:val="13"/>
      <w:u w:val="none"/>
    </w:rPr>
  </w:style>
  <w:style w:type="paragraph" w:customStyle="1" w:styleId="10">
    <w:name w:val="Επικεφαλίδα #1"/>
    <w:basedOn w:val="Normal"/>
    <w:link w:val="1"/>
    <w:pPr>
      <w:spacing w:line="257" w:lineRule="auto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20">
    <w:name w:val="Κεφαλίδα ή υποσέλιδο (2)"/>
    <w:basedOn w:val="Normal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Επικεφαλίδα #2"/>
    <w:basedOn w:val="Normal"/>
    <w:link w:val="21"/>
    <w:pPr>
      <w:spacing w:line="257" w:lineRule="auto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a0">
    <w:name w:val="Άλλα"/>
    <w:basedOn w:val="Normal"/>
    <w:link w:val="a"/>
    <w:rPr>
      <w:rFonts w:ascii="Tahoma" w:eastAsia="Tahoma" w:hAnsi="Tahoma" w:cs="Tahoma"/>
      <w:color w:val="141414"/>
      <w:sz w:val="13"/>
      <w:szCs w:val="13"/>
    </w:rPr>
  </w:style>
  <w:style w:type="paragraph" w:styleId="Header">
    <w:name w:val="header"/>
    <w:basedOn w:val="Normal"/>
    <w:link w:val="HeaderChar"/>
    <w:uiPriority w:val="99"/>
    <w:unhideWhenUsed/>
    <w:rsid w:val="00555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19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55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19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doi.org/10.1586/ers.10.74" TargetMode="External"/><Relationship Id="rId18" Type="http://schemas.openxmlformats.org/officeDocument/2006/relationships/hyperlink" Target="https://www.cdc.gov/tobacco/basic_information/e-cigarettes/severe-lung-disease.html" TargetMode="External"/><Relationship Id="rId26" Type="http://schemas.openxmlformats.org/officeDocument/2006/relationships/hyperlink" Target="https://health.ec.europa.eu/document/download/7c416df0-2650-4d7a-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1002/3527600418._mb60014d0062" TargetMode="External"/><Relationship Id="rId7" Type="http://schemas.openxmlformats.org/officeDocument/2006/relationships/footer" Target="footer1.xml"/><Relationship Id="rId12" Type="http://schemas.openxmlformats.org/officeDocument/2006/relationships/hyperlink" Target="https://doi.org/10.3109/03602532.2014.990032" TargetMode="External"/><Relationship Id="rId17" Type="http://schemas.openxmlformats.org/officeDocument/2006/relationships/hyperlink" Target="https://www.hse.gov.uk/asthma/asthmagen.pdf" TargetMode="External"/><Relationship Id="rId25" Type="http://schemas.openxmlformats.org/officeDocument/2006/relationships/hyperlink" Target="https://doi.org/10.1093/ntr/nts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x.doi.org/10.3348/jkrs.1998.38.3.453" TargetMode="External"/><Relationship Id="rId20" Type="http://schemas.openxmlformats.org/officeDocument/2006/relationships/hyperlink" Target="https://doi.org/10.1002/3527600418.mb43103d005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doi.org/10.2903/j.efsa.2008.298" TargetMode="External"/><Relationship Id="rId24" Type="http://schemas.openxmlformats.org/officeDocument/2006/relationships/hyperlink" Target="https://jaotc.eu/wp-content/uploads/2021/04/D9.3-Report-on-the-peer-review-of-the-enhanced-reporting-information-on-priority-additives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hieme-connect.com/products/ejournals/abstract/10.1055/s-0029-1244813" TargetMode="External"/><Relationship Id="rId23" Type="http://schemas.openxmlformats.org/officeDocument/2006/relationships/hyperlink" Target="https://doi.org/10.1002/3527600418.mb7490verd0032.https://onlinelibrary.wiley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doi.org/10.2903/j.efsa.2004.83" TargetMode="External"/><Relationship Id="rId19" Type="http://schemas.openxmlformats.org/officeDocument/2006/relationships/hyperlink" Target="https://www.nejm.org/doi/full/10.1056/NEJMoa19164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ealth.ec.europa.eu/document/download/7c416df0-2650-4d7a-82f7-650081bf250c_en?filename=sccs_o_243._pdf" TargetMode="External"/><Relationship Id="rId14" Type="http://schemas.openxmlformats.org/officeDocument/2006/relationships/hyperlink" Target="https://rc.rcjournal.com/content/respcare/58/3/e23.full.pdf" TargetMode="External"/><Relationship Id="rId22" Type="http://schemas.openxmlformats.org/officeDocument/2006/relationships/hyperlink" Target="https://www.bfr.bund.de/cm/343/gesundheitliche-bewertung-von-zusatzstoffen-" TargetMode="External"/><Relationship Id="rId27" Type="http://schemas.openxmlformats.org/officeDocument/2006/relationships/hyperlink" Target="https://doi.org/10.2903/j.efsa.2004.8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3315</Words>
  <Characters>18899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Vejdovszky Katharina</dc:creator>
  <cp:keywords/>
  <cp:lastModifiedBy>Anastasia Stavroulaki</cp:lastModifiedBy>
  <cp:revision>5</cp:revision>
  <dcterms:created xsi:type="dcterms:W3CDTF">2024-11-08T05:06:00Z</dcterms:created>
  <dcterms:modified xsi:type="dcterms:W3CDTF">2024-11-08T09:08:00Z</dcterms:modified>
</cp:coreProperties>
</file>