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71382" w14:textId="77777777" w:rsidR="008703BA" w:rsidRPr="00F079B9" w:rsidRDefault="008703BA" w:rsidP="008703BA">
      <w:pPr>
        <w:spacing w:line="312" w:lineRule="auto"/>
        <w:jc w:val="center"/>
        <w:rPr>
          <w:b/>
          <w:sz w:val="26"/>
          <w:szCs w:val="26"/>
          <w:rFonts w:ascii="Arial" w:hAnsi="Arial" w:cs="Arial"/>
        </w:rPr>
      </w:pPr>
      <w:r>
        <w:rPr>
          <w:b/>
          <w:sz w:val="26"/>
          <w:rFonts w:ascii="Arial" w:hAnsi="Arial"/>
        </w:rPr>
        <w:t xml:space="preserve">Deželni zakon</w:t>
      </w:r>
    </w:p>
    <w:p w14:paraId="19D40DFD" w14:textId="77777777" w:rsidR="008703BA" w:rsidRPr="00F079B9" w:rsidRDefault="008703BA" w:rsidP="008703BA">
      <w:pPr>
        <w:spacing w:line="312" w:lineRule="auto"/>
        <w:jc w:val="center"/>
        <w:rPr>
          <w:b/>
          <w:sz w:val="22"/>
          <w:szCs w:val="24"/>
          <w:rFonts w:ascii="Arial" w:hAnsi="Arial" w:cs="Arial"/>
        </w:rPr>
      </w:pPr>
      <w:r>
        <w:rPr>
          <w:b/>
          <w:sz w:val="22"/>
          <w:rFonts w:ascii="Arial" w:hAnsi="Arial"/>
        </w:rPr>
        <w:t xml:space="preserve">o spremembi zakona o gradbeni tehnologiji Zgornje Avstrije iz leta 2013</w:t>
      </w:r>
    </w:p>
    <w:p w14:paraId="77295961" w14:textId="77777777" w:rsidR="008703BA" w:rsidRPr="00F079B9" w:rsidRDefault="008703BA" w:rsidP="008703BA">
      <w:pPr>
        <w:spacing w:line="312" w:lineRule="auto"/>
        <w:jc w:val="center"/>
        <w:rPr>
          <w:b/>
          <w:sz w:val="22"/>
          <w:szCs w:val="22"/>
          <w:rFonts w:ascii="Arial" w:hAnsi="Arial" w:cs="Arial"/>
        </w:rPr>
      </w:pPr>
      <w:r>
        <w:rPr>
          <w:b/>
          <w:sz w:val="22"/>
          <w:rFonts w:ascii="Arial" w:hAnsi="Arial"/>
        </w:rPr>
        <w:t xml:space="preserve">(Oö. Bautechnikgesetz-Novelle 2026)</w:t>
      </w:r>
    </w:p>
    <w:p w14:paraId="0856E078" w14:textId="77777777" w:rsidR="008703BA" w:rsidRPr="00F079B9" w:rsidRDefault="008703BA" w:rsidP="008703BA">
      <w:pPr>
        <w:spacing w:line="312" w:lineRule="auto"/>
        <w:jc w:val="both"/>
        <w:rPr>
          <w:rFonts w:ascii="Arial" w:hAnsi="Arial" w:cs="Arial"/>
          <w:sz w:val="22"/>
          <w:szCs w:val="22"/>
        </w:rPr>
      </w:pPr>
    </w:p>
    <w:p w14:paraId="07EE0362" w14:textId="77777777" w:rsidR="008703BA" w:rsidRPr="00F079B9" w:rsidRDefault="008703BA" w:rsidP="008703BA">
      <w:pPr>
        <w:spacing w:line="312" w:lineRule="auto"/>
        <w:jc w:val="both"/>
        <w:rPr>
          <w:rFonts w:ascii="Arial" w:hAnsi="Arial" w:cs="Arial"/>
          <w:sz w:val="22"/>
          <w:szCs w:val="22"/>
        </w:rPr>
      </w:pPr>
    </w:p>
    <w:p w14:paraId="51048B63"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Deželni parlament Zgornje Avstrije (Landtag) je sklenil:</w:t>
      </w:r>
    </w:p>
    <w:p w14:paraId="36642510" w14:textId="77777777" w:rsidR="008703BA" w:rsidRPr="00F079B9" w:rsidRDefault="008703BA" w:rsidP="008703BA">
      <w:pPr>
        <w:rPr>
          <w:rFonts w:ascii="Arial" w:hAnsi="Arial"/>
          <w:sz w:val="22"/>
          <w:szCs w:val="24"/>
        </w:rPr>
      </w:pPr>
    </w:p>
    <w:p w14:paraId="3AEEB752" w14:textId="77777777" w:rsidR="008703BA" w:rsidRPr="00F079B9" w:rsidRDefault="008703BA" w:rsidP="008703BA">
      <w:pPr>
        <w:spacing w:line="312" w:lineRule="auto"/>
        <w:jc w:val="center"/>
        <w:outlineLvl w:val="2"/>
        <w:rPr>
          <w:b/>
          <w:snapToGrid w:val="0"/>
          <w:color w:val="000000"/>
          <w:sz w:val="22"/>
          <w:szCs w:val="22"/>
          <w:rFonts w:ascii="Arial" w:hAnsi="Arial" w:cs="Arial"/>
        </w:rPr>
      </w:pPr>
      <w:r>
        <w:rPr>
          <w:b/>
          <w:snapToGrid w:val="0"/>
          <w:color w:val="000000"/>
          <w:sz w:val="22"/>
          <w:rFonts w:ascii="Arial" w:hAnsi="Arial"/>
        </w:rPr>
        <w:t xml:space="preserve">Člen I</w:t>
      </w:r>
    </w:p>
    <w:p w14:paraId="72FB9CD4"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Zakon o gradbeni tehnologiji Zgornje Avstrije iz leta 2013, Deželni uradni list št. 35/2013, kakor je bil spremenjen z deželnim zakonom v Deželnem uradnem listu št. 84/2025, se spremeni:</w:t>
      </w:r>
    </w:p>
    <w:p w14:paraId="39BC5B44"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0A060910" w14:textId="783A3873"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1.</w:t>
      </w:r>
      <w:r>
        <w:rPr>
          <w:i/>
          <w:snapToGrid w:val="0"/>
          <w:color w:val="000000"/>
          <w:sz w:val="22"/>
          <w:rFonts w:ascii="Arial" w:hAnsi="Arial"/>
        </w:rPr>
        <w:t xml:space="preserve"> </w:t>
      </w:r>
      <w:r>
        <w:rPr>
          <w:i/>
          <w:snapToGrid w:val="0"/>
          <w:color w:val="000000"/>
          <w:sz w:val="22"/>
          <w:rFonts w:ascii="Arial" w:hAnsi="Arial"/>
        </w:rPr>
        <w:t xml:space="preserve">V kazalo vsebine se vnesejo naslednje spremembe:</w:t>
      </w:r>
    </w:p>
    <w:p w14:paraId="2496579F"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Vnos </w:t>
      </w:r>
      <w:r>
        <w:rPr>
          <w:snapToGrid w:val="0"/>
          <w:color w:val="000000"/>
          <w:sz w:val="22"/>
          <w:rFonts w:ascii="Arial" w:hAnsi="Arial"/>
        </w:rPr>
        <w:t xml:space="preserve">„Priloga 1 (Označevanje skladnosti CE)“</w:t>
      </w:r>
      <w:r>
        <w:rPr>
          <w:snapToGrid w:val="0"/>
          <w:color w:val="000000"/>
          <w:sz w:val="22"/>
          <w:i/>
          <w:rFonts w:ascii="Arial" w:hAnsi="Arial"/>
        </w:rPr>
        <w:t xml:space="preserve"> se črta; prejšnji vnos </w:t>
      </w:r>
      <w:r>
        <w:rPr>
          <w:snapToGrid w:val="0"/>
          <w:color w:val="000000"/>
          <w:sz w:val="22"/>
          <w:rFonts w:ascii="Arial" w:hAnsi="Arial"/>
        </w:rPr>
        <w:t xml:space="preserve">„Priloga 2 (simbol namestitve)“</w:t>
      </w:r>
      <w:r>
        <w:rPr>
          <w:snapToGrid w:val="0"/>
          <w:color w:val="000000"/>
          <w:sz w:val="22"/>
          <w:i/>
          <w:rFonts w:ascii="Arial" w:hAnsi="Arial"/>
        </w:rPr>
        <w:t xml:space="preserve"> se glasi:</w:t>
      </w:r>
      <w:r>
        <w:rPr>
          <w:snapToGrid w:val="0"/>
          <w:color w:val="000000"/>
          <w:sz w:val="22"/>
          <w:i/>
          <w:rFonts w:ascii="Arial" w:hAnsi="Arial"/>
        </w:rPr>
        <w:t xml:space="preserve"> </w:t>
      </w:r>
      <w:r>
        <w:rPr>
          <w:snapToGrid w:val="0"/>
          <w:color w:val="000000"/>
          <w:sz w:val="22"/>
          <w:rFonts w:ascii="Arial" w:hAnsi="Arial"/>
        </w:rPr>
        <w:t xml:space="preserve">„Priloga (simbol namestitve)“.</w:t>
      </w:r>
    </w:p>
    <w:p w14:paraId="36AC3A11"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083C66B6"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103D0101"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2.</w:t>
      </w:r>
      <w:r>
        <w:rPr>
          <w:i/>
          <w:snapToGrid w:val="0"/>
          <w:color w:val="000000"/>
          <w:sz w:val="22"/>
          <w:rFonts w:ascii="Arial" w:hAnsi="Arial"/>
        </w:rPr>
        <w:t xml:space="preserve"> </w:t>
      </w:r>
      <w:r>
        <w:rPr>
          <w:i/>
          <w:snapToGrid w:val="0"/>
          <w:color w:val="000000"/>
          <w:sz w:val="22"/>
          <w:rFonts w:ascii="Arial" w:hAnsi="Arial"/>
        </w:rPr>
        <w:t xml:space="preserve">Oddelek 51 se glasi:</w:t>
      </w:r>
    </w:p>
    <w:p w14:paraId="06B9253C" w14:textId="77777777" w:rsidR="00C35744" w:rsidRDefault="008703BA" w:rsidP="008703BA">
      <w:pPr>
        <w:spacing w:line="312" w:lineRule="auto"/>
        <w:jc w:val="center"/>
        <w:rPr>
          <w:b/>
          <w:snapToGrid w:val="0"/>
          <w:color w:val="000000"/>
          <w:sz w:val="22"/>
          <w:rFonts w:ascii="Arial" w:hAnsi="Arial"/>
        </w:rPr>
      </w:pPr>
      <w:r>
        <w:rPr>
          <w:b/>
          <w:snapToGrid w:val="0"/>
          <w:color w:val="000000"/>
          <w:sz w:val="22"/>
          <w:rFonts w:ascii="Arial" w:hAnsi="Arial"/>
        </w:rPr>
        <w:t xml:space="preserve">„Oddelek 51</w:t>
      </w:r>
    </w:p>
    <w:p w14:paraId="0F5C2F46" w14:textId="47F46AFC" w:rsidR="008703BA" w:rsidRPr="00F079B9" w:rsidRDefault="008703BA" w:rsidP="008703BA">
      <w:pPr>
        <w:spacing w:line="312" w:lineRule="auto"/>
        <w:jc w:val="center"/>
        <w:rPr>
          <w:b/>
          <w:snapToGrid w:val="0"/>
          <w:color w:val="000000"/>
          <w:sz w:val="22"/>
          <w:szCs w:val="22"/>
          <w:rFonts w:ascii="Arial" w:hAnsi="Arial" w:cs="Arial"/>
        </w:rPr>
      </w:pPr>
      <w:r>
        <w:rPr>
          <w:b/>
          <w:snapToGrid w:val="0"/>
          <w:color w:val="000000"/>
          <w:sz w:val="22"/>
          <w:rFonts w:ascii="Arial" w:hAnsi="Arial"/>
        </w:rPr>
        <w:t xml:space="preserve">Gradbeni proizvodi</w:t>
      </w:r>
    </w:p>
    <w:p w14:paraId="5E8E54D6"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(1) Gradbeni proizvodi morajo ustrezati namenu, tj. imeti morajo takšne značilnosti (bistvene zahteve), da bo stavba ali konstrukcija, za katero bodo uporabljeni z njihovo vgradnjo, spajanjem, pritrjevanjem ali namestitvijo, če je pravilno načrtovana in zgrajena, izpolnjevala zahteve:</w:t>
      </w:r>
    </w:p>
    <w:p w14:paraId="15598FBA" w14:textId="332453D8" w:rsidR="008703BA" w:rsidRPr="00F079B9" w:rsidRDefault="008703BA" w:rsidP="009D1A97">
      <w:pPr>
        <w:pStyle w:val="ListParagraph"/>
        <w:numPr>
          <w:ilvl w:val="0"/>
          <w:numId w:val="1"/>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mehanske trdnosti in stabilnosti,</w:t>
      </w:r>
    </w:p>
    <w:p w14:paraId="27EBA152" w14:textId="26B7C3F1" w:rsidR="008703BA" w:rsidRPr="00F079B9" w:rsidRDefault="008703BA" w:rsidP="009D1A97">
      <w:pPr>
        <w:pStyle w:val="ListParagraph"/>
        <w:numPr>
          <w:ilvl w:val="0"/>
          <w:numId w:val="1"/>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protipožarne zaščite,</w:t>
      </w:r>
    </w:p>
    <w:p w14:paraId="15989CF6" w14:textId="3F38DFA4" w:rsidR="008703BA" w:rsidRPr="00F079B9" w:rsidRDefault="008703BA" w:rsidP="009D1A97">
      <w:pPr>
        <w:pStyle w:val="ListParagraph"/>
        <w:numPr>
          <w:ilvl w:val="0"/>
          <w:numId w:val="1"/>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higienske in zdravstvene zaščite ter zaščite okolja,</w:t>
      </w:r>
    </w:p>
    <w:p w14:paraId="1ACA3880" w14:textId="585CAC42" w:rsidR="008703BA" w:rsidRPr="00F079B9" w:rsidRDefault="008703BA" w:rsidP="009D1A97">
      <w:pPr>
        <w:pStyle w:val="ListParagraph"/>
        <w:numPr>
          <w:ilvl w:val="0"/>
          <w:numId w:val="1"/>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varnosti uporabnikov,</w:t>
      </w:r>
    </w:p>
    <w:p w14:paraId="5AE643A4" w14:textId="16FC7BE4" w:rsidR="008703BA" w:rsidRPr="00F079B9" w:rsidRDefault="008703BA" w:rsidP="009D1A97">
      <w:pPr>
        <w:pStyle w:val="ListParagraph"/>
        <w:numPr>
          <w:ilvl w:val="0"/>
          <w:numId w:val="1"/>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zvočne izolacije in</w:t>
      </w:r>
    </w:p>
    <w:p w14:paraId="4EBDCCCF" w14:textId="7C25E2FB" w:rsidR="008703BA" w:rsidRPr="00F079B9" w:rsidRDefault="008703BA" w:rsidP="009D1A97">
      <w:pPr>
        <w:pStyle w:val="ListParagraph"/>
        <w:numPr>
          <w:ilvl w:val="0"/>
          <w:numId w:val="1"/>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varčevanja z energijo in toplotne</w:t>
      </w:r>
      <w:r>
        <w:rPr>
          <w:color w:val="000000"/>
          <w:rFonts w:ascii="Arial" w:hAnsi="Arial"/>
        </w:rPr>
        <w:t xml:space="preserve"> </w:t>
      </w:r>
    </w:p>
    <w:p w14:paraId="6267000F" w14:textId="77777777" w:rsidR="008703BA" w:rsidRPr="00F079B9" w:rsidRDefault="008703BA" w:rsidP="008703BA">
      <w:pPr>
        <w:spacing w:line="312" w:lineRule="auto"/>
        <w:jc w:val="both"/>
        <w:rPr>
          <w:color w:val="000000"/>
          <w:sz w:val="22"/>
          <w:szCs w:val="22"/>
          <w:rFonts w:ascii="Arial" w:eastAsiaTheme="minorEastAsia" w:hAnsi="Arial" w:cs="Arial"/>
        </w:rPr>
      </w:pPr>
      <w:r>
        <w:rPr>
          <w:color w:val="000000"/>
          <w:sz w:val="22"/>
          <w:rFonts w:ascii="Arial" w:hAnsi="Arial"/>
        </w:rPr>
        <w:t xml:space="preserve">izolacije.</w:t>
      </w:r>
    </w:p>
    <w:p w14:paraId="247A17A4"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(2) Za gradbene proizvode se domneva, da izpolnjujejo zahteve iz odstavka 1, razen če se to ovrže.</w:t>
      </w:r>
    </w:p>
    <w:p w14:paraId="7AE9C066" w14:textId="7C29A415" w:rsidR="008703BA" w:rsidRPr="00F079B9" w:rsidRDefault="008703BA" w:rsidP="009D1A97">
      <w:pPr>
        <w:pStyle w:val="ListParagraph"/>
        <w:numPr>
          <w:ilvl w:val="0"/>
          <w:numId w:val="4"/>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če so izdelani v skladu z usklajenim evropskim standardom ali evropsko tehnično oceno, nosijo oznako CE in proizvajalec v izjavi o zmogljivosti navede ustrezne bistvene lastnosti, ali</w:t>
      </w:r>
    </w:p>
    <w:p w14:paraId="7486F061" w14:textId="6795888E" w:rsidR="008703BA" w:rsidRPr="00F079B9" w:rsidRDefault="008703BA" w:rsidP="009D1A97">
      <w:pPr>
        <w:pStyle w:val="ListParagraph"/>
        <w:numPr>
          <w:ilvl w:val="0"/>
          <w:numId w:val="4"/>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pod pogojem, da ne obstaja evropska tehnična specifikacija in da so gradbeni proizvodi navedeni na seznamu gradbenih materialov ÖA (oddelek 60), če izpolnjujejo pogoje iz seznama gradbenih materialov ÖA ali od njih le neznatno odstopajo ali če</w:t>
      </w:r>
    </w:p>
    <w:p w14:paraId="77C0A5A8" w14:textId="7F649759" w:rsidR="008703BA" w:rsidRPr="00F079B9" w:rsidRDefault="008703BA" w:rsidP="009D1A97">
      <w:pPr>
        <w:pStyle w:val="ListParagraph"/>
        <w:numPr>
          <w:ilvl w:val="0"/>
          <w:numId w:val="4"/>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za gradbeni proizvod obstaja gradbeno-tehnološka odobritev (oddelek 68).</w:t>
      </w:r>
    </w:p>
    <w:p w14:paraId="34A017F1"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(3) Če za gradbeni proizvod ni usklajenega evropskega standarda, evropske tehnične ocene ali gradbeno-tehnološkega dovoljenja in gradbeni proizvod ni naveden na seznamu gradbenih materialov ÖA, mora lastnik stavbe – razen v primerih iz oddelka 86, odstavek 2, določba 6 – na zahtevo dokazati ustreznost gradbenega proizvoda gradbenemu organu s predložitvijo ustreznih strokovnih mnenj.</w:t>
      </w:r>
    </w:p>
    <w:p w14:paraId="7CC34067"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(4) Rabljeni gradbeni materiali in elementi se lahko ponovno uporabijo le, če izpolnjujejo zahteve iz odstavka 1; odstavek 3 se uporablja ustrezno.“</w:t>
      </w:r>
    </w:p>
    <w:p w14:paraId="698AB709"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099CCBC9"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5F4286A1"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3.</w:t>
      </w:r>
      <w:r>
        <w:rPr>
          <w:i/>
          <w:snapToGrid w:val="0"/>
          <w:color w:val="000000"/>
          <w:sz w:val="22"/>
          <w:rFonts w:ascii="Arial" w:hAnsi="Arial"/>
        </w:rPr>
        <w:t xml:space="preserve"> </w:t>
      </w:r>
      <w:r>
        <w:rPr>
          <w:i/>
          <w:snapToGrid w:val="0"/>
          <w:color w:val="000000"/>
          <w:sz w:val="22"/>
          <w:rFonts w:ascii="Arial" w:hAnsi="Arial"/>
        </w:rPr>
        <w:t xml:space="preserve">Oddelek 54 se glasi:</w:t>
      </w:r>
    </w:p>
    <w:p w14:paraId="03F9624F" w14:textId="77777777" w:rsidR="00C35744" w:rsidRDefault="008703BA" w:rsidP="008703BA">
      <w:pPr>
        <w:spacing w:line="312" w:lineRule="auto"/>
        <w:jc w:val="center"/>
        <w:rPr>
          <w:b/>
          <w:snapToGrid w:val="0"/>
          <w:color w:val="000000"/>
          <w:sz w:val="22"/>
          <w:rFonts w:ascii="Arial" w:hAnsi="Arial"/>
        </w:rPr>
      </w:pPr>
      <w:r>
        <w:rPr>
          <w:b/>
          <w:snapToGrid w:val="0"/>
          <w:color w:val="000000"/>
          <w:sz w:val="22"/>
          <w:rFonts w:ascii="Arial" w:hAnsi="Arial"/>
        </w:rPr>
        <w:t xml:space="preserve">„Oddelek 54</w:t>
      </w:r>
      <w:r>
        <w:rPr>
          <w:b/>
          <w:snapToGrid w:val="0"/>
          <w:color w:val="000000"/>
          <w:sz w:val="22"/>
          <w:rFonts w:ascii="Arial" w:hAnsi="Arial"/>
        </w:rPr>
        <w:t xml:space="preserve"> </w:t>
      </w:r>
    </w:p>
    <w:p w14:paraId="1633B990" w14:textId="1C29A05A" w:rsidR="008703BA" w:rsidRPr="00F079B9" w:rsidRDefault="008703BA" w:rsidP="008703BA">
      <w:pPr>
        <w:spacing w:line="312" w:lineRule="auto"/>
        <w:jc w:val="center"/>
        <w:rPr>
          <w:b/>
          <w:snapToGrid w:val="0"/>
          <w:color w:val="000000"/>
          <w:sz w:val="22"/>
          <w:szCs w:val="22"/>
          <w:rFonts w:ascii="Arial" w:hAnsi="Arial" w:cs="Arial"/>
        </w:rPr>
      </w:pPr>
      <w:r>
        <w:rPr>
          <w:b/>
          <w:snapToGrid w:val="0"/>
          <w:color w:val="000000"/>
          <w:sz w:val="22"/>
          <w:rFonts w:ascii="Arial" w:hAnsi="Arial"/>
        </w:rPr>
        <w:t xml:space="preserve">Opredelitev pojmov</w:t>
      </w:r>
    </w:p>
    <w:p w14:paraId="59629271"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(1) Predpisi so usklajene tehnične specifikacije v smislu Uredbe (EU) št. 305/2011 ter nacionalne tehnične določbe pogodbenic Sporazuma o Evropskem gospodarskem prostoru, kot so tehnični standardi, tehnična navodila ali načela uporabe Avstrijskega inštituta za gradbeno tehnologijo, če so navedeni v seznamu gradbenih materialov ÖA (oddelek 60) ali ÖE (oddelek 66).</w:t>
      </w:r>
    </w:p>
    <w:p w14:paraId="3598DDAE"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(2) Opredelitve iz člena 2 Uredbe (EU) št. 305/2011, člena 3 Uredbe (EU) 2019/1020 in člena 2 Uredbe (EU) 2017/1369 se uporabljajo tudi v okviru tega poglavja.“</w:t>
      </w:r>
    </w:p>
    <w:p w14:paraId="447D33E1"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123C0626"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3C49741"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4.</w:t>
      </w:r>
      <w:r>
        <w:rPr>
          <w:i/>
          <w:snapToGrid w:val="0"/>
          <w:color w:val="000000"/>
          <w:sz w:val="22"/>
          <w:rFonts w:ascii="Arial" w:hAnsi="Arial"/>
        </w:rPr>
        <w:t xml:space="preserve"> </w:t>
      </w:r>
      <w:r>
        <w:rPr>
          <w:i/>
          <w:snapToGrid w:val="0"/>
          <w:color w:val="000000"/>
          <w:sz w:val="22"/>
          <w:rFonts w:ascii="Arial" w:hAnsi="Arial"/>
        </w:rPr>
        <w:t xml:space="preserve">Oddelek 55, odstavek 1, se glasi:</w:t>
      </w:r>
    </w:p>
    <w:p w14:paraId="47EB5BF9"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(1) Gradbeni proizvodi, za katere</w:t>
      </w:r>
    </w:p>
    <w:p w14:paraId="2B34449D" w14:textId="36C9E34C" w:rsidR="008703BA" w:rsidRPr="00F079B9" w:rsidRDefault="008703BA" w:rsidP="009D1A97">
      <w:pPr>
        <w:pStyle w:val="ListParagraph"/>
        <w:numPr>
          <w:ilvl w:val="0"/>
          <w:numId w:val="6"/>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obstaja usklajeni evropski standard, ki je naveden v seznamu gradbenih materialov ÖE (oddelek 66), ali</w:t>
      </w:r>
    </w:p>
    <w:p w14:paraId="0F38F6C2" w14:textId="02450680" w:rsidR="008703BA" w:rsidRPr="00F079B9" w:rsidRDefault="008703BA" w:rsidP="009D1A97">
      <w:pPr>
        <w:pStyle w:val="ListParagraph"/>
        <w:numPr>
          <w:ilvl w:val="0"/>
          <w:numId w:val="6"/>
        </w:numPr>
        <w:tabs>
          <w:tab w:val="right" w:pos="624"/>
          <w:tab w:val="left" w:pos="680"/>
        </w:tabs>
        <w:spacing w:line="312" w:lineRule="auto"/>
        <w:jc w:val="both"/>
        <w:rPr>
          <w:color w:val="000000"/>
          <w:rFonts w:ascii="Arial" w:eastAsiaTheme="minorEastAsia" w:hAnsi="Arial" w:cs="Arial"/>
        </w:rPr>
      </w:pPr>
      <w:r>
        <w:rPr>
          <w:color w:val="000000"/>
          <w:rFonts w:ascii="Arial" w:hAnsi="Arial"/>
        </w:rPr>
        <w:t xml:space="preserve">je na voljo evropska tehnična ocena (ETA), ki je bila izdana na podlagi evropskega ocenjevalnega dokumenta (EAD), navedenega na avstrijskem seznamu gradbenih materialov (ÖE),</w:t>
      </w:r>
      <w:r>
        <w:rPr>
          <w:color w:val="000000"/>
          <w:rFonts w:ascii="Arial" w:hAnsi="Arial"/>
        </w:rPr>
        <w:t xml:space="preserve"> </w:t>
      </w:r>
    </w:p>
    <w:p w14:paraId="175F1B0A" w14:textId="77777777" w:rsidR="008703BA" w:rsidRPr="00F079B9" w:rsidRDefault="008703BA" w:rsidP="008703BA">
      <w:pPr>
        <w:spacing w:line="312" w:lineRule="auto"/>
        <w:jc w:val="both"/>
        <w:rPr>
          <w:color w:val="000000"/>
          <w:sz w:val="22"/>
          <w:szCs w:val="22"/>
          <w:rFonts w:ascii="Arial" w:eastAsiaTheme="minorEastAsia" w:hAnsi="Arial" w:cs="Arial"/>
        </w:rPr>
      </w:pPr>
      <w:r>
        <w:rPr>
          <w:color w:val="000000"/>
          <w:sz w:val="22"/>
          <w:rFonts w:ascii="Arial" w:hAnsi="Arial"/>
        </w:rPr>
        <w:t xml:space="preserve">Na trg se lahko dajo le, če imajo oznako CE in če deklarirane lastnosti niso v nasprotju z zahtevami iz seznama gradbenih materialov ÖE.“</w:t>
      </w:r>
    </w:p>
    <w:p w14:paraId="369D08B4"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4163B277"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8C2473D"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5.</w:t>
      </w:r>
      <w:r>
        <w:rPr>
          <w:i/>
          <w:snapToGrid w:val="0"/>
          <w:color w:val="000000"/>
          <w:sz w:val="22"/>
          <w:rFonts w:ascii="Arial" w:hAnsi="Arial"/>
        </w:rPr>
        <w:t xml:space="preserve"> </w:t>
      </w:r>
      <w:r>
        <w:rPr>
          <w:i/>
          <w:snapToGrid w:val="0"/>
          <w:color w:val="000000"/>
          <w:sz w:val="22"/>
          <w:rFonts w:ascii="Arial" w:hAnsi="Arial"/>
        </w:rPr>
        <w:t xml:space="preserve">Oddelek 60, odstavek 5, se glasi:</w:t>
      </w:r>
    </w:p>
    <w:p w14:paraId="4033B7FE"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„(5) Avstrijski inštitut za gradbeno tehnologijo z uredbo določi seznam gradbenih materialov ÖA.</w:t>
      </w:r>
      <w:r>
        <w:rPr>
          <w:snapToGrid w:val="0"/>
          <w:color w:val="000000"/>
          <w:sz w:val="22"/>
          <w:rFonts w:ascii="Arial" w:hAnsi="Arial"/>
        </w:rPr>
        <w:t xml:space="preserve"> </w:t>
      </w:r>
      <w:r>
        <w:rPr>
          <w:snapToGrid w:val="0"/>
          <w:color w:val="000000"/>
          <w:sz w:val="22"/>
          <w:rFonts w:ascii="Arial" w:hAnsi="Arial"/>
        </w:rPr>
        <w:t xml:space="preserve">Pred izdajo uredbe je treba pridobiti mnenje Avstrijske gospodarske zbornice.</w:t>
      </w:r>
      <w:r>
        <w:rPr>
          <w:snapToGrid w:val="0"/>
          <w:color w:val="000000"/>
          <w:sz w:val="22"/>
          <w:rFonts w:ascii="Arial" w:hAnsi="Arial"/>
        </w:rPr>
        <w:t xml:space="preserve"> </w:t>
      </w:r>
      <w:r>
        <w:rPr>
          <w:snapToGrid w:val="0"/>
          <w:color w:val="000000"/>
          <w:sz w:val="22"/>
          <w:rFonts w:ascii="Arial" w:hAnsi="Arial"/>
        </w:rPr>
        <w:t xml:space="preserve">Za sprejetje uredbe je potrebna odobritev državne vlade.</w:t>
      </w:r>
      <w:r>
        <w:rPr>
          <w:snapToGrid w:val="0"/>
          <w:color w:val="000000"/>
          <w:sz w:val="22"/>
          <w:rFonts w:ascii="Arial" w:hAnsi="Arial"/>
        </w:rPr>
        <w:t xml:space="preserve"> </w:t>
      </w:r>
      <w:r>
        <w:rPr>
          <w:snapToGrid w:val="0"/>
          <w:color w:val="000000"/>
          <w:sz w:val="22"/>
          <w:rFonts w:ascii="Arial" w:hAnsi="Arial"/>
        </w:rPr>
        <w:t xml:space="preserve">Seznam gradbenih materialov ÖA mora biti objavljen na spletnem mestu avstrijskega inštituta za gradbeno tehnologijo.</w:t>
      </w:r>
      <w:r>
        <w:rPr>
          <w:snapToGrid w:val="0"/>
          <w:color w:val="000000"/>
          <w:sz w:val="22"/>
          <w:rFonts w:ascii="Arial" w:hAnsi="Arial"/>
        </w:rPr>
        <w:t xml:space="preserve"> </w:t>
      </w:r>
      <w:r>
        <w:rPr>
          <w:snapToGrid w:val="0"/>
          <w:color w:val="000000"/>
          <w:sz w:val="22"/>
          <w:rFonts w:ascii="Arial" w:hAnsi="Arial"/>
        </w:rPr>
        <w:t xml:space="preserve">Objavo uredbe je treba objaviti na državni spletni strani.“</w:t>
      </w:r>
    </w:p>
    <w:p w14:paraId="1B265408"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87278B2"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4A8D0A92"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6.</w:t>
      </w:r>
      <w:r>
        <w:rPr>
          <w:snapToGrid w:val="0"/>
          <w:color w:val="000000"/>
          <w:sz w:val="22"/>
          <w:i/>
          <w:rFonts w:ascii="Arial" w:hAnsi="Arial"/>
        </w:rPr>
        <w:t xml:space="preserve"> </w:t>
      </w:r>
      <w:r>
        <w:rPr>
          <w:snapToGrid w:val="0"/>
          <w:color w:val="000000"/>
          <w:sz w:val="22"/>
          <w:rFonts w:ascii="Arial" w:hAnsi="Arial"/>
        </w:rPr>
        <w:t xml:space="preserve">V oddelku 64, odstavek 3, se za</w:t>
      </w:r>
      <w:r>
        <w:rPr>
          <w:snapToGrid w:val="0"/>
          <w:color w:val="000000"/>
          <w:sz w:val="22"/>
          <w:i/>
          <w:rFonts w:ascii="Arial" w:hAnsi="Arial"/>
        </w:rPr>
        <w:t xml:space="preserve"> besedo „Priloga“ črta </w:t>
      </w:r>
      <w:r>
        <w:rPr>
          <w:snapToGrid w:val="0"/>
          <w:color w:val="000000"/>
          <w:sz w:val="22"/>
          <w:rFonts w:ascii="Arial" w:hAnsi="Arial"/>
        </w:rPr>
        <w:t xml:space="preserve">številka</w:t>
      </w:r>
      <w:r>
        <w:rPr>
          <w:snapToGrid w:val="0"/>
          <w:color w:val="000000"/>
          <w:sz w:val="22"/>
          <w:i/>
          <w:rFonts w:ascii="Arial" w:hAnsi="Arial"/>
        </w:rPr>
        <w:t xml:space="preserve"> „2“.</w:t>
      </w:r>
    </w:p>
    <w:p w14:paraId="1FDB6EF0"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403BB63E"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4DCB462F"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0A5054DD"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46D46951"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5DD929C2"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7.</w:t>
      </w:r>
      <w:r>
        <w:rPr>
          <w:i/>
          <w:snapToGrid w:val="0"/>
          <w:color w:val="000000"/>
          <w:sz w:val="22"/>
          <w:rFonts w:ascii="Arial" w:hAnsi="Arial"/>
        </w:rPr>
        <w:t xml:space="preserve"> </w:t>
      </w:r>
      <w:r>
        <w:rPr>
          <w:i/>
          <w:snapToGrid w:val="0"/>
          <w:color w:val="000000"/>
          <w:sz w:val="22"/>
          <w:rFonts w:ascii="Arial" w:hAnsi="Arial"/>
        </w:rPr>
        <w:t xml:space="preserve">Oddelek 65 se glasi:</w:t>
      </w:r>
    </w:p>
    <w:p w14:paraId="6F23CF71" w14:textId="113D1A5D" w:rsidR="008703BA" w:rsidRPr="00F079B9" w:rsidRDefault="008703BA" w:rsidP="008703BA">
      <w:pPr>
        <w:spacing w:line="312" w:lineRule="auto"/>
        <w:jc w:val="center"/>
        <w:rPr>
          <w:b/>
          <w:snapToGrid w:val="0"/>
          <w:color w:val="000000"/>
          <w:sz w:val="22"/>
          <w:szCs w:val="22"/>
          <w:rFonts w:ascii="Arial" w:hAnsi="Arial" w:cs="Arial"/>
        </w:rPr>
      </w:pPr>
      <w:r>
        <w:rPr>
          <w:b/>
          <w:snapToGrid w:val="0"/>
          <w:color w:val="000000"/>
          <w:sz w:val="22"/>
          <w:rFonts w:ascii="Arial" w:hAnsi="Arial"/>
        </w:rPr>
        <w:t xml:space="preserve">„Oddelek 65</w:t>
      </w:r>
      <w:r>
        <w:rPr>
          <w:b/>
          <w:snapToGrid w:val="0"/>
          <w:color w:val="000000"/>
          <w:sz w:val="22"/>
          <w:rFonts w:ascii="Arial" w:hAnsi="Arial"/>
        </w:rPr>
        <w:br/>
      </w:r>
      <w:r>
        <w:rPr>
          <w:b/>
          <w:snapToGrid w:val="0"/>
          <w:color w:val="000000"/>
          <w:sz w:val="22"/>
          <w:rFonts w:ascii="Arial" w:hAnsi="Arial"/>
        </w:rPr>
        <w:t xml:space="preserve">Zahteve za uporabo</w:t>
      </w:r>
    </w:p>
    <w:p w14:paraId="4BDA0555"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gradbenih proizvodov, za katere</w:t>
      </w:r>
    </w:p>
    <w:p w14:paraId="060B5B49"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 xml:space="preserve">1. obstaja usklajeni evropski standard, ki je naveden v seznamu gradbenih materialov ÖE (oddelek 66), ali</w:t>
      </w:r>
    </w:p>
    <w:p w14:paraId="7CB9A4FB"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 xml:space="preserve">2. je na voljo evropska tehnična ocena (ETA), ki je bila izdana na podlagi evropskega ocenjevalnega dokumenta (EAD), navedenega na avstrijskem seznamu gradbenih materialov (ÖE),</w:t>
      </w:r>
    </w:p>
    <w:p w14:paraId="78FB2A7D" w14:textId="77777777" w:rsidR="008703BA" w:rsidRPr="00F079B9" w:rsidRDefault="008703BA" w:rsidP="008703BA">
      <w:pPr>
        <w:spacing w:line="312" w:lineRule="auto"/>
        <w:jc w:val="both"/>
        <w:rPr>
          <w:color w:val="000000"/>
          <w:sz w:val="22"/>
          <w:szCs w:val="22"/>
          <w:rFonts w:ascii="Arial" w:eastAsiaTheme="minorEastAsia" w:hAnsi="Arial" w:cs="Arial"/>
        </w:rPr>
      </w:pPr>
      <w:r>
        <w:rPr>
          <w:color w:val="000000"/>
          <w:sz w:val="22"/>
          <w:rFonts w:ascii="Arial" w:hAnsi="Arial"/>
        </w:rPr>
        <w:t xml:space="preserve">Uporabljajo se lahko le, če izpolnjujejo zahteve glede zmogljivosti ali specifikacije za uporabo, določene v seznamu gradbenih materialov ÖE, in če imajo oznako CE.“</w:t>
      </w:r>
    </w:p>
    <w:p w14:paraId="569A009C"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6D163C9B"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092001A5"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8.</w:t>
      </w:r>
      <w:r>
        <w:rPr>
          <w:i/>
          <w:snapToGrid w:val="0"/>
          <w:color w:val="000000"/>
          <w:sz w:val="22"/>
          <w:rFonts w:ascii="Arial" w:hAnsi="Arial"/>
        </w:rPr>
        <w:t xml:space="preserve"> </w:t>
      </w:r>
      <w:r>
        <w:rPr>
          <w:i/>
          <w:snapToGrid w:val="0"/>
          <w:color w:val="000000"/>
          <w:sz w:val="22"/>
          <w:rFonts w:ascii="Arial" w:hAnsi="Arial"/>
        </w:rPr>
        <w:t xml:space="preserve">Oddelek 66, odstavek 2, se glasi:</w:t>
      </w:r>
    </w:p>
    <w:p w14:paraId="2BEBC9D2"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„(2) Avstrijski inštitut za gradbeno tehnologijo z uredbo določi seznam gradbenih materialov ÖE.</w:t>
      </w:r>
      <w:r>
        <w:rPr>
          <w:snapToGrid w:val="0"/>
          <w:color w:val="000000"/>
          <w:sz w:val="22"/>
          <w:rFonts w:ascii="Arial" w:hAnsi="Arial"/>
        </w:rPr>
        <w:t xml:space="preserve"> </w:t>
      </w:r>
      <w:r>
        <w:rPr>
          <w:snapToGrid w:val="0"/>
          <w:color w:val="000000"/>
          <w:sz w:val="22"/>
          <w:rFonts w:ascii="Arial" w:hAnsi="Arial"/>
        </w:rPr>
        <w:t xml:space="preserve">Pred izdajo uredbe je treba pridobiti mnenje Avstrijske gospodarske zbornice.</w:t>
      </w:r>
      <w:r>
        <w:rPr>
          <w:snapToGrid w:val="0"/>
          <w:color w:val="000000"/>
          <w:sz w:val="22"/>
          <w:rFonts w:ascii="Arial" w:hAnsi="Arial"/>
        </w:rPr>
        <w:t xml:space="preserve"> </w:t>
      </w:r>
      <w:r>
        <w:rPr>
          <w:snapToGrid w:val="0"/>
          <w:color w:val="000000"/>
          <w:sz w:val="22"/>
          <w:rFonts w:ascii="Arial" w:hAnsi="Arial"/>
        </w:rPr>
        <w:t xml:space="preserve">Za sprejetje uredbe je potrebna odobritev državne vlade.</w:t>
      </w:r>
      <w:r>
        <w:rPr>
          <w:snapToGrid w:val="0"/>
          <w:color w:val="000000"/>
          <w:sz w:val="22"/>
          <w:rFonts w:ascii="Arial" w:hAnsi="Arial"/>
        </w:rPr>
        <w:t xml:space="preserve"> </w:t>
      </w:r>
      <w:r>
        <w:rPr>
          <w:snapToGrid w:val="0"/>
          <w:color w:val="000000"/>
          <w:sz w:val="22"/>
          <w:rFonts w:ascii="Arial" w:hAnsi="Arial"/>
        </w:rPr>
        <w:t xml:space="preserve">Seznam gradbenih materialov ÖE mora biti objavljen na spletnem mestu avstrijskega inštituta za gradbeno tehnologijo.</w:t>
      </w:r>
      <w:r>
        <w:rPr>
          <w:snapToGrid w:val="0"/>
          <w:color w:val="000000"/>
          <w:sz w:val="22"/>
          <w:rFonts w:ascii="Arial" w:hAnsi="Arial"/>
        </w:rPr>
        <w:t xml:space="preserve"> </w:t>
      </w:r>
      <w:r>
        <w:rPr>
          <w:snapToGrid w:val="0"/>
          <w:color w:val="000000"/>
          <w:sz w:val="22"/>
          <w:rFonts w:ascii="Arial" w:hAnsi="Arial"/>
        </w:rPr>
        <w:t xml:space="preserve">Objavo uredbe je treba objaviti na državni spletni strani.“</w:t>
      </w:r>
    </w:p>
    <w:p w14:paraId="0FAA3D95"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11092AC3"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7BA4612"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9.</w:t>
      </w:r>
      <w:r>
        <w:rPr>
          <w:i/>
          <w:snapToGrid w:val="0"/>
          <w:color w:val="000000"/>
          <w:sz w:val="22"/>
          <w:rFonts w:ascii="Arial" w:hAnsi="Arial"/>
        </w:rPr>
        <w:t xml:space="preserve"> </w:t>
      </w:r>
      <w:r>
        <w:rPr>
          <w:i/>
          <w:snapToGrid w:val="0"/>
          <w:color w:val="000000"/>
          <w:sz w:val="22"/>
          <w:rFonts w:ascii="Arial" w:hAnsi="Arial"/>
        </w:rPr>
        <w:t xml:space="preserve">Oddelek 75 se glasi:</w:t>
      </w:r>
    </w:p>
    <w:p w14:paraId="2DAC0E11" w14:textId="77777777" w:rsidR="00C35744" w:rsidRDefault="008703BA" w:rsidP="008703BA">
      <w:pPr>
        <w:spacing w:line="312" w:lineRule="auto"/>
        <w:jc w:val="center"/>
        <w:rPr>
          <w:b/>
          <w:snapToGrid w:val="0"/>
          <w:color w:val="000000"/>
          <w:sz w:val="22"/>
          <w:rFonts w:ascii="Arial" w:hAnsi="Arial"/>
        </w:rPr>
      </w:pPr>
      <w:r>
        <w:rPr>
          <w:b/>
          <w:snapToGrid w:val="0"/>
          <w:color w:val="000000"/>
          <w:sz w:val="22"/>
          <w:rFonts w:ascii="Arial" w:hAnsi="Arial"/>
        </w:rPr>
        <w:t xml:space="preserve">„Oddelek 75</w:t>
      </w:r>
    </w:p>
    <w:p w14:paraId="301EE21A" w14:textId="7315FD87" w:rsidR="008703BA" w:rsidRPr="00F079B9" w:rsidRDefault="008703BA" w:rsidP="008703BA">
      <w:pPr>
        <w:spacing w:line="312" w:lineRule="auto"/>
        <w:jc w:val="center"/>
        <w:rPr>
          <w:b/>
          <w:snapToGrid w:val="0"/>
          <w:color w:val="000000"/>
          <w:sz w:val="22"/>
          <w:szCs w:val="22"/>
          <w:rFonts w:ascii="Arial" w:hAnsi="Arial" w:cs="Arial"/>
        </w:rPr>
      </w:pPr>
      <w:r>
        <w:rPr>
          <w:b/>
          <w:snapToGrid w:val="0"/>
          <w:color w:val="000000"/>
          <w:sz w:val="22"/>
          <w:rFonts w:ascii="Arial" w:hAnsi="Arial"/>
        </w:rPr>
        <w:t xml:space="preserve">Področje uporabe</w:t>
      </w:r>
    </w:p>
    <w:p w14:paraId="2BD4D6D0"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(1) Za gradbene proizvode, za katere velja harmonizacijska zakonodaja Evropske unije, se nadzor trga izvaja v skladu z Uredbo (EU) 2019/1020 in določbami tega oddelka.</w:t>
      </w:r>
    </w:p>
    <w:p w14:paraId="1F41BB76"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(2) Za gradbene proizvode, za katere se ne uporablja harmonizacijska zakonodaja Evropske unije, se smiselno uporabljajo določbe člena 16, odstavki 1 do 5, člena 17, člena 18 in člena 19, odstavek 1, prvi stavek, in odstavek 2, Uredbe (EU) 2019/1020 ter določbe tega oddelka, razen oddelka 77, odstavek 1, določbi 1 in 9.</w:t>
      </w:r>
    </w:p>
    <w:p w14:paraId="37C165CD"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(3) Nadzor trga za gradbene izdelke, povezane z energijo, v smislu Uredbe (EU) 2017/1369 se izvaja v skladu z določbami Uredbe (EU) 2019/1020 in določbami tega oddelka.“</w:t>
      </w:r>
    </w:p>
    <w:p w14:paraId="116B2B56"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576A4F1E"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46A19AD"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10.</w:t>
      </w:r>
      <w:r>
        <w:rPr>
          <w:i/>
          <w:snapToGrid w:val="0"/>
          <w:color w:val="000000"/>
          <w:sz w:val="22"/>
          <w:rFonts w:ascii="Arial" w:hAnsi="Arial"/>
        </w:rPr>
        <w:t xml:space="preserve"> </w:t>
      </w:r>
      <w:r>
        <w:rPr>
          <w:i/>
          <w:snapToGrid w:val="0"/>
          <w:color w:val="000000"/>
          <w:sz w:val="22"/>
          <w:rFonts w:ascii="Arial" w:hAnsi="Arial"/>
        </w:rPr>
        <w:t xml:space="preserve">Uvodni stavek oddelka 77, odstavek 1, se glasi:</w:t>
      </w:r>
    </w:p>
    <w:p w14:paraId="1567CB48" w14:textId="77777777" w:rsidR="008703BA" w:rsidRPr="00F079B9" w:rsidRDefault="008703BA" w:rsidP="008703BA">
      <w:pPr>
        <w:spacing w:line="312" w:lineRule="auto"/>
        <w:jc w:val="both"/>
        <w:rPr>
          <w:snapToGrid w:val="0"/>
          <w:color w:val="000000"/>
          <w:sz w:val="22"/>
          <w:szCs w:val="22"/>
          <w:rFonts w:ascii="Arial" w:hAnsi="Arial" w:cs="Arial"/>
        </w:rPr>
      </w:pPr>
      <w:r>
        <w:rPr>
          <w:snapToGrid w:val="0"/>
          <w:color w:val="000000"/>
          <w:sz w:val="22"/>
          <w:rFonts w:ascii="Arial" w:hAnsi="Arial"/>
        </w:rPr>
        <w:t xml:space="preserve">„Organ za nadzor trga opravlja naloge organa za nadzor trga v skladu s členom 11 Uredbe (EU) 2019/1020 in je zlasti odgovoren za naslednje naloge nadzora trga:”</w:t>
      </w:r>
    </w:p>
    <w:p w14:paraId="49EE3CEE"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53A46401" w14:textId="77777777" w:rsidR="008703BA" w:rsidRPr="00F079B9" w:rsidRDefault="008703BA" w:rsidP="008703BA">
      <w:pPr>
        <w:rPr>
          <w:rFonts w:ascii="Arial" w:hAnsi="Arial"/>
          <w:sz w:val="22"/>
          <w:szCs w:val="24"/>
        </w:rPr>
      </w:pPr>
    </w:p>
    <w:p w14:paraId="649D69A1"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05EA3B94"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11.</w:t>
      </w:r>
      <w:r>
        <w:rPr>
          <w:i/>
          <w:snapToGrid w:val="0"/>
          <w:color w:val="000000"/>
          <w:sz w:val="22"/>
          <w:rFonts w:ascii="Arial" w:hAnsi="Arial"/>
        </w:rPr>
        <w:t xml:space="preserve"> </w:t>
      </w:r>
      <w:r>
        <w:rPr>
          <w:i/>
          <w:snapToGrid w:val="0"/>
          <w:color w:val="000000"/>
          <w:sz w:val="22"/>
          <w:rFonts w:ascii="Arial" w:hAnsi="Arial"/>
        </w:rPr>
        <w:t xml:space="preserve">Oddelek 77, odstavek 1, določba 5, se glasi:</w:t>
      </w:r>
    </w:p>
    <w:p w14:paraId="05FC5A6F"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ab/>
      </w:r>
      <w:r>
        <w:rPr>
          <w:color w:val="000000"/>
          <w:sz w:val="22"/>
          <w:rFonts w:ascii="Arial" w:hAnsi="Arial"/>
        </w:rPr>
        <w:t xml:space="preserve">Ukrepi za nadzor trga, zlasti tisti v skladu s členom 16 Uredbe (EU) 2019/1020;“</w:t>
      </w:r>
    </w:p>
    <w:p w14:paraId="3D261A9C"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79D794AE"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5E6FD863"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12.</w:t>
      </w:r>
      <w:r>
        <w:rPr>
          <w:snapToGrid w:val="0"/>
          <w:color w:val="000000"/>
          <w:sz w:val="22"/>
          <w:i/>
          <w:rFonts w:ascii="Arial" w:hAnsi="Arial"/>
        </w:rPr>
        <w:t xml:space="preserve"> </w:t>
      </w:r>
      <w:r>
        <w:rPr>
          <w:snapToGrid w:val="0"/>
          <w:color w:val="000000"/>
          <w:sz w:val="22"/>
          <w:i/>
          <w:rFonts w:ascii="Arial" w:hAnsi="Arial"/>
        </w:rPr>
        <w:t xml:space="preserve">V oddelku 77, odstavek 1, določba 8, se besedna zveza </w:t>
      </w:r>
      <w:r>
        <w:rPr>
          <w:snapToGrid w:val="0"/>
          <w:color w:val="000000"/>
          <w:sz w:val="22"/>
          <w:rFonts w:ascii="Arial" w:hAnsi="Arial"/>
        </w:rPr>
        <w:t xml:space="preserve">„resna nevarnost“</w:t>
      </w:r>
      <w:r>
        <w:rPr>
          <w:snapToGrid w:val="0"/>
          <w:color w:val="000000"/>
          <w:sz w:val="22"/>
          <w:i/>
          <w:rFonts w:ascii="Arial" w:hAnsi="Arial"/>
        </w:rPr>
        <w:t xml:space="preserve"> nadomesti z besedno zvezo </w:t>
      </w:r>
      <w:r>
        <w:rPr>
          <w:snapToGrid w:val="0"/>
          <w:color w:val="000000"/>
          <w:sz w:val="22"/>
          <w:rFonts w:ascii="Arial" w:hAnsi="Arial"/>
        </w:rPr>
        <w:t xml:space="preserve">„resno tveganje“</w:t>
      </w:r>
      <w:r>
        <w:rPr>
          <w:snapToGrid w:val="0"/>
          <w:color w:val="000000"/>
          <w:sz w:val="22"/>
          <w:i/>
          <w:rFonts w:ascii="Arial" w:hAnsi="Arial"/>
        </w:rPr>
        <w:t xml:space="preserve">.</w:t>
      </w:r>
    </w:p>
    <w:p w14:paraId="03CD2D81"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715751AD"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3DE5534F"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13.</w:t>
      </w:r>
      <w:r>
        <w:rPr>
          <w:snapToGrid w:val="0"/>
          <w:color w:val="000000"/>
          <w:sz w:val="22"/>
          <w:i/>
          <w:rFonts w:ascii="Arial" w:hAnsi="Arial"/>
        </w:rPr>
        <w:t xml:space="preserve"> </w:t>
      </w:r>
      <w:r>
        <w:rPr>
          <w:snapToGrid w:val="0"/>
          <w:color w:val="000000"/>
          <w:sz w:val="22"/>
          <w:rFonts w:ascii="Arial" w:hAnsi="Arial"/>
        </w:rPr>
        <w:t xml:space="preserve">V oddelku 77, odstavek 1, določba 9, se izraz „trg Skupnosti“ nadomesti z izrazom „trg Unije“.</w:t>
      </w:r>
    </w:p>
    <w:p w14:paraId="21B9C21C"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6E587FCA"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542B5D7F"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14.</w:t>
      </w:r>
      <w:r>
        <w:rPr>
          <w:snapToGrid w:val="0"/>
          <w:color w:val="000000"/>
          <w:sz w:val="22"/>
          <w:i/>
          <w:rFonts w:ascii="Arial" w:hAnsi="Arial"/>
        </w:rPr>
        <w:t xml:space="preserve"> </w:t>
      </w:r>
      <w:r>
        <w:rPr>
          <w:snapToGrid w:val="0"/>
          <w:color w:val="000000"/>
          <w:sz w:val="22"/>
          <w:i/>
          <w:rFonts w:ascii="Arial" w:hAnsi="Arial"/>
        </w:rPr>
        <w:t xml:space="preserve">V oddelku 77, odstavek 1, določba 10, se za besedilom </w:t>
      </w:r>
      <w:r>
        <w:rPr>
          <w:snapToGrid w:val="0"/>
          <w:color w:val="000000"/>
          <w:sz w:val="22"/>
          <w:rFonts w:ascii="Arial" w:hAnsi="Arial"/>
        </w:rPr>
        <w:t xml:space="preserve">„Sodelovanje in izmenjava informacij s“ vstavi besedilo „centralnim uradom za zvezo v skladu s členom 10 Uredbe (EU) 2019/1020“</w:t>
      </w:r>
      <w:r>
        <w:rPr>
          <w:snapToGrid w:val="0"/>
          <w:color w:val="000000"/>
          <w:sz w:val="22"/>
          <w:i/>
          <w:rFonts w:ascii="Arial" w:hAnsi="Arial"/>
        </w:rPr>
        <w:t xml:space="preserve">.</w:t>
      </w:r>
    </w:p>
    <w:p w14:paraId="1EAEA762"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D5810B4"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685826A"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15.</w:t>
      </w:r>
      <w:r>
        <w:rPr>
          <w:snapToGrid w:val="0"/>
          <w:color w:val="000000"/>
          <w:sz w:val="22"/>
          <w:i/>
          <w:rFonts w:ascii="Arial" w:hAnsi="Arial"/>
        </w:rPr>
        <w:t xml:space="preserve"> </w:t>
      </w:r>
      <w:r>
        <w:rPr>
          <w:snapToGrid w:val="0"/>
          <w:color w:val="000000"/>
          <w:sz w:val="22"/>
          <w:i/>
          <w:rFonts w:ascii="Arial" w:hAnsi="Arial"/>
        </w:rPr>
        <w:t xml:space="preserve">Oddelek 77, odstavek 2, se preimenuje v odstavek </w:t>
      </w:r>
      <w:r>
        <w:rPr>
          <w:snapToGrid w:val="0"/>
          <w:color w:val="000000"/>
          <w:sz w:val="22"/>
          <w:rFonts w:ascii="Arial" w:hAnsi="Arial"/>
        </w:rPr>
        <w:t xml:space="preserve">„(3)“</w:t>
      </w:r>
      <w:r>
        <w:rPr>
          <w:snapToGrid w:val="0"/>
          <w:color w:val="000000"/>
          <w:sz w:val="22"/>
          <w:i/>
          <w:rFonts w:ascii="Arial" w:hAnsi="Arial"/>
        </w:rPr>
        <w:t xml:space="preserve">; vstavi se naslednji novi odstavek 2:</w:t>
      </w:r>
    </w:p>
    <w:p w14:paraId="6AE8D8BF"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i/>
          <w:rFonts w:ascii="Arial" w:hAnsi="Arial"/>
        </w:rPr>
        <w:t xml:space="preserve">„</w:t>
      </w:r>
      <w:r>
        <w:rPr>
          <w:snapToGrid w:val="0"/>
          <w:color w:val="000000"/>
          <w:sz w:val="22"/>
          <w:rFonts w:ascii="Arial" w:hAnsi="Arial"/>
        </w:rPr>
        <w:t xml:space="preserve">(2) Organu za nadzor trga se podelijo pooblastila za nadzor trga v skladu s členom 14, razen odstavka 3, točka c, Uredbe (EU) 2019/1020.“</w:t>
      </w:r>
    </w:p>
    <w:p w14:paraId="01D01917"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75F4B04"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0DCDB31F"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16.</w:t>
      </w:r>
      <w:r>
        <w:rPr>
          <w:i/>
          <w:snapToGrid w:val="0"/>
          <w:color w:val="000000"/>
          <w:sz w:val="22"/>
          <w:rFonts w:ascii="Arial" w:hAnsi="Arial"/>
        </w:rPr>
        <w:t xml:space="preserve"> </w:t>
      </w:r>
      <w:r>
        <w:rPr>
          <w:i/>
          <w:snapToGrid w:val="0"/>
          <w:color w:val="000000"/>
          <w:sz w:val="22"/>
          <w:rFonts w:ascii="Arial" w:hAnsi="Arial"/>
        </w:rPr>
        <w:t xml:space="preserve">Oddelek 78, odstavek 3, se glasi:</w:t>
      </w:r>
    </w:p>
    <w:p w14:paraId="275D6E80"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„(3) Ukrepi za nadzor trga v skladu s členom 16 Uredbe (EU) 2019/1020 se lahko v primeru gradbenih proizvodov, ki predstavljajo resno tveganje in zahtevajo hitro ukrepanje, sprejmejo kot ukrepi neposrednega poveljevanja in izvrševanja brez predhodnega upravnega postopka.“</w:t>
      </w:r>
    </w:p>
    <w:p w14:paraId="4664EDDB"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905BDBB"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5C4C7A3C"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17.</w:t>
      </w:r>
      <w:r>
        <w:rPr>
          <w:snapToGrid w:val="0"/>
          <w:color w:val="000000"/>
          <w:sz w:val="22"/>
          <w:i/>
          <w:rFonts w:ascii="Arial" w:hAnsi="Arial"/>
        </w:rPr>
        <w:t xml:space="preserve"> </w:t>
      </w:r>
      <w:r>
        <w:rPr>
          <w:snapToGrid w:val="0"/>
          <w:color w:val="000000"/>
          <w:sz w:val="22"/>
          <w:i/>
          <w:rFonts w:ascii="Arial" w:hAnsi="Arial"/>
        </w:rPr>
        <w:t xml:space="preserve">V oddelku 79, določba 2, se črta navedba </w:t>
      </w:r>
      <w:r>
        <w:rPr>
          <w:snapToGrid w:val="0"/>
          <w:color w:val="000000"/>
          <w:sz w:val="22"/>
          <w:rFonts w:ascii="Arial" w:hAnsi="Arial"/>
        </w:rPr>
        <w:t xml:space="preserve">„določbe 4 do 10“</w:t>
      </w:r>
      <w:r>
        <w:rPr>
          <w:snapToGrid w:val="0"/>
          <w:color w:val="000000"/>
          <w:sz w:val="22"/>
          <w:i/>
          <w:rFonts w:ascii="Arial" w:hAnsi="Arial"/>
        </w:rPr>
        <w:t xml:space="preserve">.</w:t>
      </w:r>
    </w:p>
    <w:p w14:paraId="7CFA3EB0"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743DF8C"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71E3D034"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18.</w:t>
      </w:r>
      <w:r>
        <w:rPr>
          <w:snapToGrid w:val="0"/>
          <w:color w:val="000000"/>
          <w:sz w:val="22"/>
          <w:i/>
          <w:rFonts w:ascii="Arial" w:hAnsi="Arial"/>
        </w:rPr>
        <w:t xml:space="preserve"> </w:t>
      </w:r>
      <w:r>
        <w:rPr>
          <w:snapToGrid w:val="0"/>
          <w:color w:val="000000"/>
          <w:sz w:val="22"/>
          <w:i/>
          <w:rFonts w:ascii="Arial" w:hAnsi="Arial"/>
        </w:rPr>
        <w:t xml:space="preserve">V oddelku 85, odstavek 1, določba 6, se črta beseda </w:t>
      </w:r>
      <w:r>
        <w:rPr>
          <w:snapToGrid w:val="0"/>
          <w:color w:val="000000"/>
          <w:sz w:val="22"/>
          <w:rFonts w:ascii="Arial" w:hAnsi="Arial"/>
        </w:rPr>
        <w:t xml:space="preserve">„die“</w:t>
      </w:r>
      <w:r>
        <w:rPr>
          <w:snapToGrid w:val="0"/>
          <w:color w:val="000000"/>
          <w:sz w:val="22"/>
          <w:i/>
          <w:rFonts w:ascii="Arial" w:hAnsi="Arial"/>
        </w:rPr>
        <w:t xml:space="preserve"> [v nemški različici].</w:t>
      </w:r>
    </w:p>
    <w:p w14:paraId="4BB74CA2"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5203B280"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72E3B58F"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19.</w:t>
      </w:r>
      <w:r>
        <w:rPr>
          <w:snapToGrid w:val="0"/>
          <w:color w:val="000000"/>
          <w:sz w:val="22"/>
          <w:i/>
          <w:rFonts w:ascii="Arial" w:hAnsi="Arial"/>
        </w:rPr>
        <w:t xml:space="preserve"> </w:t>
      </w:r>
      <w:r>
        <w:rPr>
          <w:snapToGrid w:val="0"/>
          <w:color w:val="000000"/>
          <w:sz w:val="22"/>
          <w:i/>
          <w:rFonts w:ascii="Arial" w:hAnsi="Arial"/>
        </w:rPr>
        <w:t xml:space="preserve">V oddelku 85, odstavek 1, določba 7, se za besedilom </w:t>
      </w:r>
      <w:r>
        <w:rPr>
          <w:snapToGrid w:val="0"/>
          <w:color w:val="000000"/>
          <w:sz w:val="22"/>
          <w:rFonts w:ascii="Arial" w:hAnsi="Arial"/>
        </w:rPr>
        <w:t xml:space="preserve">„da na voljo“ </w:t>
      </w:r>
      <w:r>
        <w:rPr>
          <w:snapToGrid w:val="0"/>
          <w:color w:val="000000"/>
          <w:sz w:val="22"/>
          <w:i/>
          <w:rFonts w:ascii="Arial" w:hAnsi="Arial"/>
        </w:rPr>
        <w:t xml:space="preserve">vstavi besedilo</w:t>
      </w:r>
      <w:r>
        <w:rPr>
          <w:snapToGrid w:val="0"/>
          <w:color w:val="000000"/>
          <w:sz w:val="22"/>
          <w:rFonts w:ascii="Arial" w:hAnsi="Arial"/>
        </w:rPr>
        <w:t xml:space="preserve"> „ali uporabi“.</w:t>
      </w:r>
    </w:p>
    <w:p w14:paraId="24B91FB8"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6D02978E"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177D07E4"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20.</w:t>
      </w:r>
      <w:r>
        <w:rPr>
          <w:i/>
          <w:snapToGrid w:val="0"/>
          <w:color w:val="000000"/>
          <w:sz w:val="22"/>
          <w:rFonts w:ascii="Arial" w:hAnsi="Arial"/>
        </w:rPr>
        <w:t xml:space="preserve"> </w:t>
      </w:r>
      <w:r>
        <w:rPr>
          <w:i/>
          <w:snapToGrid w:val="0"/>
          <w:color w:val="000000"/>
          <w:sz w:val="22"/>
          <w:rFonts w:ascii="Arial" w:hAnsi="Arial"/>
        </w:rPr>
        <w:t xml:space="preserve">V oddelku 85, odstavek 1, se pika na koncu določbe 13 nadomesti s podpičjem ter se dodajo naslednjo določbe 14 do 16:</w:t>
      </w:r>
    </w:p>
    <w:p w14:paraId="32A47F7C"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 xml:space="preserve">„14. ne izpolnjuje obveznosti iz členov 3, 4, 5 in 6 ali člena 11, odstavek 13, Uredbe (EU) 2017/1369;</w:t>
      </w:r>
    </w:p>
    <w:p w14:paraId="6BBB80BA"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 xml:space="preserve">15. ne pripravi ali pripravi izjavo o lastnostih v skladu s členi 4 do 7 Uredbe (EU) št. 305/2011 ali je ne da na voljo ali je ne da na voljo pravočasno;</w:t>
      </w:r>
    </w:p>
    <w:p w14:paraId="134640C1"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 xml:space="preserve">16. ne izpolni obveznosti iz členov 11 do 16 Uredbe (EU) št. 305/2011.“</w:t>
      </w:r>
    </w:p>
    <w:p w14:paraId="092EF639" w14:textId="77777777" w:rsidR="008703BA" w:rsidRPr="00F079B9" w:rsidRDefault="008703BA" w:rsidP="008703BA">
      <w:pPr>
        <w:tabs>
          <w:tab w:val="right" w:pos="624"/>
          <w:tab w:val="left" w:pos="680"/>
        </w:tabs>
        <w:spacing w:line="312" w:lineRule="auto"/>
        <w:ind w:left="680" w:hanging="680"/>
        <w:jc w:val="both"/>
        <w:rPr>
          <w:rFonts w:ascii="Arial" w:eastAsiaTheme="minorEastAsia" w:hAnsi="Arial" w:cs="Arial"/>
          <w:color w:val="000000"/>
          <w:sz w:val="22"/>
          <w:szCs w:val="22"/>
        </w:rPr>
      </w:pPr>
    </w:p>
    <w:p w14:paraId="69A88E78" w14:textId="77777777" w:rsidR="008703BA" w:rsidRPr="00F079B9" w:rsidRDefault="008703BA" w:rsidP="008703BA">
      <w:pPr>
        <w:tabs>
          <w:tab w:val="right" w:pos="624"/>
          <w:tab w:val="left" w:pos="680"/>
        </w:tabs>
        <w:spacing w:line="312" w:lineRule="auto"/>
        <w:ind w:left="680" w:hanging="680"/>
        <w:jc w:val="both"/>
        <w:rPr>
          <w:rFonts w:ascii="Arial" w:eastAsiaTheme="minorEastAsia" w:hAnsi="Arial" w:cs="Arial"/>
          <w:color w:val="000000"/>
          <w:sz w:val="22"/>
          <w:szCs w:val="22"/>
        </w:rPr>
      </w:pPr>
    </w:p>
    <w:p w14:paraId="026E806B"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21.</w:t>
      </w:r>
      <w:r>
        <w:rPr>
          <w:i/>
          <w:snapToGrid w:val="0"/>
          <w:color w:val="000000"/>
          <w:sz w:val="22"/>
          <w:rFonts w:ascii="Arial" w:hAnsi="Arial"/>
        </w:rPr>
        <w:t xml:space="preserve"> </w:t>
      </w:r>
      <w:r>
        <w:rPr>
          <w:i/>
          <w:snapToGrid w:val="0"/>
          <w:color w:val="000000"/>
          <w:sz w:val="22"/>
          <w:rFonts w:ascii="Arial" w:hAnsi="Arial"/>
        </w:rPr>
        <w:t xml:space="preserve">Oddelek 85, odstavek 3, se glasi:</w:t>
      </w:r>
    </w:p>
    <w:p w14:paraId="64412EC8"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„(3) Upravno kršitev iz odstavka 1 kaznuje okrajni upravni organ z denarno kaznijo v višini najmanj 2500 EUR in največ 50 000 EUR ali, v primeru neplačila, z zaporom do šestih tednov namesto denarne kazni.“</w:t>
      </w:r>
    </w:p>
    <w:p w14:paraId="33ACAB6A" w14:textId="77777777" w:rsidR="008703BA" w:rsidRPr="00F079B9" w:rsidRDefault="008703BA" w:rsidP="008703BA">
      <w:pPr>
        <w:spacing w:line="312" w:lineRule="auto"/>
        <w:jc w:val="both"/>
        <w:rPr>
          <w:rFonts w:ascii="Arial" w:hAnsi="Arial" w:cs="Arial"/>
          <w:snapToGrid w:val="0"/>
          <w:color w:val="000000"/>
          <w:sz w:val="22"/>
          <w:szCs w:val="22"/>
        </w:rPr>
      </w:pPr>
    </w:p>
    <w:p w14:paraId="0238DC8D" w14:textId="77777777" w:rsidR="008703BA" w:rsidRPr="00F079B9" w:rsidRDefault="008703BA" w:rsidP="008703BA">
      <w:pPr>
        <w:spacing w:line="312" w:lineRule="auto"/>
        <w:jc w:val="both"/>
        <w:rPr>
          <w:rFonts w:ascii="Arial" w:hAnsi="Arial" w:cs="Arial"/>
          <w:snapToGrid w:val="0"/>
          <w:color w:val="000000"/>
          <w:sz w:val="22"/>
          <w:szCs w:val="22"/>
        </w:rPr>
      </w:pPr>
    </w:p>
    <w:p w14:paraId="5A71B4EF"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22.</w:t>
      </w:r>
      <w:r>
        <w:rPr>
          <w:i/>
          <w:snapToGrid w:val="0"/>
          <w:color w:val="000000"/>
          <w:sz w:val="22"/>
          <w:rFonts w:ascii="Arial" w:hAnsi="Arial"/>
        </w:rPr>
        <w:t xml:space="preserve"> </w:t>
      </w:r>
      <w:r>
        <w:rPr>
          <w:i/>
          <w:snapToGrid w:val="0"/>
          <w:color w:val="000000"/>
          <w:sz w:val="22"/>
          <w:rFonts w:ascii="Arial" w:hAnsi="Arial"/>
        </w:rPr>
        <w:t xml:space="preserve">Oddelek 85, odstavek 4, se glasi:</w:t>
      </w:r>
    </w:p>
    <w:p w14:paraId="57371901"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„(4) Kršitve iz odstavka 1 se štejejo za trajne kršitve, dokler traja nezakonito stanje, ki je bilo z njimi povzročeno.</w:t>
      </w:r>
      <w:r>
        <w:rPr>
          <w:snapToGrid w:val="0"/>
          <w:color w:val="000000"/>
          <w:sz w:val="22"/>
          <w:rFonts w:ascii="Arial" w:hAnsi="Arial"/>
        </w:rPr>
        <w:t xml:space="preserve"> </w:t>
      </w:r>
      <w:r>
        <w:rPr>
          <w:snapToGrid w:val="0"/>
          <w:color w:val="000000"/>
          <w:sz w:val="22"/>
          <w:rFonts w:ascii="Arial" w:hAnsi="Arial"/>
        </w:rPr>
        <w:t xml:space="preserve">Zastaralni rok za kazenski pregon pri trajnih kršitvah začne teči od trenutka, ko je ponovno vzpostavljeno zakonito stanje.</w:t>
      </w:r>
    </w:p>
    <w:p w14:paraId="77C72695"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E201F8F"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1678D7D"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23.</w:t>
      </w:r>
      <w:r>
        <w:rPr>
          <w:snapToGrid w:val="0"/>
          <w:color w:val="000000"/>
          <w:sz w:val="22"/>
          <w:i/>
          <w:rFonts w:ascii="Arial" w:hAnsi="Arial"/>
        </w:rPr>
        <w:t xml:space="preserve"> </w:t>
      </w:r>
      <w:r>
        <w:rPr>
          <w:snapToGrid w:val="0"/>
          <w:color w:val="000000"/>
          <w:sz w:val="22"/>
          <w:i/>
          <w:rFonts w:ascii="Arial" w:hAnsi="Arial"/>
        </w:rPr>
        <w:t xml:space="preserve">V oddelku 85, odstavek 5, se črta navedba </w:t>
      </w:r>
      <w:r>
        <w:rPr>
          <w:snapToGrid w:val="0"/>
          <w:color w:val="000000"/>
          <w:sz w:val="22"/>
          <w:rFonts w:ascii="Arial" w:hAnsi="Arial"/>
        </w:rPr>
        <w:t xml:space="preserve">„določbe 6 do 13“.</w:t>
      </w:r>
    </w:p>
    <w:p w14:paraId="1CABB467"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02348B8B"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34DA08D9"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24.</w:t>
      </w:r>
      <w:r>
        <w:rPr>
          <w:snapToGrid w:val="0"/>
          <w:color w:val="000000"/>
          <w:sz w:val="22"/>
          <w:i/>
          <w:rFonts w:ascii="Arial" w:hAnsi="Arial"/>
        </w:rPr>
        <w:t xml:space="preserve"> </w:t>
      </w:r>
      <w:r>
        <w:rPr>
          <w:snapToGrid w:val="0"/>
          <w:color w:val="000000"/>
          <w:sz w:val="22"/>
          <w:i/>
          <w:rFonts w:ascii="Arial" w:hAnsi="Arial"/>
        </w:rPr>
        <w:t xml:space="preserve">V oddelku 85, odstavek 6, se navedba </w:t>
      </w:r>
      <w:r>
        <w:rPr>
          <w:snapToGrid w:val="0"/>
          <w:color w:val="000000"/>
          <w:sz w:val="22"/>
          <w:rFonts w:ascii="Arial" w:hAnsi="Arial"/>
        </w:rPr>
        <w:t xml:space="preserve">„Odstavek 1, določbe 6 do 13“</w:t>
      </w:r>
      <w:r>
        <w:rPr>
          <w:snapToGrid w:val="0"/>
          <w:color w:val="000000"/>
          <w:sz w:val="22"/>
          <w:i/>
          <w:rFonts w:ascii="Arial" w:hAnsi="Arial"/>
        </w:rPr>
        <w:t xml:space="preserve"> nadomesti z navedbo </w:t>
      </w:r>
      <w:r>
        <w:rPr>
          <w:snapToGrid w:val="0"/>
          <w:color w:val="000000"/>
          <w:sz w:val="22"/>
          <w:rFonts w:ascii="Arial" w:hAnsi="Arial"/>
        </w:rPr>
        <w:t xml:space="preserve">„Odstavek 1, določbe 1, 2 in 5 do 14“</w:t>
      </w:r>
      <w:r>
        <w:rPr>
          <w:snapToGrid w:val="0"/>
          <w:color w:val="000000"/>
          <w:sz w:val="22"/>
          <w:i/>
          <w:rFonts w:ascii="Arial" w:hAnsi="Arial"/>
        </w:rPr>
        <w:t xml:space="preserve">.</w:t>
      </w:r>
    </w:p>
    <w:p w14:paraId="2B922CE6"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1D149A6"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750333D4"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i/>
          <w:snapToGrid w:val="0"/>
          <w:color w:val="000000"/>
          <w:sz w:val="22"/>
          <w:rFonts w:ascii="Arial" w:hAnsi="Arial"/>
        </w:rPr>
        <w:t xml:space="preserve">25.</w:t>
      </w:r>
      <w:r>
        <w:rPr>
          <w:i/>
          <w:snapToGrid w:val="0"/>
          <w:color w:val="000000"/>
          <w:sz w:val="22"/>
          <w:rFonts w:ascii="Arial" w:hAnsi="Arial"/>
        </w:rPr>
        <w:t xml:space="preserve"> </w:t>
      </w:r>
      <w:r>
        <w:rPr>
          <w:i/>
          <w:snapToGrid w:val="0"/>
          <w:color w:val="000000"/>
          <w:sz w:val="22"/>
          <w:rFonts w:ascii="Arial" w:hAnsi="Arial"/>
        </w:rPr>
        <w:t xml:space="preserve">V oddelku 88 se za odstavkom 3 vstavi naslednji odstavek 3a:</w:t>
      </w:r>
    </w:p>
    <w:p w14:paraId="16E833A5" w14:textId="77777777" w:rsidR="008703BA" w:rsidRPr="00F079B9" w:rsidRDefault="008703BA" w:rsidP="008703BA">
      <w:pPr>
        <w:spacing w:line="312" w:lineRule="auto"/>
        <w:ind w:firstLine="397"/>
        <w:jc w:val="both"/>
        <w:rPr>
          <w:snapToGrid w:val="0"/>
          <w:color w:val="000000"/>
          <w:sz w:val="22"/>
          <w:szCs w:val="22"/>
          <w:rFonts w:ascii="Arial" w:hAnsi="Arial" w:cs="Arial"/>
        </w:rPr>
      </w:pPr>
      <w:r>
        <w:rPr>
          <w:snapToGrid w:val="0"/>
          <w:color w:val="000000"/>
          <w:sz w:val="22"/>
          <w:rFonts w:ascii="Arial" w:hAnsi="Arial"/>
        </w:rPr>
        <w:t xml:space="preserve">“</w:t>
      </w:r>
      <w:bookmarkStart w:id="0" w:name="_Hlk214894621"/>
      <w:r>
        <w:rPr>
          <w:snapToGrid w:val="0"/>
          <w:color w:val="000000"/>
          <w:sz w:val="22"/>
          <w:rFonts w:ascii="Arial" w:hAnsi="Arial"/>
        </w:rPr>
        <w:t xml:space="preserve">(3a) </w:t>
      </w:r>
      <w:bookmarkStart w:id="1" w:name="_Hlk214974343"/>
      <w:r>
        <w:rPr>
          <w:snapToGrid w:val="0"/>
          <w:color w:val="000000"/>
          <w:sz w:val="22"/>
          <w:rFonts w:ascii="Arial" w:hAnsi="Arial"/>
        </w:rPr>
        <w:t xml:space="preserve">Če so v tem zveznem zakonu sklici na določbe prava Skupnosti, se uporabljajo njihove naslednje različice:</w:t>
      </w:r>
    </w:p>
    <w:p w14:paraId="6511FC82"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 xml:space="preserve">–</w:t>
      </w:r>
      <w:r>
        <w:rPr>
          <w:color w:val="000000"/>
          <w:sz w:val="22"/>
          <w:rFonts w:ascii="Arial" w:hAnsi="Arial"/>
        </w:rPr>
        <w:tab/>
      </w:r>
      <w:r>
        <w:rPr>
          <w:color w:val="000000"/>
          <w:sz w:val="22"/>
          <w:rFonts w:ascii="Arial" w:hAnsi="Arial"/>
        </w:rPr>
        <w:t xml:space="preserve">,Uredba (EU) št. 305/2011‘:</w:t>
      </w:r>
      <w:r>
        <w:rPr>
          <w:color w:val="000000"/>
          <w:sz w:val="22"/>
          <w:rFonts w:ascii="Arial" w:hAnsi="Arial"/>
        </w:rPr>
        <w:t xml:space="preserve"> </w:t>
      </w:r>
      <w:r>
        <w:rPr>
          <w:color w:val="000000"/>
          <w:sz w:val="22"/>
          <w:rFonts w:ascii="Arial" w:hAnsi="Arial"/>
        </w:rPr>
        <w:t xml:space="preserve">Uredba (EU) št. 305/2011 Evropskega parlamenta in Sveta z dne 9. marca 2011 o določitvi usklajenih pogojev za trženje gradbenih proizvodov in razveljavitvi Direktive Sveta 89/106/EGS (UL L 88, 4.4.2011, str. 5), kakor je bila spremenjena 8. aprila 2015 (UL L 92, str. 118),</w:t>
      </w:r>
    </w:p>
    <w:p w14:paraId="7E10F093"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 xml:space="preserve">–</w:t>
      </w:r>
      <w:r>
        <w:rPr>
          <w:color w:val="000000"/>
          <w:sz w:val="22"/>
          <w:rFonts w:ascii="Arial" w:hAnsi="Arial"/>
        </w:rPr>
        <w:tab/>
      </w:r>
      <w:r>
        <w:rPr>
          <w:color w:val="000000"/>
          <w:sz w:val="22"/>
          <w:rFonts w:ascii="Arial" w:hAnsi="Arial"/>
        </w:rPr>
        <w:t xml:space="preserve">,Uredba (EU) 2019/1020‘:</w:t>
      </w:r>
      <w:r>
        <w:rPr>
          <w:color w:val="000000"/>
          <w:sz w:val="22"/>
          <w:rFonts w:ascii="Arial" w:hAnsi="Arial"/>
        </w:rPr>
        <w:t xml:space="preserve"> </w:t>
      </w:r>
      <w:r>
        <w:rPr>
          <w:color w:val="000000"/>
          <w:sz w:val="22"/>
          <w:rFonts w:ascii="Arial" w:hAnsi="Arial"/>
        </w:rPr>
        <w:t xml:space="preserve">Uredba (EU) 2019/1020 Evropskega parlamenta in Sveta z dne 20. junija 2019 o nadzoru trga in skladnosti proizvodov ter spremembi Direktive 2004/42/ES in uredb (ES) št. 765/2008 in (EU) št. 305/2011 (UL L 169, 25.6.2019, str. 1), kakor je bila spremenjena 1. oktobra 2024 (UL L 90589, str. 1),</w:t>
      </w:r>
    </w:p>
    <w:p w14:paraId="6AEA2013"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 xml:space="preserve">–</w:t>
      </w:r>
      <w:r>
        <w:rPr>
          <w:color w:val="000000"/>
          <w:sz w:val="22"/>
          <w:rFonts w:ascii="Arial" w:hAnsi="Arial"/>
        </w:rPr>
        <w:tab/>
      </w:r>
      <w:r>
        <w:rPr>
          <w:color w:val="000000"/>
          <w:sz w:val="22"/>
          <w:rFonts w:ascii="Arial" w:hAnsi="Arial"/>
        </w:rPr>
        <w:t xml:space="preserve">,Uredba (EU) 2017/1369‘:</w:t>
      </w:r>
      <w:r>
        <w:rPr>
          <w:color w:val="000000"/>
          <w:sz w:val="22"/>
          <w:rFonts w:ascii="Arial" w:hAnsi="Arial"/>
        </w:rPr>
        <w:t xml:space="preserve"> </w:t>
      </w:r>
      <w:r>
        <w:rPr>
          <w:color w:val="000000"/>
          <w:sz w:val="22"/>
          <w:rFonts w:ascii="Arial" w:hAnsi="Arial"/>
        </w:rPr>
        <w:t xml:space="preserve">Uredba (EU) 2017/1369 Evropskega parlamenta in Sveta z dne 4. julija 2017 o vzpostavitvi okvira za označevanje z energijskimi nalepkami in razveljavitvi Direktive 2010/30/EU (UL L 198, 28.7.2017, str. 1), kakor je bila spremenjena 5. junija 2020 (UL L 177, str. 1),</w:t>
      </w:r>
    </w:p>
    <w:p w14:paraId="32DD6FAA" w14:textId="77777777" w:rsidR="008703BA" w:rsidRPr="00F079B9" w:rsidRDefault="008703BA" w:rsidP="008703BA">
      <w:pPr>
        <w:tabs>
          <w:tab w:val="right" w:pos="624"/>
          <w:tab w:val="left" w:pos="680"/>
        </w:tabs>
        <w:spacing w:line="312" w:lineRule="auto"/>
        <w:ind w:left="680" w:hanging="680"/>
        <w:jc w:val="both"/>
        <w:rPr>
          <w:color w:val="000000"/>
          <w:sz w:val="22"/>
          <w:szCs w:val="22"/>
          <w:rFonts w:ascii="Arial" w:eastAsiaTheme="minorEastAsia" w:hAnsi="Arial" w:cs="Arial"/>
        </w:rPr>
      </w:pPr>
      <w:r>
        <w:rPr>
          <w:color w:val="000000"/>
          <w:sz w:val="22"/>
          <w:rFonts w:ascii="Arial" w:hAnsi="Arial"/>
        </w:rPr>
        <w:tab/>
      </w:r>
      <w:r>
        <w:rPr>
          <w:color w:val="000000"/>
          <w:sz w:val="22"/>
          <w:rFonts w:ascii="Arial" w:hAnsi="Arial"/>
        </w:rPr>
        <w:t xml:space="preserve">–</w:t>
      </w:r>
      <w:r>
        <w:rPr>
          <w:color w:val="000000"/>
          <w:sz w:val="22"/>
          <w:rFonts w:ascii="Arial" w:hAnsi="Arial"/>
        </w:rPr>
        <w:tab/>
      </w:r>
      <w:r>
        <w:rPr>
          <w:color w:val="000000"/>
          <w:sz w:val="22"/>
          <w:rFonts w:ascii="Arial" w:hAnsi="Arial"/>
        </w:rPr>
        <w:t xml:space="preserve">,Direktiva (EU) 2024/1275‘:</w:t>
      </w:r>
      <w:r>
        <w:rPr>
          <w:color w:val="000000"/>
          <w:sz w:val="22"/>
          <w:rFonts w:ascii="Arial" w:hAnsi="Arial"/>
        </w:rPr>
        <w:t xml:space="preserve"> </w:t>
      </w:r>
      <w:r>
        <w:rPr>
          <w:color w:val="000000"/>
          <w:sz w:val="22"/>
          <w:rFonts w:ascii="Arial" w:hAnsi="Arial"/>
        </w:rPr>
        <w:t xml:space="preserve">Direktiva (EU) 2024/1275 Evropskega parlamenta in Sveta z dne 24. aprila 2024 o energetski učinkovitosti stavb (UL L 2024/1275, 8.5.2024).“.</w:t>
      </w:r>
    </w:p>
    <w:bookmarkEnd w:id="0"/>
    <w:bookmarkEnd w:id="1"/>
    <w:p w14:paraId="7411A2D9"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63A153B8"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3F15A178" w14:textId="77777777" w:rsidR="008703BA" w:rsidRPr="00F079B9" w:rsidRDefault="008703BA" w:rsidP="008703BA">
      <w:pPr>
        <w:spacing w:line="312" w:lineRule="auto"/>
        <w:jc w:val="both"/>
        <w:outlineLvl w:val="2"/>
        <w:rPr>
          <w:i/>
          <w:snapToGrid w:val="0"/>
          <w:color w:val="000000"/>
          <w:sz w:val="22"/>
          <w:szCs w:val="22"/>
          <w:rFonts w:ascii="Arial" w:hAnsi="Arial" w:cs="Arial"/>
        </w:rPr>
      </w:pPr>
      <w:r>
        <w:rPr>
          <w:snapToGrid w:val="0"/>
          <w:color w:val="000000"/>
          <w:sz w:val="22"/>
          <w:i/>
          <w:rFonts w:ascii="Arial" w:hAnsi="Arial"/>
        </w:rPr>
        <w:t xml:space="preserve">26.</w:t>
      </w:r>
      <w:r>
        <w:rPr>
          <w:snapToGrid w:val="0"/>
          <w:color w:val="000000"/>
          <w:sz w:val="22"/>
          <w:i/>
          <w:rFonts w:ascii="Arial" w:hAnsi="Arial"/>
        </w:rPr>
        <w:t xml:space="preserve"> </w:t>
      </w:r>
      <w:r>
        <w:rPr>
          <w:snapToGrid w:val="0"/>
          <w:color w:val="000000"/>
          <w:sz w:val="22"/>
          <w:i/>
          <w:rFonts w:ascii="Arial" w:hAnsi="Arial"/>
        </w:rPr>
        <w:t xml:space="preserve">Priloga 1 se črta; prejšnja Priloga 2 se preimenuje v </w:t>
      </w:r>
      <w:r>
        <w:rPr>
          <w:snapToGrid w:val="0"/>
          <w:color w:val="000000"/>
          <w:sz w:val="22"/>
          <w:rFonts w:ascii="Arial" w:hAnsi="Arial"/>
        </w:rPr>
        <w:t xml:space="preserve">„Priloga“.</w:t>
      </w:r>
    </w:p>
    <w:p w14:paraId="3BE05A73"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28FAD029" w14:textId="77777777" w:rsidR="008703BA" w:rsidRPr="00F079B9" w:rsidRDefault="008703BA" w:rsidP="008703BA">
      <w:pPr>
        <w:spacing w:line="312" w:lineRule="auto"/>
        <w:jc w:val="both"/>
        <w:outlineLvl w:val="2"/>
        <w:rPr>
          <w:rFonts w:ascii="Arial" w:hAnsi="Arial" w:cs="Arial"/>
          <w:i/>
          <w:snapToGrid w:val="0"/>
          <w:color w:val="000000"/>
          <w:sz w:val="22"/>
          <w:szCs w:val="22"/>
        </w:rPr>
      </w:pPr>
    </w:p>
    <w:p w14:paraId="39107B54" w14:textId="77777777" w:rsidR="008703BA" w:rsidRPr="00F079B9" w:rsidRDefault="008703BA" w:rsidP="008703BA">
      <w:pPr>
        <w:spacing w:line="312" w:lineRule="auto"/>
        <w:jc w:val="center"/>
        <w:outlineLvl w:val="2"/>
        <w:rPr>
          <w:b/>
          <w:snapToGrid w:val="0"/>
          <w:color w:val="000000"/>
          <w:sz w:val="22"/>
          <w:szCs w:val="22"/>
          <w:rFonts w:ascii="Arial" w:hAnsi="Arial" w:cs="Arial"/>
        </w:rPr>
      </w:pPr>
      <w:r>
        <w:rPr>
          <w:b/>
          <w:snapToGrid w:val="0"/>
          <w:color w:val="000000"/>
          <w:sz w:val="22"/>
          <w:rFonts w:ascii="Arial" w:hAnsi="Arial"/>
        </w:rPr>
        <w:t xml:space="preserve">Člen II</w:t>
      </w:r>
    </w:p>
    <w:p w14:paraId="48581577" w14:textId="77777777" w:rsidR="008703BA" w:rsidRPr="00F079B9" w:rsidRDefault="008703BA" w:rsidP="008703BA">
      <w:pPr>
        <w:spacing w:line="312" w:lineRule="auto"/>
        <w:ind w:firstLine="397"/>
        <w:jc w:val="both"/>
        <w:rPr>
          <w:snapToGrid w:val="0"/>
          <w:color w:val="000000"/>
          <w:sz w:val="22"/>
          <w:szCs w:val="22"/>
          <w:rFonts w:ascii="Arial" w:eastAsiaTheme="minorEastAsia" w:hAnsi="Arial" w:cs="Arial"/>
        </w:rPr>
      </w:pPr>
      <w:r>
        <w:rPr>
          <w:snapToGrid w:val="0"/>
          <w:color w:val="000000"/>
          <w:sz w:val="22"/>
          <w:rFonts w:ascii="Arial" w:hAnsi="Arial"/>
        </w:rPr>
        <w:t xml:space="preserve">(1) Ta deželni zakon začne veljati prvega dne v mesecu, ki sledi razglasitvi v Deželnem uradnem listu Zgornje Avstrije.</w:t>
      </w:r>
    </w:p>
    <w:p w14:paraId="763C48CC" w14:textId="77777777" w:rsidR="008703BA" w:rsidRPr="00F079B9" w:rsidRDefault="008703BA" w:rsidP="008703BA">
      <w:pPr>
        <w:spacing w:line="312" w:lineRule="auto"/>
        <w:ind w:firstLine="397"/>
        <w:jc w:val="both"/>
        <w:rPr>
          <w:snapToGrid w:val="0"/>
          <w:color w:val="000000"/>
          <w:sz w:val="22"/>
          <w:szCs w:val="22"/>
          <w:rFonts w:ascii="Arial" w:eastAsiaTheme="minorEastAsia" w:hAnsi="Arial" w:cs="Arial"/>
        </w:rPr>
      </w:pPr>
      <w:r>
        <w:rPr>
          <w:snapToGrid w:val="0"/>
          <w:color w:val="000000"/>
          <w:sz w:val="22"/>
          <w:rFonts w:ascii="Arial" w:hAnsi="Arial"/>
        </w:rPr>
        <w:t xml:space="preserve">(2) Upravni prekrškovni postopek, ki je v teku ob začetku veljavnosti tega zakona, se nadaljuje v skladu s predhodno veljavnimi pravnimi določbami.</w:t>
      </w:r>
    </w:p>
    <w:p w14:paraId="01C1C0C2" w14:textId="77777777" w:rsidR="008703BA" w:rsidRPr="00F079B9" w:rsidRDefault="008703BA" w:rsidP="008703BA">
      <w:pPr>
        <w:spacing w:line="312" w:lineRule="auto"/>
        <w:ind w:firstLine="397"/>
        <w:jc w:val="both"/>
        <w:rPr>
          <w:sz w:val="22"/>
          <w:szCs w:val="22"/>
          <w:rFonts w:ascii="Arial" w:hAnsi="Arial" w:cs="Arial"/>
        </w:rPr>
      </w:pPr>
      <w:r>
        <w:rPr>
          <w:sz w:val="22"/>
          <w:rFonts w:ascii="Arial" w:hAnsi="Arial"/>
        </w:rPr>
        <w:t xml:space="preserve">(3) Ta deželni zakon je predmet postopka za zbiranje informacij v smislu Direktive (EU) 2015/1535 Evropskega parlamenta in Sveta z dne 9. septembra 2015 o določitvi postopka za zbiranje informacij na področju tehničnih predpisov in pravil za storitve informacijske družbe (kodificirano besedilo) (OJ L 241, 17.9.2015, str. 1).</w:t>
      </w:r>
    </w:p>
    <w:p w14:paraId="6910E589" w14:textId="77777777" w:rsidR="00817FB6" w:rsidRPr="00F079B9" w:rsidRDefault="00817FB6"/>
    <w:sectPr w:rsidR="00817FB6" w:rsidRPr="00F079B9" w:rsidSect="008703BA">
      <w:headerReference w:type="default" r:id="rId7"/>
      <w:footerReference w:type="default" r:id="rId8"/>
      <w:footerReference w:type="first" r:id="rId9"/>
      <w:pgSz w:w="11906" w:h="16838" w:code="9"/>
      <w:pgMar w:top="851" w:right="1134" w:bottom="1418" w:left="1134" w:header="567" w:footer="720" w:gutter="0"/>
      <w:cols w:space="720" w:equalWidth="0">
        <w:col w:w="9638"/>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DAAD8" w14:textId="77777777" w:rsidR="00B97981" w:rsidRPr="00F079B9" w:rsidRDefault="007423A9">
      <w:r w:rsidRPr="00F079B9">
        <w:separator/>
      </w:r>
    </w:p>
  </w:endnote>
  <w:endnote w:type="continuationSeparator" w:id="0">
    <w:p w14:paraId="28409CD3" w14:textId="77777777" w:rsidR="00B97981" w:rsidRPr="00F079B9" w:rsidRDefault="007423A9">
      <w:r w:rsidRPr="00F079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50602020203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82C6" w14:textId="77777777" w:rsidR="008703BA" w:rsidRPr="00F079B9" w:rsidRDefault="008703BA">
    <w:pPr>
      <w:pStyle w:val="Footer"/>
      <w:tabs>
        <w:tab w:val="clear" w:pos="4536"/>
        <w:tab w:val="clear" w:pos="9072"/>
      </w:tabs>
      <w:jc w:val="right"/>
      <w:rPr>
        <w:noProof/>
        <w:sz w:val="17"/>
        <w:szCs w:val="17"/>
        <w:rFonts w:ascii="Arial Narrow" w:hAnsi="Arial Narrow"/>
      </w:rPr>
    </w:pPr>
    <w:r>
      <w:rPr>
        <w:rStyle w:val="PageNumber"/>
        <w:sz w:val="17"/>
        <w:rFonts w:ascii="Arial Narrow" w:hAnsi="Arial Narrow"/>
      </w:rPr>
      <w:t xml:space="preserve">Stran</w:t>
    </w:r>
    <w:r>
      <w:rPr>
        <w:rStyle w:val="PageNumber"/>
        <w:sz w:val="17"/>
        <w:rFonts w:ascii="Arial Narrow" w:hAnsi="Arial Narrow"/>
      </w:rPr>
      <w:t xml:space="preserve"> </w:t>
    </w:r>
    <w:r w:rsidRPr="00F079B9">
      <w:rPr>
        <w:rStyle w:val="PageNumber"/>
        <w:sz w:val="17"/>
        <w:rFonts w:ascii="Arial Narrow" w:eastAsiaTheme="majorEastAsia" w:hAnsi="Arial Narrow"/>
      </w:rPr>
      <w:fldChar w:fldCharType="begin"/>
    </w:r>
    <w:r w:rsidRPr="00F079B9">
      <w:rPr>
        <w:rStyle w:val="PageNumber"/>
        <w:sz w:val="17"/>
        <w:rFonts w:ascii="Arial Narrow" w:eastAsiaTheme="majorEastAsia" w:hAnsi="Arial Narrow"/>
      </w:rPr>
      <w:instrText xml:space="preserve"> PAGE </w:instrText>
    </w:r>
    <w:r w:rsidRPr="00F079B9">
      <w:rPr>
        <w:rStyle w:val="PageNumber"/>
        <w:sz w:val="17"/>
        <w:rFonts w:ascii="Arial Narrow" w:eastAsiaTheme="majorEastAsia" w:hAnsi="Arial Narrow"/>
      </w:rPr>
      <w:fldChar w:fldCharType="separate"/>
    </w:r>
    <w:r w:rsidRPr="00F079B9">
      <w:rPr>
        <w:rStyle w:val="PageNumber"/>
        <w:sz w:val="17"/>
        <w:rFonts w:ascii="Arial Narrow" w:eastAsiaTheme="majorEastAsia" w:hAnsi="Arial Narrow"/>
      </w:rPr>
      <w:t>3</w:t>
    </w:r>
    <w:r w:rsidRPr="00F079B9">
      <w:rPr>
        <w:rStyle w:val="PageNumber"/>
        <w:sz w:val="17"/>
        <w:rFonts w:ascii="Arial Narrow" w:eastAsiaTheme="majorEastAsia" w:hAnsi="Arial Narro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AF65B" w14:textId="77777777" w:rsidR="008703BA" w:rsidRPr="00F079B9" w:rsidRDefault="008703BA">
    <w:pPr>
      <w:pStyle w:val="Footer"/>
      <w:tabs>
        <w:tab w:val="clear" w:pos="4536"/>
        <w:tab w:val="clear" w:pos="9072"/>
        <w:tab w:val="right" w:pos="9356"/>
      </w:tabs>
      <w:rPr>
        <w:noProof/>
        <w:sz w:val="17"/>
        <w:szCs w:val="17"/>
        <w:rFonts w:ascii="Arial Narrow" w:hAnsi="Arial Narrow"/>
      </w:rPr>
    </w:pPr>
    <w:r>
      <w:t xml:space="preserve">[</w:t>
    </w:r>
    <w:r w:rsidRPr="00F079B9">
      <w:rPr>
        <w:snapToGrid w:val="0"/>
        <w:sz w:val="17"/>
        <w:rFonts w:ascii="Arial Narrow" w:hAnsi="Arial Narrow"/>
      </w:rPr>
      <w:fldChar w:fldCharType="begin" w:dirty="true"/>
    </w:r>
    <w:r w:rsidRPr="00F079B9">
      <w:rPr>
        <w:snapToGrid w:val="0"/>
        <w:sz w:val="17"/>
        <w:rFonts w:ascii="Arial Narrow" w:hAnsi="Arial Narrow"/>
      </w:rPr>
      <w:instrText xml:space="preserve"> FILENAME \p </w:instrText>
    </w:r>
    <w:r w:rsidRPr="00F079B9">
      <w:rPr>
        <w:snapToGrid w:val="0"/>
        <w:sz w:val="17"/>
        <w:rFonts w:ascii="Arial Narrow" w:hAnsi="Arial Narrow"/>
      </w:rPr>
      <w:fldChar w:fldCharType="separate"/>
    </w:r>
    <w:r w:rsidRPr="00F079B9">
      <w:rPr>
        <w:snapToGrid w:val="0"/>
        <w:sz w:val="17"/>
        <w:rFonts w:ascii="Arial Narrow" w:hAnsi="Arial Narrow"/>
      </w:rPr>
      <w:t>N:\Verf\Regierungsvorlagen\RV_bautechnikgesetz_novelle_2026_entwurf.docx</w:t>
    </w:r>
    <w:r w:rsidRPr="00F079B9">
      <w:rPr>
        <w:snapToGrid w:val="0"/>
        <w:sz w:val="17"/>
        <w:rFonts w:ascii="Arial Narrow" w:hAnsi="Arial Narrow"/>
      </w:rPr>
      <w:fldChar w:fldCharType="end"/>
    </w:r>
    <w:r>
      <w:rPr>
        <w:snapToGrid w:val="0"/>
        <w:sz w:val="17"/>
        <w:rFonts w:ascii="Arial Narrow" w:hAnsi="Arial Narrow"/>
      </w:rPr>
      <w:t xml:space="preser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CEB42" w14:textId="77777777" w:rsidR="00B97981" w:rsidRPr="00F079B9" w:rsidRDefault="007423A9">
      <w:r w:rsidRPr="00F079B9">
        <w:separator/>
      </w:r>
    </w:p>
  </w:footnote>
  <w:footnote w:type="continuationSeparator" w:id="0">
    <w:p w14:paraId="22BE96D1" w14:textId="77777777" w:rsidR="00B97981" w:rsidRPr="00F079B9" w:rsidRDefault="007423A9">
      <w:r w:rsidRPr="00F079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95B1" w14:textId="77777777" w:rsidR="008703BA" w:rsidRPr="00F079B9" w:rsidRDefault="008703BA">
    <w:pPr>
      <w:pStyle w:val="Header"/>
      <w:rPr>
        <w:noProof/>
      </w:rPr>
    </w:pPr>
  </w:p>
  <w:p w14:paraId="5AD75828" w14:textId="77777777" w:rsidR="008703BA" w:rsidRPr="00F079B9" w:rsidRDefault="008703BA">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13CD"/>
    <w:multiLevelType w:val="hybridMultilevel"/>
    <w:tmpl w:val="0A663DEE"/>
    <w:lvl w:ilvl="0" w:tplc="090ED92C">
      <w:start w:val="1"/>
      <w:numFmt w:val="decimal"/>
      <w:lvlText w:val="%1."/>
      <w:lvlJc w:val="left"/>
      <w:pPr>
        <w:ind w:left="810" w:hanging="360"/>
      </w:pPr>
      <w:rPr>
        <w:rFonts w:hint="default"/>
      </w:rPr>
    </w:lvl>
    <w:lvl w:ilvl="1" w:tplc="140C0019" w:tentative="1">
      <w:start w:val="1"/>
      <w:numFmt w:val="lowerLetter"/>
      <w:lvlText w:val="%2."/>
      <w:lvlJc w:val="left"/>
      <w:pPr>
        <w:ind w:left="1530" w:hanging="360"/>
      </w:pPr>
    </w:lvl>
    <w:lvl w:ilvl="2" w:tplc="140C001B" w:tentative="1">
      <w:start w:val="1"/>
      <w:numFmt w:val="lowerRoman"/>
      <w:lvlText w:val="%3."/>
      <w:lvlJc w:val="right"/>
      <w:pPr>
        <w:ind w:left="2250" w:hanging="180"/>
      </w:pPr>
    </w:lvl>
    <w:lvl w:ilvl="3" w:tplc="140C000F" w:tentative="1">
      <w:start w:val="1"/>
      <w:numFmt w:val="decimal"/>
      <w:lvlText w:val="%4."/>
      <w:lvlJc w:val="left"/>
      <w:pPr>
        <w:ind w:left="2970" w:hanging="360"/>
      </w:pPr>
    </w:lvl>
    <w:lvl w:ilvl="4" w:tplc="140C0019" w:tentative="1">
      <w:start w:val="1"/>
      <w:numFmt w:val="lowerLetter"/>
      <w:lvlText w:val="%5."/>
      <w:lvlJc w:val="left"/>
      <w:pPr>
        <w:ind w:left="3690" w:hanging="360"/>
      </w:pPr>
    </w:lvl>
    <w:lvl w:ilvl="5" w:tplc="140C001B" w:tentative="1">
      <w:start w:val="1"/>
      <w:numFmt w:val="lowerRoman"/>
      <w:lvlText w:val="%6."/>
      <w:lvlJc w:val="right"/>
      <w:pPr>
        <w:ind w:left="4410" w:hanging="180"/>
      </w:pPr>
    </w:lvl>
    <w:lvl w:ilvl="6" w:tplc="140C000F" w:tentative="1">
      <w:start w:val="1"/>
      <w:numFmt w:val="decimal"/>
      <w:lvlText w:val="%7."/>
      <w:lvlJc w:val="left"/>
      <w:pPr>
        <w:ind w:left="5130" w:hanging="360"/>
      </w:pPr>
    </w:lvl>
    <w:lvl w:ilvl="7" w:tplc="140C0019" w:tentative="1">
      <w:start w:val="1"/>
      <w:numFmt w:val="lowerLetter"/>
      <w:lvlText w:val="%8."/>
      <w:lvlJc w:val="left"/>
      <w:pPr>
        <w:ind w:left="5850" w:hanging="360"/>
      </w:pPr>
    </w:lvl>
    <w:lvl w:ilvl="8" w:tplc="140C001B" w:tentative="1">
      <w:start w:val="1"/>
      <w:numFmt w:val="lowerRoman"/>
      <w:lvlText w:val="%9."/>
      <w:lvlJc w:val="right"/>
      <w:pPr>
        <w:ind w:left="6570" w:hanging="180"/>
      </w:pPr>
    </w:lvl>
  </w:abstractNum>
  <w:abstractNum w:abstractNumId="1" w15:restartNumberingAfterBreak="0">
    <w:nsid w:val="2A165A46"/>
    <w:multiLevelType w:val="hybridMultilevel"/>
    <w:tmpl w:val="EB6C204E"/>
    <w:lvl w:ilvl="0" w:tplc="090ED92C">
      <w:start w:val="1"/>
      <w:numFmt w:val="decimal"/>
      <w:lvlText w:val="%1."/>
      <w:lvlJc w:val="left"/>
      <w:pPr>
        <w:ind w:left="81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363128F1"/>
    <w:multiLevelType w:val="hybridMultilevel"/>
    <w:tmpl w:val="B1E4EBA4"/>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5AE13A3E"/>
    <w:multiLevelType w:val="hybridMultilevel"/>
    <w:tmpl w:val="2946CB30"/>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64876B1C"/>
    <w:multiLevelType w:val="hybridMultilevel"/>
    <w:tmpl w:val="311690EC"/>
    <w:lvl w:ilvl="0" w:tplc="090ED92C">
      <w:start w:val="1"/>
      <w:numFmt w:val="decimal"/>
      <w:lvlText w:val="%1."/>
      <w:lvlJc w:val="left"/>
      <w:pPr>
        <w:ind w:left="810" w:hanging="360"/>
      </w:pPr>
      <w:rPr>
        <w:rFonts w:hint="default"/>
      </w:rPr>
    </w:lvl>
    <w:lvl w:ilvl="1" w:tplc="140C0019" w:tentative="1">
      <w:start w:val="1"/>
      <w:numFmt w:val="lowerLetter"/>
      <w:lvlText w:val="%2."/>
      <w:lvlJc w:val="left"/>
      <w:pPr>
        <w:ind w:left="1530" w:hanging="360"/>
      </w:pPr>
    </w:lvl>
    <w:lvl w:ilvl="2" w:tplc="140C001B" w:tentative="1">
      <w:start w:val="1"/>
      <w:numFmt w:val="lowerRoman"/>
      <w:lvlText w:val="%3."/>
      <w:lvlJc w:val="right"/>
      <w:pPr>
        <w:ind w:left="2250" w:hanging="180"/>
      </w:pPr>
    </w:lvl>
    <w:lvl w:ilvl="3" w:tplc="140C000F" w:tentative="1">
      <w:start w:val="1"/>
      <w:numFmt w:val="decimal"/>
      <w:lvlText w:val="%4."/>
      <w:lvlJc w:val="left"/>
      <w:pPr>
        <w:ind w:left="2970" w:hanging="360"/>
      </w:pPr>
    </w:lvl>
    <w:lvl w:ilvl="4" w:tplc="140C0019" w:tentative="1">
      <w:start w:val="1"/>
      <w:numFmt w:val="lowerLetter"/>
      <w:lvlText w:val="%5."/>
      <w:lvlJc w:val="left"/>
      <w:pPr>
        <w:ind w:left="3690" w:hanging="360"/>
      </w:pPr>
    </w:lvl>
    <w:lvl w:ilvl="5" w:tplc="140C001B" w:tentative="1">
      <w:start w:val="1"/>
      <w:numFmt w:val="lowerRoman"/>
      <w:lvlText w:val="%6."/>
      <w:lvlJc w:val="right"/>
      <w:pPr>
        <w:ind w:left="4410" w:hanging="180"/>
      </w:pPr>
    </w:lvl>
    <w:lvl w:ilvl="6" w:tplc="140C000F" w:tentative="1">
      <w:start w:val="1"/>
      <w:numFmt w:val="decimal"/>
      <w:lvlText w:val="%7."/>
      <w:lvlJc w:val="left"/>
      <w:pPr>
        <w:ind w:left="5130" w:hanging="360"/>
      </w:pPr>
    </w:lvl>
    <w:lvl w:ilvl="7" w:tplc="140C0019" w:tentative="1">
      <w:start w:val="1"/>
      <w:numFmt w:val="lowerLetter"/>
      <w:lvlText w:val="%8."/>
      <w:lvlJc w:val="left"/>
      <w:pPr>
        <w:ind w:left="5850" w:hanging="360"/>
      </w:pPr>
    </w:lvl>
    <w:lvl w:ilvl="8" w:tplc="140C001B" w:tentative="1">
      <w:start w:val="1"/>
      <w:numFmt w:val="lowerRoman"/>
      <w:lvlText w:val="%9."/>
      <w:lvlJc w:val="right"/>
      <w:pPr>
        <w:ind w:left="6570" w:hanging="180"/>
      </w:pPr>
    </w:lvl>
  </w:abstractNum>
  <w:abstractNum w:abstractNumId="5" w15:restartNumberingAfterBreak="0">
    <w:nsid w:val="7A2075E3"/>
    <w:multiLevelType w:val="hybridMultilevel"/>
    <w:tmpl w:val="7682F9A0"/>
    <w:lvl w:ilvl="0" w:tplc="090ED92C">
      <w:start w:val="1"/>
      <w:numFmt w:val="decimal"/>
      <w:lvlText w:val="%1."/>
      <w:lvlJc w:val="left"/>
      <w:pPr>
        <w:ind w:left="810" w:hanging="360"/>
      </w:pPr>
      <w:rPr>
        <w:rFonts w:hint="default"/>
      </w:rPr>
    </w:lvl>
    <w:lvl w:ilvl="1" w:tplc="140C0019" w:tentative="1">
      <w:start w:val="1"/>
      <w:numFmt w:val="lowerLetter"/>
      <w:lvlText w:val="%2."/>
      <w:lvlJc w:val="left"/>
      <w:pPr>
        <w:ind w:left="1530" w:hanging="360"/>
      </w:pPr>
    </w:lvl>
    <w:lvl w:ilvl="2" w:tplc="140C001B" w:tentative="1">
      <w:start w:val="1"/>
      <w:numFmt w:val="lowerRoman"/>
      <w:lvlText w:val="%3."/>
      <w:lvlJc w:val="right"/>
      <w:pPr>
        <w:ind w:left="2250" w:hanging="180"/>
      </w:pPr>
    </w:lvl>
    <w:lvl w:ilvl="3" w:tplc="140C000F" w:tentative="1">
      <w:start w:val="1"/>
      <w:numFmt w:val="decimal"/>
      <w:lvlText w:val="%4."/>
      <w:lvlJc w:val="left"/>
      <w:pPr>
        <w:ind w:left="2970" w:hanging="360"/>
      </w:pPr>
    </w:lvl>
    <w:lvl w:ilvl="4" w:tplc="140C0019" w:tentative="1">
      <w:start w:val="1"/>
      <w:numFmt w:val="lowerLetter"/>
      <w:lvlText w:val="%5."/>
      <w:lvlJc w:val="left"/>
      <w:pPr>
        <w:ind w:left="3690" w:hanging="360"/>
      </w:pPr>
    </w:lvl>
    <w:lvl w:ilvl="5" w:tplc="140C001B" w:tentative="1">
      <w:start w:val="1"/>
      <w:numFmt w:val="lowerRoman"/>
      <w:lvlText w:val="%6."/>
      <w:lvlJc w:val="right"/>
      <w:pPr>
        <w:ind w:left="4410" w:hanging="180"/>
      </w:pPr>
    </w:lvl>
    <w:lvl w:ilvl="6" w:tplc="140C000F" w:tentative="1">
      <w:start w:val="1"/>
      <w:numFmt w:val="decimal"/>
      <w:lvlText w:val="%7."/>
      <w:lvlJc w:val="left"/>
      <w:pPr>
        <w:ind w:left="5130" w:hanging="360"/>
      </w:pPr>
    </w:lvl>
    <w:lvl w:ilvl="7" w:tplc="140C0019" w:tentative="1">
      <w:start w:val="1"/>
      <w:numFmt w:val="lowerLetter"/>
      <w:lvlText w:val="%8."/>
      <w:lvlJc w:val="left"/>
      <w:pPr>
        <w:ind w:left="5850" w:hanging="360"/>
      </w:pPr>
    </w:lvl>
    <w:lvl w:ilvl="8" w:tplc="140C001B" w:tentative="1">
      <w:start w:val="1"/>
      <w:numFmt w:val="lowerRoman"/>
      <w:lvlText w:val="%9."/>
      <w:lvlJc w:val="right"/>
      <w:pPr>
        <w:ind w:left="6570"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3BA"/>
    <w:rsid w:val="000F14BD"/>
    <w:rsid w:val="00334DF7"/>
    <w:rsid w:val="00417A5D"/>
    <w:rsid w:val="004871C5"/>
    <w:rsid w:val="007423A9"/>
    <w:rsid w:val="00817FB6"/>
    <w:rsid w:val="008703BA"/>
    <w:rsid w:val="009D1A97"/>
    <w:rsid w:val="00B97981"/>
    <w:rsid w:val="00C35744"/>
    <w:rsid w:val="00C46660"/>
    <w:rsid w:val="00F079B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CBF2FE"/>
  <w15:chartTrackingRefBased/>
  <w15:docId w15:val="{1718EB06-155B-415A-AA26-701CAEC64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BA"/>
    <w:pPr>
      <w:spacing w:after="0" w:line="240" w:lineRule="auto"/>
    </w:pPr>
    <w:rPr>
      <w:rFonts w:ascii="Times New Roman" w:eastAsia="Times New Roman" w:hAnsi="Times New Roman" w:cs="Times New Roman"/>
      <w:kern w:val="0"/>
      <w:sz w:val="24"/>
      <w:szCs w:val="20"/>
      <w:lang w:eastAsia="de-AT"/>
      <w14:ligatures w14:val="none"/>
    </w:rPr>
  </w:style>
  <w:style w:type="paragraph" w:styleId="Heading1">
    <w:name w:val="heading 1"/>
    <w:basedOn w:val="Normal"/>
    <w:next w:val="Normal"/>
    <w:link w:val="Heading1Char"/>
    <w:uiPriority w:val="9"/>
    <w:qFormat/>
    <w:rsid w:val="008703BA"/>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703BA"/>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703BA"/>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703BA"/>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8703BA"/>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8703B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8703B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8703B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8703B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3B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703B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703B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703B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703B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70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3BA"/>
    <w:rPr>
      <w:rFonts w:eastAsiaTheme="majorEastAsia" w:cstheme="majorBidi"/>
      <w:color w:val="272727" w:themeColor="text1" w:themeTint="D8"/>
    </w:rPr>
  </w:style>
  <w:style w:type="paragraph" w:styleId="Title">
    <w:name w:val="Title"/>
    <w:basedOn w:val="Normal"/>
    <w:next w:val="Normal"/>
    <w:link w:val="TitleChar"/>
    <w:uiPriority w:val="10"/>
    <w:qFormat/>
    <w:rsid w:val="008703B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70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3B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70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3B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8703BA"/>
    <w:rPr>
      <w:i/>
      <w:iCs/>
      <w:color w:val="404040" w:themeColor="text1" w:themeTint="BF"/>
    </w:rPr>
  </w:style>
  <w:style w:type="paragraph" w:styleId="ListParagraph">
    <w:name w:val="List Paragraph"/>
    <w:basedOn w:val="Normal"/>
    <w:uiPriority w:val="34"/>
    <w:qFormat/>
    <w:rsid w:val="008703B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8703BA"/>
    <w:rPr>
      <w:i/>
      <w:iCs/>
      <w:color w:val="2E74B5" w:themeColor="accent1" w:themeShade="BF"/>
    </w:rPr>
  </w:style>
  <w:style w:type="paragraph" w:styleId="IntenseQuote">
    <w:name w:val="Intense Quote"/>
    <w:basedOn w:val="Normal"/>
    <w:next w:val="Normal"/>
    <w:link w:val="IntenseQuoteChar"/>
    <w:uiPriority w:val="30"/>
    <w:qFormat/>
    <w:rsid w:val="008703B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8703BA"/>
    <w:rPr>
      <w:i/>
      <w:iCs/>
      <w:color w:val="2E74B5" w:themeColor="accent1" w:themeShade="BF"/>
    </w:rPr>
  </w:style>
  <w:style w:type="character" w:styleId="IntenseReference">
    <w:name w:val="Intense Reference"/>
    <w:basedOn w:val="DefaultParagraphFont"/>
    <w:uiPriority w:val="32"/>
    <w:qFormat/>
    <w:rsid w:val="008703BA"/>
    <w:rPr>
      <w:b/>
      <w:bCs/>
      <w:smallCaps/>
      <w:color w:val="2E74B5" w:themeColor="accent1" w:themeShade="BF"/>
      <w:spacing w:val="5"/>
    </w:rPr>
  </w:style>
  <w:style w:type="paragraph" w:styleId="Header">
    <w:name w:val="header"/>
    <w:basedOn w:val="Normal"/>
    <w:link w:val="HeaderChar"/>
    <w:rsid w:val="008703BA"/>
    <w:pPr>
      <w:tabs>
        <w:tab w:val="center" w:pos="4536"/>
        <w:tab w:val="right" w:pos="9072"/>
      </w:tabs>
    </w:pPr>
  </w:style>
  <w:style w:type="character" w:customStyle="1" w:styleId="HeaderChar">
    <w:name w:val="Header Char"/>
    <w:basedOn w:val="DefaultParagraphFont"/>
    <w:link w:val="Header"/>
    <w:rsid w:val="008703BA"/>
    <w:rPr>
      <w:rFonts w:ascii="Times New Roman" w:eastAsia="Times New Roman" w:hAnsi="Times New Roman" w:cs="Times New Roman"/>
      <w:kern w:val="0"/>
      <w:sz w:val="24"/>
      <w:szCs w:val="20"/>
      <w:lang w:eastAsia="de-AT"/>
      <w14:ligatures w14:val="none"/>
    </w:rPr>
  </w:style>
  <w:style w:type="paragraph" w:styleId="Footer">
    <w:name w:val="footer"/>
    <w:basedOn w:val="Normal"/>
    <w:link w:val="FooterChar"/>
    <w:rsid w:val="008703BA"/>
    <w:pPr>
      <w:tabs>
        <w:tab w:val="center" w:pos="4536"/>
        <w:tab w:val="right" w:pos="9072"/>
      </w:tabs>
    </w:pPr>
  </w:style>
  <w:style w:type="character" w:customStyle="1" w:styleId="FooterChar">
    <w:name w:val="Footer Char"/>
    <w:basedOn w:val="DefaultParagraphFont"/>
    <w:link w:val="Footer"/>
    <w:rsid w:val="008703BA"/>
    <w:rPr>
      <w:rFonts w:ascii="Times New Roman" w:eastAsia="Times New Roman" w:hAnsi="Times New Roman" w:cs="Times New Roman"/>
      <w:kern w:val="0"/>
      <w:sz w:val="24"/>
      <w:szCs w:val="20"/>
      <w:lang w:eastAsia="de-AT"/>
      <w14:ligatures w14:val="none"/>
    </w:rPr>
  </w:style>
  <w:style w:type="character" w:styleId="PageNumber">
    <w:name w:val="page number"/>
    <w:basedOn w:val="DefaultParagraphFont"/>
    <w:rsid w:val="00870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1758</Words>
  <Characters>9674</Characters>
  <Application>Microsoft Office Word</Application>
  <DocSecurity>0</DocSecurity>
  <Lines>80</Lines>
  <Paragraphs>22</Paragraphs>
  <ScaleCrop>false</ScaleCrop>
  <Company>Land Oberösterreich</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Steinwendner, Martin</dc:creator>
  <cp:keywords/>
  <dc:description/>
  <cp:lastModifiedBy>Virginie ZIGNALE</cp:lastModifiedBy>
  <cp:revision>6</cp:revision>
  <dcterms:created xsi:type="dcterms:W3CDTF">2026-03-11T15:27:00Z</dcterms:created>
  <dcterms:modified xsi:type="dcterms:W3CDTF">2026-03-17T14:54:00Z</dcterms:modified>
</cp:coreProperties>
</file>