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0087 F-- PT-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REPÚBLICA FRANCESA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  <w:bookmarkStart w:id="0" w:name="_GoBack"/>
            <w:bookmarkEnd w:id="0"/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</w:rPr>
              <w:t>Ministério da Solidariedade e da Saúde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Portaria de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que altera a Portaria, de 8 de outubro de 2003, relativa à prestação de informação aos consumidores sobre os equipamentos terminais de rádio, adotada em aplicação do artigo R. 20-10 do Código dos Correios e das Telecomunicações, a Portaria, de 8 de outubro de 2003, que define as especificações técnicas aplicáveis aos equipamentos terminais de rádio e a Portaria, de 12 de outubro de 2010, relativa à afixação da taxa de absorção específica dos equipamentos terminais de rádio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A ministra da Solidariedade e da Saúde e o ministro da Economia e das Finanças,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a Diretiva 2014/53/UE do Parlamento Europeu e do Conselho, de 16 de abril de 2014, relativa à harmonização da legislação dos Estados-Membros respeitante à disponibilização de equipamentos de rádio no mercado e que revoga a Diretiva 1999/5/CE,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a Diretiva (UE) 2015/1535 do Parlamento Europeu e do Conselho, de 9 de setembro de 2015, relativa a um procedimento de informação no domínio das regulamentações técnicas e das regras relativas aos serviços da sociedade da informação,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Tendo em conta o Código dos Correios e das Comunicações Eletrónicas, nomeadamente os artigos R.9, R.20-11 e R. 20-19,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Tendo em conta o Decreto 2010-1207, de 12 de outubro de 2010, relativo à afixação da taxa de absorção específica dos equipamentos terminais de rádio, com a redação que lhe foi dada,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Tendo em conta a Portaria, de 8 de outubro de 2003, relativa à prestação de informação aos consumidores sobre os equipamentos terminais de rádio, adotada em aplicação do artigo R. 20-10 do Código dos Correios e das Telecomunicações,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Tendo em conta a Portaria, de 8 de outubro de 2003, que define as especificações técnicas aplicáveis aos equipamentos terminais de rádio,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Tendo em conta a Portaria, de 12 de outubro de 2010, relativa à afixação da taxa de absorção específica dos equipamentos terminais de rádio,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Tendo em conta a notificação n.º […] dirigida à Comissão Europeia em aplicação da Diretiva (UE) 2015/1535,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Tendo em conta o parecer da Autoridade Reguladora das Comunicações Eletrónicas e dos Correios com data de […],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lastRenderedPageBreak/>
        <w:t>Decretam: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57297F">
      <w:pPr>
        <w:pStyle w:val="SNArticle"/>
        <w:spacing w:before="0" w:after="0"/>
      </w:pPr>
      <w:r>
        <w:t>Artigo 1.º</w:t>
      </w:r>
    </w:p>
    <w:p w:rsidR="005312E6" w:rsidRPr="00D30172" w:rsidRDefault="005312E6" w:rsidP="0057297F">
      <w:pPr>
        <w:pStyle w:val="SNArticle"/>
        <w:spacing w:before="0" w:after="0"/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A supracitada Portaria, de 8 de outubro de 2003, relativa à prestação de informação aos consumidores sobre os equipamentos terminais de rádio, adotada em aplicação do artigo R. 20-10 do Código dos Correios e das Telecomunicações, é alterada como se segue: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1) No título, o termo «terminais» é suprimido;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2) O artigo 1.º passa a ter a seguinte redação: «O(s) valor(es) da taxa de absorção específica dos equipamentos de rádio com uma potência superior a 20 mW e suscetíveis de serem utilizados, de forma razoavelmente previsível, perto da cabeça ou a uma distância inferior ou igual a 20 cm do corpo humano figura(m) de forma legível, inteligível e visível no manual de instruções dos equipamentos de rádio colocados em serviço que se destinam a ser utilizados na França.»;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3) O artigo 2.º é alterado do seguinte modo: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A seguir aos termos «de instruções dos equipamentos», o termo «terminais» é suprimido;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4) No anexo, os termos «telefone» e «telemóvel» são substituídos pelos termos «equipamento de rádio» e o último parágrafo é substituído por um parágrafo com a redação que se segue: «Recomendação de utilização do kit de mãos-livres caso se adapte ao equipamento. Recomendação de utilização razoável do equipamento de rádio pelas crianças.»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Artigo 2.º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 supracitada Portaria, de 8 de outubro de 2003, que define as especificações técnicas aplicáveis aos equipamentos terminais de rádio é alterada como se segue: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1) No título da portaria e no título do respetivo anexo, o termo «terminais» é suprimido;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2) O artigo 1.º passa a ter a seguinte redação: «Os equipamentos de rádio com uma potência superior a 20 mW e suscetíveis de serem utilizados, de forma razoavelmente previsível, perto da cabeça ou a uma distância inferior ou igual a 20 cm do corpo humano só podem ser colocados em serviço se respeitarem as especificações técnicas anexadas à presente portaria.»;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3) No anexo, a seguir à terceira coluna do quadro, é aditada uma coluna com a seguinte redação: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SAR local membros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Artigo 3.º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A supracitada Portaria de 12 de outubro de 2010 passa a ter a seguinte redação: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1) No respetivo título, o termo «terminais» é suprimido;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FD61FA">
      <w:pPr>
        <w:pStyle w:val="BodyText"/>
        <w:rPr>
          <w:bCs/>
        </w:rPr>
      </w:pPr>
      <w:r>
        <w:t>2) O artigo 1.º passa a ter a seguinte redação:</w:t>
      </w:r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lastRenderedPageBreak/>
        <w:t>O primeiro parágrafo é substituído por um parágrafo com a seguinte redação: «O(s) valor(es) da taxa de absorção específica dos equipamentos de rádio com uma potência superior a 20 mW e suscetíveis de serem utilizados, de forma razoavelmente previsível, perto da cabeça ou a uma distância inferior ou igual a 20 cm do corpo figura(m) na proximidade imediata do equipamento ao qual se refere(m):»;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>No último parágrafo, a seguir aos termos «a menção “SAR”» são aditados os termos «seguida, consoante o caso, do termo “cabeça”, do termo “tronco” ou do termo “membros”»;</w:t>
      </w:r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3) O segundo parágrafo do artigo 2.º é substituído por um parágrafo com a seguinte redação: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«A taxa de absorção específica (SAR) local quantifica a exposição do utilizador às ondas eletromagnéticas de potência máxima do equipamento em causa. A SAR máxima autorizada é de 2 W/kg para a cabeça e o tronco e de 4 W/kg para os membros.»;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4) O artigo 3.º é revogado.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 4.º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A presente portaria entra em vigor no dia 1 de julho de 2018.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Feito em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A ministra da Solidariedade e da Saúde,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O ministro da Economia e das Finanças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9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38" w:rsidRDefault="009B0A38" w:rsidP="002F1B77">
      <w:r>
        <w:separator/>
      </w:r>
    </w:p>
  </w:endnote>
  <w:endnote w:type="continuationSeparator" w:id="0">
    <w:p w:rsidR="009B0A38" w:rsidRDefault="009B0A38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38" w:rsidRDefault="009B0A38" w:rsidP="002F1B77">
      <w:r>
        <w:separator/>
      </w:r>
    </w:p>
  </w:footnote>
  <w:footnote w:type="continuationSeparator" w:id="0">
    <w:p w:rsidR="009B0A38" w:rsidRDefault="009B0A38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9829"/>
      <w:docPartObj>
        <w:docPartGallery w:val="Watermarks"/>
        <w:docPartUnique/>
      </w:docPartObj>
    </w:sdtPr>
    <w:sdtEndPr/>
    <w:sdtContent>
      <w:p w:rsidR="002F1B77" w:rsidRDefault="001A6C3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T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A6C3C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pt-PT" w:bidi="pt-PT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pt-PT" w:eastAsia="pt-PT" w:bidi="pt-PT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pt-PT" w:eastAsia="pt-PT" w:bidi="pt-PT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pt-PT" w:eastAsia="pt-PT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pt-PT" w:eastAsia="pt-PT" w:bidi="pt-PT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pt-PT" w:eastAsia="pt-PT" w:bidi="pt-PT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PT" w:eastAsia="pt-PT" w:bidi="pt-PT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pt-PT" w:bidi="pt-PT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pt-PT" w:eastAsia="pt-PT" w:bidi="pt-PT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pt-PT" w:eastAsia="pt-PT" w:bidi="pt-PT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pt-PT" w:eastAsia="pt-PT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pt-PT" w:eastAsia="pt-PT" w:bidi="pt-PT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pt-PT" w:eastAsia="pt-PT" w:bidi="pt-PT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AA20A-4F67-4863-B1EE-BFD46C2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924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SANTOS, Susana</cp:lastModifiedBy>
  <cp:revision>4</cp:revision>
  <cp:lastPrinted>2018-02-06T09:05:00Z</cp:lastPrinted>
  <dcterms:created xsi:type="dcterms:W3CDTF">2018-02-05T16:40:00Z</dcterms:created>
  <dcterms:modified xsi:type="dcterms:W3CDTF">2018-03-06T12:09:00Z</dcterms:modified>
</cp:coreProperties>
</file>