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RO-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REPUBLICA FRANCEZĂ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</w:rPr>
              <w:t>Ministerul Solidarității și Sănătății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Decretul din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de modificare a Decretului din 8 octombrie 2003 privind informarea consumatorilor cu privire la echipamentele terminale radio în temeiul articolului R. 20-10 din Codul poștelor și telecomunicațiilor, a Decretului din 8 octombrie 2003 de stabilire a specificațiilor tehnice aplicabile echipamentelor terminale radio și a Decretului din 12 octombrie 2010 privind afișarea ratei specifice de absorbție a echipamentelor terminale radio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Ministrul solidarității și sănătății, ministrul economiei și finanțelor,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Directiva (UE) 2014/53 a Parlamentului European şi a Consiliului din 16 aprilie 2014 privind armonizarea legislațiilor statelor membre referitoare la punerea la dispoziție pe piață a echipamentele radio și de abrogare a Directivei 1999/5/CE,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Directiva (UE) 2015/1535 a Parlamentului European și a Consiliului din 9 septembrie 2015 referitoare la procedura de furnizare de informaţii în domeniul reglementărilor tehnice şi al normelor privind serviciile societăţii informaţionale,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având în vedere Codul poștelor și comunicațiilor electronice, în special articolele R.9, R.20-11 și R. 20-19,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având în vedere Decretul nr. 2010-1207 din 12 octombrie 2010 privind afișarea ratei specifice de absorbție a echipamentelor terminale radio, astfel cum a fost modificat,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având în vedere Decretul din 8 octombrie 2003 privind informarea consumatorilor cu privire la echipamentele terminale radio în temeiul articolului R. 20-10 din Codul poștelor și telecomunicațiilor,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având în vedere Decretul din 8 octombrie 2003 de stabilire a specificațiilor tehnice aplicabile echipamentelor terminale radio,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având în vedere Decretul din 12 octombrie 2010 privind afișarea ratei specifice de absorbție a echipamentelor terminale radio,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având în vedere notificarea nr. […] adresată Comisiei Europene în conformitate cu Directiva (UE) 2015/1535,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având în vedere avizul Autorităţii de reglementare în domeniul comunicaţiilor electronice şi poştelor din data de 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Hotărăsc: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Articolul 1</w:t>
      </w:r>
    </w:p>
    <w:p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Decretul din 8 octombrie 2003 privind informarea consumatorilor cu privire la echipamentele terminale radio în temeiul articolului R. 20-10 din Codul poștelor și telecomunicațiilor se modifică după cum urmează: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1. În titlu, termenul „terminale” se elimină;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2. Articolul 1 se formulează după cum urmează: „Valoarea sau valorile ratei specifice de absorbție a echipamentelor radio a căror putere depășește 20 mW și care pot fi utilizate în mod previzibil în apropierea capului sau la o distanță care nu depășește 20 cm față de corpul uman sunt specificate în mod lizibil, inteligibil și vizibil în instrucțiunile de utilizare a echipamentelor radio date în funcțiune, destinate utilizării în Franța. ”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3. Articolul 2 se modifică după cum urmează: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După termenii „de utilizare a echipamentelor” se elimină termenul „terminale”.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4. În anexă, termenii „telefon” și „telefon mobil” sunt înlocuiți cu termenii „echipament radio”, iar ultimul paragraf se înlocuiește cu următorul paragraf: „Recomandarea pentru utilizarea kitului „hands free” dacă este adaptat echipamentului. Recomandare privind utilizarea rațională a echipamentelor radio de către copii. ”.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Articolul 2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Decretul din 8 octombrie 2003 de stabilire a specificațiilor tehnice aplicabile echipamentelor terminale radio se modifică după cum urmează: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1. În titlul decretului și în titlul anexei la acesta, termenul „terminale” se elimină;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2. Articolul 1 se formulează după cum urmează: „Echipamentele radio a căror putere depășește 20 mW și care pot fi utilizate în mod previzibil în apropierea capului sau la o distanță care nu depășește 20 cm de corpul uman pot fi puse în funcțiune numai dacă respectă aceste specificații tehnice anexate la prezentul decret. ”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3. În anexă, după a treia coloană din tabel se introduce o coloană formulată după cum urmează: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SAR locală membre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Articolul 3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Decretul din 12 octombrie 2010 menţionat anterior se modifică după cum urmează: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1. În titlu, termenul „terminale” se elimină;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FD61FA">
      <w:pPr>
        <w:pStyle w:val="BodyText"/>
        <w:rPr>
          <w:bCs/>
        </w:rPr>
      </w:pPr>
      <w:r>
        <w:t>2. Articolul 1 se modifică după cum urmează: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bookmarkStart w:id="0" w:name="_GoBack"/>
      <w:bookmarkEnd w:id="0"/>
      <w:r>
        <w:lastRenderedPageBreak/>
        <w:t>Primul paragraf se înlocuiește cu un paragraf formulat după cum urmează: „Valoarea sau valorile ratei specifice de absorbție a echipamentelor radio a căror putere depășește 20 mW și care pot fi utilizate în mod previzibil în apropierea capului sau la o distanță care nu depășește 20 cm față de corpul uman sunt specificate în imediata apropiere a echipamentului la care se referă: ”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La al doilea paragraf, după termenii: „mențiunea «SAR»” se introduc termenii „urmată, după caz, de termenul «cap», «trunchi» sau «membre»”;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3. La articolul 2, al doilea paragraf se înlocuiește cu un paragraf formulat după cum urmează: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„Rata specifică de absorbție (SAR) locală cuantifică expunerea utilizatorului la undele electromagnetice la puterea maximă a echipamentului vizat. SAR maximă autorizată este de 2 W/kg pentru cap și trunchi și de 4 W/kg pentru membre. ”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4. Articolul 3 se abrogă.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4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Prezentul decret intră în vigoare la 1 iulie 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Adoptat la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Ministrul solidarității și sănătății,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Ministrul economiei și finanțelor,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38" w:rsidRDefault="009B0A38" w:rsidP="002F1B77">
      <w:r>
        <w:separator/>
      </w:r>
    </w:p>
  </w:endnote>
  <w:endnote w:type="continuationSeparator" w:id="0">
    <w:p w:rsidR="009B0A38" w:rsidRDefault="009B0A38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38" w:rsidRDefault="009B0A38" w:rsidP="002F1B77">
      <w:r>
        <w:separator/>
      </w:r>
    </w:p>
  </w:footnote>
  <w:footnote w:type="continuationSeparator" w:id="0">
    <w:p w:rsidR="009B0A38" w:rsidRDefault="009B0A38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29"/>
      <w:docPartObj>
        <w:docPartGallery w:val="Watermarks"/>
        <w:docPartUnique/>
      </w:docPartObj>
    </w:sdtPr>
    <w:sdtEndPr/>
    <w:sdtContent>
      <w:p w:rsidR="002F1B77" w:rsidRDefault="005C030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3746B"/>
    <w:multiLevelType w:val="hybridMultilevel"/>
    <w:tmpl w:val="8AC2C8A4"/>
    <w:lvl w:ilvl="0" w:tplc="29B448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C0303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ro-RO" w:bidi="ro-RO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ro-RO" w:eastAsia="ro-RO" w:bidi="ro-RO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ro-RO" w:eastAsia="ro-RO" w:bidi="ro-RO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ro-RO" w:eastAsia="ro-RO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ro-RO" w:eastAsia="ro-RO" w:bidi="ro-RO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ro-RO" w:eastAsia="ro-RO" w:bidi="ro-RO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ro-RO" w:bidi="ro-RO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ro-RO" w:eastAsia="ro-RO" w:bidi="ro-RO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ro-RO" w:eastAsia="ro-RO" w:bidi="ro-RO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ro-RO" w:eastAsia="ro-RO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ro-RO" w:eastAsia="ro-RO" w:bidi="ro-RO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ro-RO" w:eastAsia="ro-RO" w:bidi="ro-RO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64A2A-1E8E-4589-9539-765A87BF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Mataoanu, Alina</cp:lastModifiedBy>
  <cp:revision>4</cp:revision>
  <cp:lastPrinted>2018-02-06T09:05:00Z</cp:lastPrinted>
  <dcterms:created xsi:type="dcterms:W3CDTF">2018-02-05T16:40:00Z</dcterms:created>
  <dcterms:modified xsi:type="dcterms:W3CDTF">2018-03-07T07:21:00Z</dcterms:modified>
</cp:coreProperties>
</file>