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------IND- 2018 0326 FIN ES- ------ 20180726 --- --- PROJET</w:t>
      </w:r>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 xml:space="preserve">Proyecto de Ley presentado al Parlamento por la que se modifican los artículos 16 y 64 </w:t>
      </w:r>
      <w:r>
        <w:rPr>
          <w:rFonts w:ascii="Times New Roman" w:hAnsi="Times New Roman"/>
          <w:i/>
          <w:color w:val="auto"/>
          <w:sz w:val="24"/>
        </w:rPr>
        <w:t>bis</w:t>
      </w:r>
      <w:r>
        <w:rPr>
          <w:rFonts w:ascii="Times New Roman" w:hAnsi="Times New Roman"/>
          <w:color w:val="auto"/>
          <w:sz w:val="24"/>
        </w:rPr>
        <w:t xml:space="preserve"> de la Ley relativa a los vehículos y otras leyes relacionadas</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CONTENIDO PRINCIPAL DEL PROYECTO DE LEY</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El proyecto de Ley propone modificaciones de la Ley relativa a los vehículos, la Ley sobre el permiso de conducción, la Ley sobre el tráfico campo a través y la Ley sobre circulación vial.</w:t>
      </w:r>
    </w:p>
    <w:p w14:paraId="0B08DF53" w14:textId="77777777" w:rsidR="00AB0118" w:rsidRPr="000644E7" w:rsidRDefault="00AB0118" w:rsidP="00353EDC">
      <w:pPr>
        <w:jc w:val="both"/>
      </w:pPr>
    </w:p>
    <w:p w14:paraId="78BA6272" w14:textId="06C0C258" w:rsidR="00993658" w:rsidRPr="000644E7" w:rsidRDefault="00B76810" w:rsidP="00353EDC">
      <w:pPr>
        <w:jc w:val="both"/>
      </w:pPr>
      <w:r>
        <w:t>El objetivo del proyecto de Ley consiste en permitir el uso de motos de nieve más grandes en vías para motos de nieve adecuadas que hayan sido indicadas específicamente para tal fin.</w:t>
      </w:r>
    </w:p>
    <w:p w14:paraId="7760858F" w14:textId="77777777" w:rsidR="00993658" w:rsidRPr="000644E7" w:rsidRDefault="00993658" w:rsidP="00353EDC">
      <w:pPr>
        <w:jc w:val="both"/>
      </w:pPr>
    </w:p>
    <w:p w14:paraId="33E623B0" w14:textId="2BEC64F0" w:rsidR="008A7B97" w:rsidRPr="000644E7" w:rsidRDefault="008A7B97" w:rsidP="00353EDC">
      <w:pPr>
        <w:jc w:val="both"/>
      </w:pPr>
      <w:r>
        <w:t>La definición de «moto de nieve» quedará modificada en la Ley relativa a los vehículos, mediante la adición de la definición de moto de nieve pesada. Ciertos vehículos todoterreno considerados actualmente como trineos motorizados pasarán a considerarse motos de nieve. De acuerdo con la Ley sobre el tráfico campo a través, las motos de nieve pesadas podrán circular en vías para motos de nieve adecuadas. Asimismo, el proyecto de Ley aclarará la definición de «vehículos de motor» en la Ley sobre el tráfico campo a través con el fin de que sea equivalente a la definición de la Ley relativa a los vehículos. De acuerdo con el proyecto de Ley, las motos de nieve pesadas requerirán un permiso de conducción de categoría T. Las disposiciones relativas al uso de vehículos todoterreno se modificarán en la Ley sobre circulación vial teniendo en cuenta el uso de las motos de nieve pesadas.</w:t>
      </w:r>
    </w:p>
    <w:p w14:paraId="1EF3E5D7" w14:textId="77777777" w:rsidR="00DD31E3" w:rsidRPr="000644E7" w:rsidRDefault="00DD31E3" w:rsidP="00353EDC">
      <w:pPr>
        <w:jc w:val="both"/>
      </w:pPr>
    </w:p>
    <w:p w14:paraId="0DC526DA" w14:textId="26E92328" w:rsidR="00DD31E3" w:rsidRPr="000644E7" w:rsidRDefault="008242A1" w:rsidP="00353EDC">
      <w:pPr>
        <w:jc w:val="both"/>
      </w:pPr>
      <w:r>
        <w:t>Se propone que estas Leyes entren en vigor el [día] de [mes] de 20 .</w:t>
      </w:r>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EXPOSICIÓN DE MOTIVOS GENERAL</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Situación actual</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Legislación y práctica</w:t>
      </w:r>
    </w:p>
    <w:p w14:paraId="04891C78" w14:textId="77777777" w:rsidR="00BD70DB" w:rsidRPr="000644E7" w:rsidRDefault="00BD70DB" w:rsidP="00353EDC">
      <w:pPr>
        <w:jc w:val="both"/>
      </w:pPr>
    </w:p>
    <w:p w14:paraId="613F703B" w14:textId="58F67272" w:rsidR="00331365" w:rsidRPr="000644E7" w:rsidRDefault="001D05D7" w:rsidP="00331365">
      <w:pPr>
        <w:ind w:left="360"/>
        <w:jc w:val="both"/>
      </w:pPr>
      <w:r>
        <w:t xml:space="preserve">El capítulo 2 de la Ley (1090/2002) relativa a los vehículos presenta una clasificación básica de los vehículos. De acuerdo con el artículo 16, apartado 1, de la Ley relativa a los vehículos, por </w:t>
      </w:r>
      <w:r>
        <w:rPr>
          <w:i/>
        </w:rPr>
        <w:t>vehículos todoterreno</w:t>
      </w:r>
      <w:r>
        <w:t xml:space="preserve"> se entenderán trineos motorizados, aerodeslizadores u otros vehículos de motor destinados al transporte de personas o bienes o para la tracción de otros vehículos en hielo, nieve, en un terreno resbaladizo o directamente sobre el suelo. Sin embargo, en los vehículos todoterreno no se incluyen los vehículos destinados a circular en carreteras distintas de las vías para motos de nieve, ni los vehículos con una homologación de tipo CE o UE de acuerdo con las categorías de vehículos mencionadas en los artículos 10, 11 o 14. De conformidad con el artículo 16, apartado 2, de la Ley, un</w:t>
      </w:r>
      <w:r>
        <w:rPr>
          <w:i/>
        </w:rPr>
        <w:t xml:space="preserve"> trineo motorizado</w:t>
      </w:r>
      <w:r>
        <w:t xml:space="preserve"> es un vehículo todotorreno equipado con patines o rieles. Sin embargo, el apartado define una </w:t>
      </w:r>
      <w:r>
        <w:rPr>
          <w:i/>
        </w:rPr>
        <w:t>moto de nieve</w:t>
      </w:r>
      <w:r>
        <w:t xml:space="preserve"> como un trineo motorizado equipado con rieles, que tiene asientos para no más de dos personas además del conductor, y cuya masa sin carga no excede de 0,5 toneladas. No se ha estipulado una anchura máxima para las motos de nieve. Por el contrario, de acuerdo con la disposición general del artículo 25, apartado 2, del Decreto (1257/1992) sobre el uso de vehículos en la carretera, la anchura máxima de los vehículos es de 2,60 metros. La estructura del vehículo, los dispositivos de control y los equipos se indican en el artículo 25 de la Ley relativa a los vehículos, y según el artículo 27 </w:t>
      </w:r>
      <w:r>
        <w:rPr>
          <w:i/>
        </w:rPr>
        <w:t>bis</w:t>
      </w:r>
      <w:r>
        <w:t>, apartado 2, la Agencia de Seguridad del Transporte de Finlandia también presentará reglamentaciones técnicas más detalladas sobre características tales como los requisitos relativos a la estructura y las propiedades del vehículo.</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En la legislación de la Unión Europea, el Reglamento (UE) n.º 2016/1628 del Parlamento Europeo y del Consejo sobre los requisitos relativos a los límites de emisiones de gases y partículas contaminantes y a la homologación de tipo para los motores de combustión interna que se instalen en las máquinas móviles no de carretera, por el que se modifican los Reglamentos (UE) n.º 1024/2012 y (UE) n.º 167/2013, y por el que se modifica y deroga la Directiva 97/68/CE confirma los límites de emisiones de gases y partículas contaminantes y los requisitos técnicos y administrativos relacionados con la homologación de tipo de la UE para todos los motores mencionados en el artículo 2, apartado 1, de la Directiva. El Decreto también incluye ciertas obligaciones relacionadas con las máquinas móviles que estarán equipadas o que se han equipado con un motor mencionado en el artículo 2, apartado 1, de la Directiva, en términos de los límites de emisiones de gases y partículas contaminantes de dichos motores.</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 xml:space="preserve">De acuerdo con el artículo 8 de la Ley relativa a los vehículos, un vehículo de motor y un remolque acoplado al vehículo de motor o a su remolque se matricularán por primera vez y se inspeccionarán de una forma adecuada, a menos que se disponga lo contrario en la Ley relativa a los vehículos o en virtud de esta. Si un vehículo de motor y un remolque acoplado al vehículo de motor o a su remolque no se matriculan e inspeccionan de una forma adecuada, no se usarán en el tráfico (prohibición del uso). El artículo 64 </w:t>
      </w:r>
      <w:r>
        <w:rPr>
          <w:i/>
        </w:rPr>
        <w:t>bis</w:t>
      </w:r>
      <w:r>
        <w:t xml:space="preserve"> de la Ley relativa a los vehículos establece exenciones a la obligación de matriculación. De acuerdo con el artículo 64 </w:t>
      </w:r>
      <w:r>
        <w:rPr>
          <w:i/>
        </w:rPr>
        <w:t>bis</w:t>
      </w:r>
      <w:r>
        <w:t>, apartado 1, la obligación de matriculación mencionada en el artículo 8 de la Ley relativa a los vehículos y la obligación de información indicada en el artículo 64 no se aplicarán a los vehículos todoterreno distintos a las motos de nieve.</w:t>
      </w:r>
    </w:p>
    <w:p w14:paraId="4809E34C" w14:textId="52783ED2" w:rsidR="004A3CB8" w:rsidRPr="000644E7" w:rsidRDefault="004A3CB8" w:rsidP="0096618C">
      <w:pPr>
        <w:ind w:left="360"/>
        <w:jc w:val="both"/>
      </w:pPr>
    </w:p>
    <w:p w14:paraId="6A0EF007" w14:textId="7AF186DE" w:rsidR="004A3CB8" w:rsidRPr="000644E7" w:rsidRDefault="004A3CB8" w:rsidP="004A3CB8">
      <w:pPr>
        <w:ind w:left="360"/>
        <w:jc w:val="both"/>
      </w:pPr>
      <w:r>
        <w:lastRenderedPageBreak/>
        <w:t>La Ley (460/2016) sobre el seguro de responsabilidad civil de automóviles establece la compensación por los daños personales y los daños a la propiedad debido al uso de vehículos de motor en el tráfico, así como el seguro de transportes por esos daños. De acuerdo con el artículo 5, apartado 1, de la Ley, los vehículos matriculados permanentemente en Finlandia deberán estar asegurados a menos que se disponga lo contrario en la Ley sobre el seguro de responsabilidad civil de automóviles. El artículo 8 de la Ley sobre el seguro de responsabilidad civil de automóviles establece exenciones a la obligación del seguro. Con arreglo a los puntos 3 y 6 del mismo apartado, no será necesario un seguro de transportes de remolques que no requieran matriculación, o de vehículos que no requieran matriculación, en caso de que los vehículos no se usen para el tráfico.</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t>La Ley (267/1981) sobre circulación vial se aplicará al tráfico rodado. Según el artículo 2, apartado 1, de la Ley sobre circulación vial, la legislación en materia de tráfico rodado se refiere a las carreteras como un término general para las carreteras públicas y privadas, las calles, las carreteras de los planes de desarrollo, las vías para motos de nieve, los mercados y otras zonas destinadas o utilizadas para el tráfico general. De acuerdo con el artículo 91 de la Ley sobre circulación vial, los vehículos todoterreno no podrán usarse en las carreteras. El uso de motos de nieve en vías para motos de nieve se prevé por separado. Un decreto del Gobierno podrá regular el uso menor de trineos motorizados y otros vehículos todoterreno equipados con ruedas en zonas distintas a las vías para motos de nieve.</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De conformidad con el artículo 36, apartado 3, del Decreto relativo al uso de vehículos en carretera, un remolque podrá acoplarse a vehículos todoterreno cuando la masa de acoplamiento del remolque no sea superior a 1,5 veces la masa sin carga del vehículo todoterreno remolcador. De acuerdo con el artículo 44, apartado 3, del Decreto relativo al uso de vehículos en carretera, el remolque de las motos de nieve podrá usarse para transportar personas en una vía para motos de nieve. No obstante, el remolque no podrá usarse para transportar personas cuando la moto de nieve se conduzca en carreteras distintas a las vías para motos de nieve o cuando se atraviesen dichas carreteras. En el artículo 3 del Decreto, la velocidad máxima permitida de la maquinaria motorizada y de los vehículos todoterreno se determina en 40 kilómetros por hora, o 60 kilómetros por hora cuando no se use el remolque para el transporte de personas.</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El artículo 18 del Decreto (182/1982) sobre circulación vial hace referencia a las señales indicativas. Las vías para motos de nieve se indicarán usando la señal 426 que figura en este artículo. El transporte de vehículos distintos a las motos de nieve en vías para motos de nieve está prohibido. A la hora de conducir motos de nieve, se respetarán las disposiciones de la Ley sobre circulación vial relativas a la conducción en calzadas. Los esquiadores y los peatones deberán usar principalmente el lado derecho de la vía.</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r>
        <w:t>Señal 426. Vía para motos de nieve:</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El 26 de junio de 2018, la propuesta del proyecto de Ley presentado al Parlamento por la que se modifica la Ley sobre circulación vial y otras leyes relacionadas (HE 180/2017 vp, LiVM 16/2018 vp) fue aprobada por el Parlamento como la nueva Ley sobre circulación vial. Está </w:t>
      </w:r>
      <w:r>
        <w:lastRenderedPageBreak/>
        <w:t>previsto que la nueva Ley sobre circulación vial entre en vigor el 1 de junio de 2020. Con la entrada en vigor de la nueva Ley sobre circulación vial, quedará derogado el Decreto relativo al uso de vehículos en carretera, y los asuntos relacionados con el uso de motos de nieve regulados en el actual Decreto relativo al uso de vehículos en carretera en vigor pasarán a regularse en la nueva Ley sobre circulación vial en lugar de en el Decreto del Gobierno. Con arreglo al artículo 149, apartado 3, de la nueva Ley sobre circulación vial, los remolques de las motos de nieve podrán usarse para transportar personas en vías para motos de nieve, y en el artículo 154, apartado 3, se establece la masa de acoplamiento máxima permitida para vehículos remolcables acoplados a vehículos todoterreno. El artículo 99 de la nueva Ley sobre circulación vial establece la velocidad máxima permitida de los vehículos. La velocidad máxima permitida para las motos de nieve también será de 60 kilómetros por hora en el futuro. Si se usa el remolque de las motos de nieve para transportar personas, la velocidad máxima permitida será de 40 kilómetros por hora.</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t>El capítulo 3 de la Ley (1710/1995) sobre el tráfico campo a través regula las vías para las motos de nieve. De acuerdo con el artículo 13, apartado 1, de la Ley, podrá establecerse un derecho general a conducir motos de nieve fuera de la carretera, según lo dispuesto en la Ley, mediante la indicación de una vía separada (vía para motos de nieve) cuando hay una capa de nieve. Con arreglo al artículo 13, apartado 2, una vía para motos de nieve será una carretera determinada en el artículo 2 de la Ley sobre circulación vial y destinada al tráfico de motos de nieve. Las vías para motos de nieve podrán incluir también zonas de descanso y zonas de mantenimiento de la vía requeridas permanentemente.</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t>Sobre la base de la información que figura en las estadísticas sobre vehículos de la Agencia de Seguridad del Transporte de Finlandia y en un estudio de los accidentes de tráfico fuera de la carretera (Trafi studies 15/2015), el número de motos de nieve ha aumentado de manera constante en Finlandia durante la última década. A finales de 2016, se habían matriculado algo más de 145 000 motos de nieve. El número de nuevas matriculaciones ha variado bastante cada año, entre 3 000 y 6 000 motos de nieve. Sin embargo, el número de nuevas matriculaciones ha disminuido a partir de 2001. En 2016, se matriculó un total de 3 388 motos de nieve nuevas, y en 2015 el número total de nuevas matriculaciones fue de 3 751. Entre enero y noviembre de 2017, se matricularon 2 772 motos de nieve nuevas. Esto supone un aumento del 11 por ciento en comparación con el mismo período de 2016. La venta de motos de nieve y el número de nuevas matriculaciones se ven afectados por factores como los ciclos económicos. Después de 2007, el número de motos de nieve usadas para el tráfico ha disminuido de manera constante. No obstante, en el registro de matriculación se conserva una entrada para las motos de nieve, motivo por el cual el número de motos de nieve aumenta continuamente en tal registro. Esto significa que el registro también incluye motos de nieve que no volverán a usarse nunca. A finales de 2016, había unas 82 000 motos de nieve que se usaban con fines de tráfico; a finales de marzo de 2017 eran unas 88 000; y a finales de marzo de 2018 el número era de unas 93 000 motos de nieve. Sobre la base de los datos relativos a la masa del registro de vehículos, la masa sin carga de aproximadamente un 80 por cierto de las motos de nieve utilizadas con fines de tráfico es de 300 a 399 kilogramos. Para aproximadamente un 6 por ciento de las motos de nieve, la masa sin carga es de 400 a 500 kilogramos, y no se disponen de los datos sobre la masa sin carga de aproximadamente un 20 por ciento de las motos de nieve. Los trineos motorizados con un peso superior a 500 kilogramos no están matriculados, y no existen datos sobre el número de dichos trineos. Entre las motos de nieve del registro, el porcentaje de motos de nieve utilizadas con fines de tráfico varía por provincia entre un 66 y un 78 por ciento. El menor porcentaje se da en Kymenlaakso y Finlandia Central, y el mayor, en Laponia y Kainuu (78 %).</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lastRenderedPageBreak/>
        <w:t>El derecho general a conducir una moto de nieve en una vía para motos de nieve establecida implica, por un lado, que no se cargará una tasa independiente para la circulación. Por otro lado, la vía podrá usarse a condición de que el conductor tenga el derecho a conducir el vehículo y que el tipo de vehículo pueda usarse en la carretera en cuestión. De acuerdo con el artículo 18 del Decreto sobre la circulación vial, el transporte de vehículos distintos a las motos de nieve queda prohibido en las vías para motos de nieve equipadas con la señal de tráfico destinada a las vías para motos de nieve. Esto significa que las vías para motos de nieve mencionadas en el artículo 13 de la Ley sobre el tráfico campo a través y el artículo 2 de la Ley sobre circulación vial son carreteras destinadas exclusivamente a las motos de nieve determinadas en la Ley relativa a los vehículos. Las pistas para motos de nieve son vías destinadas al tráfico de motos de nieve sobre la base de acuerdos entre el operador de la pista y el propietario del terreno. A diferencia de las vías para motos de nieve, las pistas para motos de nieve se encuentran fuera de las carreteras, y a ellas se aplican las disposiciones de uso de la Ley sobre el tráfico campo a través. Además, a diferencia de en el caso de las vías para motos de nieve, podrá cobrarse una tasa por la circulación en las pistas para motos de nieve. De acuerdo con Metsähallitus, hay un total de aproximadamente 20 000 kilómetros de vías y pistas para motos de nieve en Finlandia, y 8 000 se sitúan en Laponia. En Finlandia, hay unos 4 000 kilómetros de vías para motos de nieve tal y como se menciona en el artículo 13 de la Ley sobre el tráfico campo a través. La mayor parte de las actuales vías y pistas para motos de nieve se establecieron en la década de 1980 y 1990.</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t>1.2 Evaluación de la situación actual</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La regulación de la clasificación de las motos de nieve se remonta a la década de 1970, y no se ha revisado tras el establecimiento de la normativa relativa a las motos de nieve en la década de 1990. En el mercado, actualmente existen vehículos todoterreno que se parecen bastante a las motos de nieve y que están destinados a un uso profesional y se utilizan principalmente como tal, pero en virtud del artículo 16, apartado 2, de la Ley sobre el tráfico campo a través, no son motos de nieve, dado que su peso y el número de personas transportadas en ellos exceden los límites estipulados para la categoría de vehículo de moto de nieve. Las motos de nieve más grandes que las actuales motos de nieve ya podrán usarse fuera de las carreteras con el permiso de los propietarios de los terrenos, pero no en las vías para motos de nieve mencionadas en la Ley sobre la circulación vial y la Ley sobre el tráfico campo a través.</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t>De acuerdo con el informe final sobre los efectos económicos regionales del tráfico de motos de nieve por parte del Consejo Regional de Laponia (abril de 2014), el tráfico de motos de nieve reviste especial importancia en Laponia, donde tiene unos efectos significativos sobre los ingresos y el empleo. Las motos de nieve son esenciales para los medios de subsistencia como la cría de renos, e importantes para las actividades de las Fuerzas Armadas y diversos tipos de autoridades. Los safaris y los paseos en motos de nieve representan servicios turísticos significativos. Además, el tráfico recreativo de motos de nieve y los safaris independientes son cada vez más populares. El número de turistas ha aumentado en Laponia, y, en particular, los safaris en motos de nieve adaptados a extranjeros van en aumento.</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Por ejemplo, cuando se organizan safaris en motos de nieve en vías para motos de nieve, la definición de una moto de nieve incluida en el artículo 16, apartado 2, de la Ley relativa a los vehículos restringe la elección de una flota adecuada a tal efecto en su forma actual, dado que solo pueden usarse en las vías para motos de nieve las motos de nieve incluidas en la Ley relativa a los vehículos.</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lastRenderedPageBreak/>
        <w:t>Las vías para motos de nieve actuales se construyeron y establecieron para motos de nieve con una masa sin carga de no más de 500 kilogramos y destinadas a no más de dos pasajeros además del conductor. En la práctica, la mayoría de las motos de nieve vendidas en Finlandia tienen una masa sin carga más ligera, de aproximadamente 300 a 400 kilogramos. Únicamente la masa sin carga de las motos de nieve grandes destinadas normalmente al uso profesional puede acercarse a la masa sin carga máxima permitida estipulada para las motos de nieve. La anchura de casi todas las motos de nieve actuales está por debajo de 1,3 metros.</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Sobre la base de un estudio de la Agencia de Seguridad del Transporte de Finlandia sobre los accidentes de tráfico fuera de la carretera (Trafi studies 15/2015), es complicado obtener información exhaustiva sobre los accidentes de las motos de nieve, puesto que las estadísticas relacionadas con ellos están dispersas. Con gran diferencia, la mayor parte de los accidentes de motos de nieve tiene lugar en Laponia, una región con un tráfico de motos de nieve importante. Las pérdidas económicas y personales causadas por accidentes de motos de nieve y de vehículos todoterreno son relativamente significativas. Los accidentes de motos de nieve que causaron lesiones personales han costado a la sociedad aproximadamente 320 millones EUR en daños anuales entre 2009 y 2013. Se estima que durante una única temporada de conducción tienen lugar entre 100 000 y 300 000 safaris de motos de nieve en Laponia. Teniendo en cuenta el rendimiento, se han producido pocos accidentes en safaris en motos de nieve, y los accidentes graves han ocurrido de forma muy poco frecuente, aunque los conductores no contaran con experiencia. El tipo más común de accidente de moto de nieve ha sido la colisión con un obstáculo, a menudo precedida por la pérdida de control de la moto de nieve. En los safaris, los conductores sin experiencia a menudo pierden el control de la moto de nieve tras un uso incorrecto del acelerador. Los accidentes suelen darse en las curvas hacia la izquierda, y la caída de la moto de nieve representa también una situación de accidente habitual. Las condiciones geográficas y de las carreteras varían en las regiones de las empresas de safaris, por lo que las conclusiones sobre los motivos de los accidentes en las diversas zonas deben realizarse con cautela. Se estima que las tecnologías modernizadas de las motos de nieve disminuirán el número de accidentes graves en el futuro. Sobre la base de la documentación hospitalaria de Laponia, los habitantes locales han sido el mayor grupo de personas tratadas por lesiones sufridas en accidentes de motos de nieve, y los accidentes relacionados con el uso recreativo han sido la causa más común de tales lesiones.</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Objetivos y propuestas principales del proyecto de Ley</w:t>
      </w:r>
    </w:p>
    <w:p w14:paraId="1A2860E6" w14:textId="5EF2A6CF" w:rsidR="00F62F66" w:rsidRPr="000644E7" w:rsidRDefault="00F62F66" w:rsidP="00F62F66"/>
    <w:p w14:paraId="1DF64099" w14:textId="282A1A55" w:rsidR="00F62F66" w:rsidRPr="000644E7" w:rsidRDefault="00F62F66" w:rsidP="0037369F">
      <w:pPr>
        <w:ind w:firstLine="360"/>
      </w:pPr>
      <w:r>
        <w:t>2.1. Objetivos</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El progreso tecnológico de los trineos motorizados y la importancia del tráfico de motos de nieve para el turismo, así como la necesidad de turismo de invierno, apoyan la modernización de la normativa relativa a las motos de nieve. El objetivo del proyecto de Ley consiste en modernizar la normativa relativa a las motos de nieve de tal forma que se adapten los requisitos generales para motos de nieve y para el uso de motos de nieve, en particular a los avances tecnológicos y las necesidades del turismo de invierno La normativa se simplificará de modo que las restricciones sobre el uso de motos de nieve, que no están justificadas desde el punto de vista de la seguridad vial o de la durabilidad de las estructuras de las vías para motos de nieve, se anularán o se adaptarán a los avances tecnológicos.</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t>2.2 Opciones de implementación</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lastRenderedPageBreak/>
        <w:t>Se han evaluado las propiedades de los trineos motorizados nuevos conocidos y de las vías para motos de nieve con el fin de tener en cuenta el progreso tecnológico de las motos de nieve y de los trineos motorizados y de permitir su uso en vías para motos de nieve.</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En la clasificación y la determinación de las motos de nieve y los trineos motorizados, se han considerado restricciones sobre la base de las propiedades técnicas de los vehículos, tales como la anchura, la masa sin carga y el número de personas permitido. Las propiedades de las vías para motos de nieve que se considerarán incluyen la anchura de las vías, en particular en bosques, y la capacidad portante de los puentes, otras estructuras, y capas de hielo en la vía.</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Una mayor masa sin carga de los trineos motorizados a menudo también se traduce en mayores dimensiones. Además, a fin de garantizar la seguridad vial y minimizar los daños potenciales, la capacidad portante de los puentes, otras estructuras y el hielo es más importante que las partes estrechas de la vía, por lo que se tomó la decisión de volver a definir la moto de nieve utilizando su masa sin carga y el número de personas permitido. La masa sin carga y el número de personas permitido también son las propiedades usadas para la definición existente de «moto de nieve» y, por tanto, existe información en los registros de tráfico y en las estadísticas de los accidentes para evaluar los impactos de las modificaciones de estas propiedades. Asimismo, se han tenido en cuenta otras reglamentaciones válidas en relación con las motos de nieve y su uso, así como la práctica de su aplicación, como la determinación de su masa sin carga y la velocidad de conducción máximas permitidas, la masa de las motos de nieve y el número de personas permitido, por lo que se estima que los cambios menores a estas propiedades requieren menos reglamentaciones adicionales en el estado actual.</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Sobre la base de la información relativa a los nuevos trineos motorizados y las vías para motos de nieve actuales, se ha estimado que los trineos motorizados, que son unos pocos cientos de kilogramos más pesados que las motos de nieve, podrían conducirse en las vías actuales para motos de nieve. Al mismo tiempo, está justificada la modificación del número de personas permitido en relación con los cambios de la masa sin carga.</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Una forma de permitir el uso de trineos motorizados mayores que las actuales motos de nieve en vías para motos de nieve sería volver a definir la moto de nieve para incluir las motos de nieve más grandes y permitir principalmente su uso en todas las vías para motos de nieve. En este caso, el operador de la vía podría restringir la masa total de las motos de nieve permitidas en la vía mediante el establecimiento del límite de peso necesario por medio de una señal de tráfico. Sin embargo, dado que las vías para motos de nieve actuales han sido establecidas para las motos de nieve incluidas en la definición actual de moto de nieve, no sería necesariamente seguro conducir vehículos más grandes en todas las vías para motos de nieve. Así, permitir vehículos más grandes en todas las vías para motos de nieve podría causar situaciones peligrosas y daños a las estructuras si las vías para motos de nieve adecuadas para motos de nieve más grandes no se trazaran e indicaran de forma adecuada.</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 xml:space="preserve">Ya que las motos de nieve más grandes no se han considerado adecuadas para todas las vías para motos de nieve, se ha examinado la posibilidad de obligar a los operadores de las vías a que evalúen la idoneidad de las vías para motos de nieve actuales para motos de nieve más grandes como la otra opción de implementación para permitir motos de nieve más grandes en vías para motos de nieve. A efectos de esta opción, la obligación se aplicaría a todos los operadores de vías, y podría implicar una carga administrativa y costes innecesarios. A efectos de esta opción, también deberían determinarse los procedimientos administrativos para garantizar el cumplimiento de la obligación. Esta opción no se ha considerado conforme con los </w:t>
      </w:r>
      <w:r>
        <w:lastRenderedPageBreak/>
        <w:t>objetivos de la desregulación y la reducción de la carga administrativa del programa del Gobierno del Primer Ministro Juha Sipilä.</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Durante las preparaciones, la evaluación voluntaria de los operadores de las vías sobre la idoneidad de las vías para motos de nieve para motos de nieve pesadas se ha estimado como una tercera opción de implementación. Se ha considerado que esta opción se ajusta más a las funciones y la responsabilidad de los operadores de las vías para las vías para motos de nieve en virtud de la actual Ley sobre el tráfico campo a través. Para esta opción, se ha evaluado la posibilidad de otorgar a terceros el derecho de solicitar que el operador de la vía evalúe la idoneidad de las vías para motos de nieve para motos de nieve pesadas. Sin embargo, el establecimiento de una vía para motos de nieve podrá iniciarse únicamente sobre la base de la solicitud de los operadores de las vías, y, de acuerdo con la Ley sobre el tráfico campo a través, los operadores de las vías han de encargarse de que las vías para motos de nieve estén en una condición adecuada para la conducción en el momento de la puesta en servicio anual de la carretera, así como de garantizar que, en ese momento, estén colocadas a lo largo de la vía las señales de tráfico que indiquen puntos que pongan en peligro de manera significativa el tráfico y el curso de la vía y otras señales de tráfico necesarias. Obligar al operador de la vía a evaluar la idoneidad de la vía para motos de nieve para motos de nieve pesadas a iniciativa de terceros aumentaría las obligaciones de los operadores de las vías, y podría requerir una normativa sobre los procedimientos de las autoridades a fin de garantizar el cumplimiento de la obligación. La adición de tal carga administrativa no se consideró necesaria. Se ha estimado que los operadores de las vías son los que mejor saben si su vía es adecuada para motos de nieve pesadas, y se considera que una evaluación de la idoneidad de la vía para motos de nieve pesadas está justificada en relación con los deberes y las responsabilidades actuales del operador de la vía. La evaluación de la idoneidad de la vía para motos de nieve pesadas también sería especialmente útil para los intereses del operador si la vía fuera importante para las propias actividades empresariales, de transporte esencial o de ocio del operador de la vía, y si permitir motos de nieve pesadas en la vía fuera beneficioso para fomentar estos usos previstos.</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En relación con las preparaciones, se ha evaluado si existe la necesidad de añadir el requisito del consentimiento de una autoridad o del propietario del terreno para la aprobación de una vía evaluada por el operador de la vía para motos de nieve pesadas, por ejemplo, de conformidad con un procedimiento de transferir una vía en virtud del artículo 22 de la Ley sobre el tráfico campo a través. Sin embargo, la idoneidad de la vía existente para motos de nieves se ha usado como punto de partida para los trineos motorizados ligeramente más grandes. En este caso, los impactos medioambientales previstos y los efectos sobre los derechos de propiedad del propietario del terreno son tan pequeños que se ha considerado que el consentimiento de una autoridad o del propietario del terreno no está justificado en comparación con los costes económicos y administrativos resultantes.</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Propuestas principales</w:t>
      </w:r>
    </w:p>
    <w:p w14:paraId="73DB6031" w14:textId="77777777" w:rsidR="00D63BB6" w:rsidRPr="000644E7" w:rsidRDefault="00D63BB6" w:rsidP="00C876E8">
      <w:pPr>
        <w:ind w:left="360"/>
        <w:jc w:val="both"/>
      </w:pPr>
    </w:p>
    <w:p w14:paraId="4B315D1E" w14:textId="4C22B1E9" w:rsidR="00A93EE6" w:rsidRPr="000644E7" w:rsidRDefault="0098163D" w:rsidP="00C876E8">
      <w:pPr>
        <w:ind w:left="360"/>
        <w:jc w:val="both"/>
      </w:pPr>
      <w:r>
        <w:t xml:space="preserve">Se propone modernizar la definición de «moto de nieve» en la Ley relativa a los vehículos, de modo que se añada a la Ley la definición de «moto de nieve pesada». Esto haría referencia a los trineos motorizados con una masa sin carga máxima permitida de 800 kilogramos, o 300 kg más pesados que las motos de nieve actuales, que no pueden acomodar a más de cuatro personas además del conductor. Así, el objetivo de la modificación consiste en permitir el uso de determinados vehículos considerados actualmente trineos motorizados en vías para motos de nieve mencionadas en la Ley sobre el tráfico campo a través y que se permiten por separado </w:t>
      </w:r>
      <w:r>
        <w:lastRenderedPageBreak/>
        <w:t>para las motos de nieve pesadas. En el caso de las motos de nieve, se requerirá un permiso de conducción de categoría T para conducir motos de nieve pesadas.</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A la hora de redactar el proyecto de Ley, se intentó tener en cuenta la posible inadecuación de las vías actuales para motos de nieve para vehículos más grandes, motivo por el cual las motos de nieve pesadas podían conducirse únicamente en vías para motos de nieve indicadas por separado adecuadas para tal fin. El operador de la vía, que es quien mejor conoce las condiciones de la vía para motos de nieve, evaluará la idoneidad de la vía para motos de nieve que mantienen para las motos de nieve pesadas. El uso de motos de nieve pesadas estará permitido en vías para motos de nieve sobre la base de una señal adicional colocada en la señal de tráfico que indique una vía para motos de nieve.</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Efectos de la propuesta</w:t>
      </w:r>
    </w:p>
    <w:p w14:paraId="05050DA6" w14:textId="77777777" w:rsidR="00353EDC" w:rsidRPr="000644E7" w:rsidRDefault="00353EDC" w:rsidP="00353EDC"/>
    <w:p w14:paraId="2DE93BC6" w14:textId="463889D4" w:rsidR="008A44D8" w:rsidRPr="000644E7" w:rsidRDefault="00353EDC" w:rsidP="00C876E8">
      <w:pPr>
        <w:ind w:left="360"/>
        <w:jc w:val="both"/>
      </w:pPr>
      <w:r>
        <w:t>Las modificaciones propuestas permitirían el uso de motos de nieve más grandes en vías para motos de nieve adecuadas para tal fin mencionadas en el artículo 13 de la Ley sobre el tráfico campo a través. La modernización de la normativa sobre motos de nieve permitiría el transporte de un mayor número de personas en vías para motos de nieve con un menor número de vehículos. La adición de la definición de «moto de nieve pesada» permitiría la utilización total de nuevas innovaciones de tráfico y nuevas posibilidades de servicios de turismo de invierno. Así, la reforma también servirá para implementar el proyecto principal del programa gubernamental de racionalización de las disposiciones jurídicas.</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Es probable que al aumentar la masa máxima permitida de las motos de nieve, se incremente el número de trineos pesados destinados principalmente al uso profesional solo en un pequeño número, quizás en unos pocos cientos o no más de 2 000 a 3 000 trineos. La estimación se basa en el elevado precio de dichos trineos y en el hecho de que actualmente la masa de solo un pequeño número de trineos se acerca a la masa máxima permitida.</w:t>
      </w:r>
    </w:p>
    <w:p w14:paraId="0010FAF5" w14:textId="20E5244E" w:rsidR="00837084" w:rsidRPr="000644E7" w:rsidRDefault="00837084" w:rsidP="00B709F6">
      <w:pPr>
        <w:jc w:val="both"/>
      </w:pPr>
    </w:p>
    <w:p w14:paraId="4AB452DD" w14:textId="048C99D0" w:rsidR="00837084" w:rsidRPr="000644E7" w:rsidRDefault="00B709F6" w:rsidP="00A12175">
      <w:pPr>
        <w:ind w:left="360"/>
        <w:jc w:val="both"/>
      </w:pPr>
      <w:r>
        <w:t>3.1 Impactos sobre la seguridad vial</w:t>
      </w:r>
    </w:p>
    <w:p w14:paraId="79DEDC6A" w14:textId="77777777" w:rsidR="000A7315" w:rsidRPr="000644E7" w:rsidRDefault="000A7315" w:rsidP="007E1F15">
      <w:pPr>
        <w:jc w:val="both"/>
      </w:pPr>
    </w:p>
    <w:p w14:paraId="75BAC9D6" w14:textId="07250095" w:rsidR="00DA0861" w:rsidRPr="000644E7" w:rsidRDefault="000A7315" w:rsidP="00260128">
      <w:pPr>
        <w:ind w:left="360"/>
        <w:jc w:val="both"/>
      </w:pPr>
      <w:r>
        <w:t>No se prevé que la propuesta aumente el tráfico de motos de nieve, al menos no en un grado que se estimaría que aumentaría el número de accidentes de motos de nieve. El número limitado de trineos motorizados más grandes y su uso estimado, en particular, en safaris en motos de nieve donde, a la luz de las estadísticas, se producen pocos accidentes en comparación con su rendimiento, es favorable a esta evaluación. Aumentar la masa sin carga en la definición de «moto de nieve» también permite remolques más pesados y, por consiguiente, el transporte simultáneo de un mayor número de personas en el remolque de la moto de nieve, lo cual puede aumentar el número de heridos y fallecidos en posibles accidentes.</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Por otro lado, aumentar el tamaño de las motos de nieve puede reducir la necesidad de conductores sin experiencia, ya que es posible participar en safaris sin tener que conducir personalmente una moto de nieve. Puede considerarse que esto tendrá un impacto positivo en el número de accidentes de motos de nieve.</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r>
        <w:t xml:space="preserve">Las motos de nieve más amplias pueden aumentar el número de accidentes por colisión. No obstante, debido al número limitado de vehículos, se estima que el riesgo de accidentes aumentará solo ligeramente. A fin de minimizar el riesgo, debería tenerse en cuenta el tamaño superior de la moto de nieve a la hora de evaluar la idoneidad de las vías. Además, deberá tenerse en cuenta que, a la luz de un estudio por parte de la Agencia de Seguridad del </w:t>
      </w:r>
      <w:r>
        <w:lastRenderedPageBreak/>
        <w:t>Transporte de Finlandia sobre los accidentes de tráfico fuera de las carreteras, los accidentes por colisión no son un tipo común de accidentes de motos de nieve.</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Dado que las motos de nieve más pesadas y los conjuntos de motos de nieve y trineos pueden romper el hielo con mayor facilidad, puede aumentar el número de casos de caídas a través del hielo. De acuerdo con una fórmula que indique la capacidad portante del hielo de acero, un vehículo de 800 kilogramos requiere entre 2 y 3 centímetros de hielo de acero más en comparación con un vehículo de 500 kilogramos. Si una moto de nieve con una masa sin carga de 800 kilogramos se usa para transportar cuatro personas y remolcar un remolque de peso máximo, el conjunto pesará aproximadamente entre 2 300 y 2 400 kilogramos, o el equivalente a un turismo de gran tamaño. Como un turismo, tal conjunto requeriría hielo con un grosor de como mínimo 20 centímetros, mientras que el Instituto Metrológico de Finlandia recomienda al menos 15 centímetros de hielo para motos de nieve. Además del grosor y la calidad del hielo, la velocidad del vehículo también afectará a la rotura del hielo. A la hora de evaluar las vías adecuadas para las motos de nieve pesadas, también debería tenerse en cuenta el peso del vehículo. En este caso, el riesgo de caída a través del hielo podría limitarse al tener en cuenta el grosor del hielo a la hora de determinar las vías para motos de nieve permitidas para motos de nieve pesadas.</w:t>
      </w:r>
    </w:p>
    <w:p w14:paraId="382C32C8" w14:textId="19516698" w:rsidR="00B55430" w:rsidRPr="000644E7" w:rsidRDefault="00B55430" w:rsidP="00157DD5">
      <w:pPr>
        <w:ind w:left="360"/>
        <w:jc w:val="both"/>
      </w:pPr>
    </w:p>
    <w:p w14:paraId="3D972A97" w14:textId="31544054" w:rsidR="00B55430" w:rsidRPr="000644E7" w:rsidRDefault="006A3EF1" w:rsidP="00B55430">
      <w:pPr>
        <w:ind w:left="360"/>
        <w:jc w:val="both"/>
      </w:pPr>
      <w:r>
        <w:t>3.2 Impacto medioambiental</w:t>
      </w:r>
    </w:p>
    <w:p w14:paraId="6B49C010" w14:textId="77777777" w:rsidR="00B55430" w:rsidRPr="000644E7" w:rsidRDefault="00B55430" w:rsidP="00B55430">
      <w:pPr>
        <w:ind w:left="360"/>
        <w:jc w:val="both"/>
      </w:pPr>
    </w:p>
    <w:p w14:paraId="075A2485" w14:textId="10F7FB8C" w:rsidR="00B55430" w:rsidRPr="000644E7" w:rsidRDefault="002C37E5" w:rsidP="002C37E5">
      <w:pPr>
        <w:ind w:left="360"/>
        <w:jc w:val="both"/>
      </w:pPr>
      <w:r>
        <w:t>Se estima que los impactos totales medioambientales son menores, en particular debido al número reducido de vehículos. Los efectos adversos de las motos de nieve más grandes actuales sobre la naturaleza y otros aspectos medioambientales quedan minimizados al permitir los trineos más pesados en vías indicadas por separado que se hayan considerado adecuadas. Los impactos medioambientales quedarán limitados por el uso estimado de motos de nieve pesadas principalmente para el turismo, más frecuentemente en viajes cortos cerca de los centros turísticos. Los efectos adversos medioambientales del tráfico de motos de nieve también podrían limitarse por medio de requisitos de emisión para motos de nieve pesadas. En su declaración inicial sobre el proyecto de Ley, la Asociación finlandesa para la conservación de la naturaleza estimó que permitir las motos de nieve pesadas en todas las vías para motos de nieve podría dar lugar a la transferencia de vías actualmente establecidas sobre el hielo a la tierra, lo cual tendría un efecto negativo en la naturaleza. Dado que el proyecto de Ley únicamente permitiría las motos de nieve pesadas en vías adecuadas para ellas, se estima que esto reduciría la necesidad de la transferencia de las vías actuales.</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Impactos sobre las empresas</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r>
        <w:t>Las motos de nieve más grandes podrían usarse, por ejemplo, para transportar más personas en safaris en motos de nieve, con un número menor de vehículos y conductores. Por ejemplo, los niños o los conductores sin experiencia tendrían más oportunidades de participar en viajes en motos de nieve y, así, la propuesta tendría efectos indirectos sobre los ingresos y el empleo en el sector del turismo en Laponia.</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Se estima que la modificación propuesta solo aumentará ligeramente la venta de nuevos vehículos todoterreno. Actualmente se venden vehículos todoterreno con un peso superior a 500 kilogramos y similares a las motos de nieve. Su precio puede llegar a triplicar el de las motos de nieve nuevas, lo que se cree que reduce el número de ventas.</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3.4 Impactos sobre los operadores de las vías para las motos de nieve</w:t>
      </w:r>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La propuesta tendría un efecto sobre los costes de los operadores de las vías para las motos de nieve, dado que la masa de los vehículos permitidos en las vías aumentaría. El incremento de los costes podría gestionarse permitiendo que los operadores de las vías estimen si las motos de nieve pesadas deberían estar autorizadas en las vías. Además, el número de trineos motorizados más grandes quedaría limitado debido a la naturaleza restringida de su fin previsto y el precio de compra elevado.</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Impactos sobre las actividades de las autoridades</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Modificar la clasificación de las motos de nieve mediante el aumento de la masa sin carga máxima permitiría el registro de vehículos todoterreno más pesados como las motos de nieve pesadas y su tráfico en vías para motos de nieve indicadas por separado. Aumentar la masa máxima permitida de las motos de nieve también permitiría esto para todos los vehículos tractores todoterreno con una masa sin carga superior a 500 kilogramos, equipados con rieles. De acuerdo con la propuesta, la obligación de matriculación y la obligación de información no se aplica a los vehículos todoterreno distintos a las motos de nieve o a las motos de nieve pesadas que se usan en vías para motos de nieve. Sin la restricción, la mayoría de los trineos motorizados actuales se considerarían motos de nieve también sujetas a la obligación de matriculación y de información. A fin de reducir la carga administrativa, la obligación de matriculación se aplicaría únicamente a las motos de nieve pesadas usadas en las vías para motos de nieve.</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t>Debido a la enmienda, las tareas de homologación y de matriculación de la Agencia de Seguridad del Transporte de Finlandia aumentarían solo ligeramente. En caso necesario, la Agencia también debería tener en cuenta las modificaciones de las reglamentaciones sobre los requisitos técnicos más detallados aplicables a los vehículos todoterreno.</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t>Debido a la modificación, las tareas de las autoridades reglamentarias podrían aumentar ligeramente si las motos de nieve pesadas se conducen en vías en las que no están permitidas. Las crecientes tareas reglamentarias podrán reducirse indicando adecuadamente las vías adecuadas para las motos de nieve pesadas.</w:t>
      </w:r>
    </w:p>
    <w:p w14:paraId="2D8CA900" w14:textId="77777777" w:rsidR="0054530A" w:rsidRPr="000644E7" w:rsidRDefault="002F1AC6" w:rsidP="004E4102">
      <w:pPr>
        <w:pStyle w:val="Heading2"/>
        <w:keepNext w:val="0"/>
        <w:keepLines w:val="0"/>
        <w:ind w:firstLine="360"/>
        <w:jc w:val="both"/>
        <w:rPr>
          <w:rFonts w:ascii="Times New Roman" w:hAnsi="Times New Roman" w:cs="Times New Roman"/>
          <w:color w:val="auto"/>
          <w:sz w:val="24"/>
          <w:szCs w:val="24"/>
        </w:rPr>
      </w:pPr>
      <w:r>
        <w:rPr>
          <w:rFonts w:ascii="Times New Roman" w:hAnsi="Times New Roman"/>
          <w:color w:val="auto"/>
          <w:sz w:val="24"/>
        </w:rPr>
        <w:t>4 Trabajo de preparación</w:t>
      </w:r>
    </w:p>
    <w:p w14:paraId="4448C565" w14:textId="36BEB496" w:rsidR="00FF7270" w:rsidRPr="000644E7" w:rsidRDefault="0054530A" w:rsidP="004E4102">
      <w:pPr>
        <w:pStyle w:val="Heading2"/>
        <w:keepNext w:val="0"/>
        <w:keepLines w:val="0"/>
        <w:ind w:left="360"/>
        <w:jc w:val="both"/>
        <w:rPr>
          <w:rFonts w:ascii="Times New Roman" w:hAnsi="Times New Roman" w:cs="Times New Roman"/>
          <w:b w:val="0"/>
          <w:color w:val="auto"/>
          <w:sz w:val="24"/>
          <w:szCs w:val="24"/>
        </w:rPr>
      </w:pPr>
      <w:r>
        <w:rPr>
          <w:rFonts w:ascii="Times New Roman" w:hAnsi="Times New Roman"/>
          <w:b w:val="0"/>
          <w:color w:val="auto"/>
          <w:sz w:val="24"/>
        </w:rPr>
        <w:t>El proyecto de Ley ha sido preparado en el Ministerio de Transporte y Comunicaciones junto con el Ministerio de Medio Ambiente y la Agencia de Seguridad del Transporte de Finlandia. En las fases iniciales del proyecto (LVM/2370/03/2017), se preparó un proyecto de Ley. De acuerdo con el proyecto de Ley, se modificará la definición de «moto de nieve» estipulada en la Ley relativa a los vehículos para permitir las motos de nieve más grandes en todas las vías para motos de nieve. En varias declaraciones sobre el proyecto de Ley, se consideró que permitir el uso de motos de nieve más grandes en todas las vías para motos de nieve aumentaría el número de accidentes de motos de nieve y reduciría la resistencia de las estructuras de las vías. Se consideró que se causarían efectos adversos sobre la naturaleza y otros aspectos medioambientales, por ejemplo, por el hecho de que algunas vías que cruzan zonas de agua se transferirían a la tierra. Además, existía la preocupación de si los trineos anchos cabrían en vías para motos de nieve estrechas y si aumentaría el número de accidentes por colisión. De acuerdo con las observaciones, las vías para motos de nieve son muy estrechas en algunos lugares, lo cual implica que permitir trineos anchos requeriría ampliar las vías para motos de nieve. En una declaración del Departamento de Policía de Laponia, se propuso limitar el ancho de las motos de nieve a 1,7 metros.</w:t>
      </w:r>
    </w:p>
    <w:p w14:paraId="083C1EEC" w14:textId="7EFBA6EA" w:rsidR="009443F8" w:rsidRPr="000644E7" w:rsidRDefault="00B56C6C" w:rsidP="004E4102">
      <w:pPr>
        <w:pStyle w:val="Heading2"/>
        <w:keepNext w:val="0"/>
        <w:keepLines w:val="0"/>
        <w:ind w:left="360"/>
        <w:jc w:val="both"/>
        <w:rPr>
          <w:rFonts w:ascii="Times New Roman" w:hAnsi="Times New Roman" w:cs="Times New Roman"/>
          <w:b w:val="0"/>
          <w:color w:val="auto"/>
          <w:sz w:val="24"/>
          <w:szCs w:val="24"/>
        </w:rPr>
      </w:pPr>
      <w:r>
        <w:rPr>
          <w:rFonts w:ascii="Times New Roman" w:hAnsi="Times New Roman"/>
          <w:b w:val="0"/>
          <w:color w:val="auto"/>
          <w:sz w:val="24"/>
        </w:rPr>
        <w:lastRenderedPageBreak/>
        <w:t>Sobre la base de las declaraciones recibidas sobre el proyecto de Ley, se adoptó la decisión de proceder a las preparaciones de modo que las motos de nieve más grandes se permitirían en vías por separado consideradas adecuadas para ellas y con el consentimiento del operador de la vía. Se solicitará que las partes interesadas presenten declaraciones sobre el proyecto de Ley modificado. Al mismo tiempo, se notifica a la Comisión la propuesta en virtud de la Directiva (UE) 2015/1535. De acuerdo con la Directiva, los Estados miembros deben presentar propuestas de reglamentaciones técnicas a la Comisión, y los Estados miembros deben posponer la aprobación de las propuestas de reglamentaciones técnicas durante tres meses a partir de la fecha de notificación.</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JUSTIFICACIÓN DETALLADA</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Justificación del proyecto de Ley</w:t>
      </w:r>
    </w:p>
    <w:p w14:paraId="3D0690BF" w14:textId="16932E3F" w:rsidR="00753AE8" w:rsidRPr="000644E7" w:rsidRDefault="00CA22C2"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 xml:space="preserve"> </w:t>
      </w:r>
      <w:r w:rsidR="00753AE8">
        <w:rPr>
          <w:rFonts w:ascii="Times New Roman" w:hAnsi="Times New Roman"/>
          <w:color w:val="auto"/>
        </w:rPr>
        <w:t>Ley relativa a los vehículos</w:t>
      </w:r>
      <w:bookmarkEnd w:id="3"/>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Artículo 16</w:t>
      </w:r>
      <w:r>
        <w:t xml:space="preserve"> </w:t>
      </w:r>
      <w:r>
        <w:rPr>
          <w:i/>
        </w:rPr>
        <w:t>Vehículos todoterreno.</w:t>
      </w:r>
      <w:r>
        <w:t xml:space="preserve"> Se sugiere la modificación del artículo 16, apartado 2, al añadir a la definición las motos de nieve pesadas, que cubriría a los trineos motorizados con una masa sin carga superior a 0,5 toneladas y de no más de 0,8 toneladas, y que no puedan acomodar a más de cuatro personas además del conductor. La modificación permitiría el registro de ciertos vehículos más grandes, que actualmente se consideran trineos motorizados, como las motos de nieve pesadas. Por ejemplo, los vehículos todoterreno puestos en servicio también podrían considerarse motos de nieve pesadas tras la modificación legislativa.</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 xml:space="preserve">Artículo 64 </w:t>
      </w:r>
      <w:r>
        <w:rPr>
          <w:b/>
          <w:i/>
        </w:rPr>
        <w:t>bis</w:t>
      </w:r>
      <w:r>
        <w:t xml:space="preserve"> </w:t>
      </w:r>
      <w:r>
        <w:rPr>
          <w:i/>
        </w:rPr>
        <w:t>Exenciones de la obligación de matriculación.</w:t>
      </w:r>
      <w:r>
        <w:t xml:space="preserve"> El artículo establece una exención de la obligación por defecto de matricular vehículos de motor. De conformidad con el actual artículo 64 </w:t>
      </w:r>
      <w:r>
        <w:rPr>
          <w:i/>
        </w:rPr>
        <w:t>bis</w:t>
      </w:r>
      <w:r>
        <w:t>, apartado 1, la obligación de matriculación y la obligación de facilitar información sobre los datos de matriculación del vehículo que se mencionan en el artículo 64 no se aplican a los vehículos todoterreno distintos de las motos de nieve. El apartado quedará modificado al excluir las motos de nieve pesadas usadas en las vías para motos de nieve de la exención de la obligación de matriculación y la obligación de facilitar información sobre los datos de matriculación. De acuerdo con la modificación propuesta de la Ley sobre el tráfico campo a través, las motos de nieve pesadas podrían conducirse en vías para motos de nieve si los operadores de las vías han considerado que la vía es adecuada para ellas y han indicado que la vía está permitida para motos de nieve pesadas. Así, se justifica la fijación de requisitos para motos de nieve pesadas usadas en vías para motos de nieve equivalentes a las obligaciones de matriculación y de notificación de datos de matriculación que se aplican a las motos de nieve. Sin embargo, la obligación de matriculación no se impondrá para los vehículos todoterreno considerados motos de nieve pesadas después de la modificación, dado que no se ha previsto que sea beneficioso matricular los trineos motorizados, que se usen en el momento de la entrada en vigor de la Ley y que no se usarán en vías para motos de nieve permitidas para motos de nieve pesadas incluso después de la modificación, considerando la carga administrativa y los costes incurridos.</w:t>
      </w:r>
    </w:p>
    <w:p w14:paraId="3036BFA0" w14:textId="2761E468" w:rsidR="004961A0" w:rsidRPr="000644E7" w:rsidRDefault="00CA22C2"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w:t>
      </w:r>
      <w:r w:rsidR="004961A0">
        <w:rPr>
          <w:rFonts w:ascii="Times New Roman" w:hAnsi="Times New Roman"/>
          <w:color w:val="auto"/>
        </w:rPr>
        <w:t>Ley sobre el permiso de conducción</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Artículo 4 </w:t>
      </w:r>
      <w:r>
        <w:rPr>
          <w:i/>
        </w:rPr>
        <w:t>Categorías de permiso de conducción.</w:t>
      </w:r>
      <w:r>
        <w:t xml:space="preserve"> Se propone la modificación del artículo 4, apartado 1, punto 7, mediante la adición de la moto de nieve pesada al permiso de conducción de categoría T. Los requisitos aplicables al derecho a conducir motos de nieve pesadas, por consiguiente, se corresponderían con los de la maquinaria motorizada y las motos de nieve, así como los tractores de la categoría T3, a excepción de los requisitos aplicables al derecho a conducir tractores con una velocidad estructural máxima de 60 kilómetros por hora. La edad mínima para obtener un permiso de conducción de categoría T es de 15 años. Así, un permiso de conducción de categoría T podría usarse para conducir motos de nieve pesadas y vehículos remolcables acoplados a ellas. De acuerdo con el artículo 44, apartado 3, del actual Decreto relativo al uso de vehículos en carretera, un remolque de motos de nieve podrá usarse para transportar personas en una vía para motos de nieve y, de acuerdo con el artículo 36, apartado 3, del Decreto, un remolque podrá acoplarse a vehículos todoterreno cuando la masa de </w:t>
      </w:r>
      <w:r>
        <w:lastRenderedPageBreak/>
        <w:t>acoplamiento del remolque no sea superior a 1,5 veces la masa sin carga del vehículo todoterreno remolcador. Por tanto, un permiso de conducción de categoría T podría usarse para transportar, además del conductor, a entre 8 y 19 pasajeros con una moto de nieve pesada y un remolque acoplado a ella.</w:t>
      </w:r>
    </w:p>
    <w:p w14:paraId="6BFB4682" w14:textId="71842220" w:rsidR="004961A0" w:rsidRPr="000644E7" w:rsidRDefault="00CA22C2"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 xml:space="preserve"> </w:t>
      </w:r>
      <w:r w:rsidR="004961A0">
        <w:rPr>
          <w:rFonts w:ascii="Times New Roman" w:hAnsi="Times New Roman"/>
          <w:color w:val="auto"/>
        </w:rPr>
        <w:t>Ley sobre el tráfico campo a través</w:t>
      </w:r>
    </w:p>
    <w:p w14:paraId="21CCCDB5" w14:textId="77777777" w:rsidR="00457AD1" w:rsidRPr="000644E7" w:rsidRDefault="00457AD1" w:rsidP="006108CF"/>
    <w:p w14:paraId="155DDE92" w14:textId="16110899" w:rsidR="00457AD1" w:rsidRPr="000644E7" w:rsidRDefault="00457AD1" w:rsidP="005C6F40">
      <w:pPr>
        <w:ind w:left="360"/>
        <w:jc w:val="both"/>
      </w:pPr>
      <w:r>
        <w:rPr>
          <w:b/>
          <w:sz w:val="22"/>
        </w:rPr>
        <w:t>Artículo 3</w:t>
      </w:r>
      <w:r>
        <w:rPr>
          <w:i/>
        </w:rPr>
        <w:t xml:space="preserve"> Definiciones. </w:t>
      </w:r>
      <w:r>
        <w:t xml:space="preserve">La definición de la Ley sobre el tráfico campo a través de un vehículo de motor podría armonizarse para que se correspondiera con la definición de un vehículo de motor de la Ley relativa a los vehículos, haciendo referencia al artículo 3, apartado 1, punto 2, de la Ley (1090/2002) relativa a los vehículos en el artículo 3, apartado 1, de la Ley sobre el tráfico campo a través. La modificación excluiría las posibles interpretaciones poco claras relacionadas con el asunto. La definición actual de la Ley sobre el tráfico campo a través ha dado lugar a cierta incertidumbre de si los requisitos para los vehículos de motor o los vehículos no motorizados deberían aplicarse al uso fuera de carretera de los vehículos eléctricos ligeros mencionados en el artículo 19 </w:t>
      </w:r>
      <w:r>
        <w:rPr>
          <w:i/>
        </w:rPr>
        <w:t>bis</w:t>
      </w:r>
      <w:r>
        <w:t xml:space="preserve"> de la Ley relativa a los vehículos, las bicicletas asistidas eléctricamente mencionadas en el artículo 19, apartado 1, punto 1, o las bicicletas equipadas con un motor eléctrico mencionadas en el artículo 11, subcategoría L1e-A. De acuerdo con la Ley relativa a los vehículos y la Ley sobre circulación vial, los requisitos para los vehículos no motorizados se aplicarán al uso de dichos vehículos en la carretera. En la Ley sobre el tráfico campo a través, los vehículos de motor se han considerado vehículos impulsados por energía usados en la tierra o en el hielo o que penetran en la tierra o a través de hielo que no pueden utilizarse en pistas. La definición de la Ley sobre el tráfico campo a través se correspondía con la definición de la Ley sobre circulación vial hasta 2016, cuando se especificó la definición de vehículo de motor de la Ley sobre circulación vial y la Ley relativa a los vehículos para excluir del grupo de vehículos incluido en la definición la bicicleta de categoría L (categoría L1e-A), aunque esté equipada con un motor, y los vehículos eléctricos ligeros con un motor eléctrico de menos de un kilovatio.</w:t>
      </w:r>
    </w:p>
    <w:p w14:paraId="4D30399D" w14:textId="77777777" w:rsidR="00457AD1" w:rsidRPr="000644E7" w:rsidRDefault="00457AD1" w:rsidP="005C6F40">
      <w:pPr>
        <w:ind w:left="360"/>
        <w:jc w:val="both"/>
        <w:rPr>
          <w:i/>
        </w:rPr>
      </w:pPr>
    </w:p>
    <w:p w14:paraId="78D98C09" w14:textId="2683A59B" w:rsidR="00B20739" w:rsidRPr="000644E7" w:rsidRDefault="00457AD1" w:rsidP="005C6F40">
      <w:pPr>
        <w:ind w:left="360"/>
        <w:jc w:val="both"/>
      </w:pPr>
      <w:r>
        <w:rPr>
          <w:b/>
          <w:sz w:val="22"/>
        </w:rPr>
        <w:t>§ 13</w:t>
      </w:r>
      <w:r>
        <w:rPr>
          <w:i/>
        </w:rPr>
        <w:t xml:space="preserve"> Vía para motos de nieve. </w:t>
      </w:r>
      <w:r>
        <w:t>El artículo relativo a las vías para motos de nieve se modificará debido a un cambio en el artículo 16 para añadir un nuevo grupo de vehículos: las motos de nieve pesadas. Además de las motos de nieve mencionadas en el artículo 16, las motos de nieve pesadas incluidas en el nuevo grupo de vehículos propuesto para la nueva Ley relativa a los vehículos podrán usarse en vías para motos de nieve adecuadas a tal fin. El derecho a circular se indicará mediante el uso de una señal adicional colocada junto a la señal de tráfico que indica una vía para motos de nieve (Decreto 182/1982 sobre circulación vial, número de señal de tráfico 426). Los operadores de vías mencionados en el artículo 14 realizarán la evaluación de la idoneidad de una vía para motos de nieve para el tráfico de motos de nieve pesadas. La evaluación se basará en la seguridad vial y en la resistencia de las estructuras de las vías.</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A la hora de evaluar la idoneidad de la seguridad vial, se tendrán en cuenta en particular los factores que afecten a la seguridad de los vehículos que se encuentren de frente, como la anchura de la vía, las diferencias de altitud y la visibilidad en pendientes y curvas pronunciadas. Además de las inclinaciones de las curvas a lo largo de la vía, especialmente las inclinaciones negativas tienen un impacto sobre la seguridad vial cuando se usan motos de nieve pesadas que pueden tener un centro de gravedad elevado. A la hora de evaluar la idoneidad de las estructuras de las vías para motos de nieve más pesadas, se estimará la capacidad portante, en particular de los puentes y de diversos cruces.</w:t>
      </w:r>
    </w:p>
    <w:p w14:paraId="2F351809" w14:textId="751E163D" w:rsidR="004961A0" w:rsidRPr="000644E7" w:rsidRDefault="00CA22C2" w:rsidP="004961A0">
      <w:pPr>
        <w:pStyle w:val="Heading3"/>
        <w:numPr>
          <w:ilvl w:val="1"/>
          <w:numId w:val="14"/>
        </w:numPr>
        <w:jc w:val="both"/>
        <w:rPr>
          <w:rFonts w:ascii="Times New Roman" w:hAnsi="Times New Roman" w:cs="Times New Roman"/>
          <w:color w:val="auto"/>
        </w:rPr>
      </w:pPr>
      <w:r>
        <w:rPr>
          <w:rFonts w:ascii="Times New Roman" w:hAnsi="Times New Roman"/>
          <w:color w:val="auto"/>
        </w:rPr>
        <w:lastRenderedPageBreak/>
        <w:t xml:space="preserve"> </w:t>
      </w:r>
      <w:r w:rsidR="004961A0">
        <w:rPr>
          <w:rFonts w:ascii="Times New Roman" w:hAnsi="Times New Roman"/>
          <w:color w:val="auto"/>
        </w:rPr>
        <w:t>Ley sobre circulación vial</w:t>
      </w:r>
    </w:p>
    <w:p w14:paraId="22E7EE55" w14:textId="1A78270F" w:rsidR="004961A0" w:rsidRPr="000644E7" w:rsidRDefault="004961A0" w:rsidP="004E4102">
      <w:pPr>
        <w:keepNext/>
      </w:pPr>
    </w:p>
    <w:p w14:paraId="116C8159" w14:textId="5B47D4FE" w:rsidR="00D4663E" w:rsidRPr="000644E7" w:rsidRDefault="00D4663E" w:rsidP="005860BE">
      <w:pPr>
        <w:ind w:left="360"/>
        <w:jc w:val="both"/>
      </w:pPr>
      <w:r>
        <w:rPr>
          <w:b/>
        </w:rPr>
        <w:t xml:space="preserve">Artículo 89 </w:t>
      </w:r>
      <w:r>
        <w:rPr>
          <w:i/>
        </w:rPr>
        <w:t>Uso de cascos.</w:t>
      </w:r>
      <w:r>
        <w:t xml:space="preserve"> De acuerdo con el artículo 89, apartado 1, punto 4, el conductor y el pasajero deberán llevar un casco homologado mientras la moto de nieve esté en movimiento, a menos que se lo impidan una enfermedad o lesión u otra razón particular. Se añadirá la indicación de moto de nieve pesada al apartado y, en virtud del ámbito de aplicación de la Ley sobre circulación vial, la disposición se aplicará al uso de motos de nieve pesadas en vías para motos de nieve.</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Artículo 91</w:t>
      </w:r>
      <w:r>
        <w:t xml:space="preserve"> </w:t>
      </w:r>
      <w:r>
        <w:rPr>
          <w:i/>
        </w:rPr>
        <w:t>Uso de vehículos todoterreno</w:t>
      </w:r>
      <w:r>
        <w:t>. De acuerdo con el artículo 91 de la actual Ley sobre circulación vial, los vehículos todoterreno no podrán usarse en las carreteras. De acuerdo con este artículo, el uso de motos de nieve en vías para motos de nieve se prevé por separado. Además, este artículo establece que la autoridad emitirá un decreto del Gobierno para regular el uso menor de trineos motorizados y otros vehículos todoterreno equipados con ruedas en zonas distintas a las vías para motos de nieve. El artículo se modificará mediante la adición de una indicación de las motos de nieve pesadas, y se aclarará que la Ley sobre el tráfico campo a través regula el uso de las motos de nieve y las motos de nieve pesadas en vías para motos de nieve.</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t>Disposiciones y reglamentaciones más detalladas</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El proyecto de Ley no propone un acto para disposiciones de nivel inferior, pero las modificaciones sugeridas requieren que se modifiquen los decretos y las reglamentaciones emitidos por las autoridades basadas en la autoridad de la legislación vigente.</w:t>
      </w:r>
    </w:p>
    <w:p w14:paraId="3F543EE8" w14:textId="77777777" w:rsidR="00653159" w:rsidRPr="000644E7" w:rsidRDefault="00653159" w:rsidP="00EB722D">
      <w:pPr>
        <w:ind w:left="360"/>
        <w:jc w:val="both"/>
      </w:pPr>
    </w:p>
    <w:p w14:paraId="4F92927F" w14:textId="6C9CC487" w:rsidR="00653159" w:rsidRPr="000644E7" w:rsidRDefault="00813B51" w:rsidP="004E5169">
      <w:pPr>
        <w:ind w:left="360"/>
        <w:jc w:val="both"/>
      </w:pPr>
      <w:r>
        <w:t>De conformidad con el artículo 29, apartado 1, de la Ley relativa a los vehículos, en caso necesario, un decreto del Gobierno regulará los componentes y las propiedades para limitar los impactos medioambientales y de energía de los vehículos distintos de la maquinaria motorizada que se requieren para la aprobación de los vehículos en cuestión para su uso en el tráfico, y para otros elementos similares sujetos a aprobación. Los límites de emisiones y ruido aplicables a la aprobación de dichos vehículos también se regularán mediante decreto del Gobierno.</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 xml:space="preserve">En virtud del artículo 27 </w:t>
      </w:r>
      <w:r>
        <w:rPr>
          <w:i/>
        </w:rPr>
        <w:t>bis</w:t>
      </w:r>
      <w:r>
        <w:t xml:space="preserve"> de la actual Ley relativa a los vehículos, la Agencia de Seguridad del Transporte de Finlandia proporcionará reglamentaciones técnicas más detalladas sobre la estructura y el equipamiento de las motos de nieve.</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Con arreglo al artículo 50, apartado 1, de la Ley sobre circulación vial, deberá añadirse una señal adicional a las señales de tráfico que figuran en la Ley sobre circulación vial cerca de la señal de tráfico que indique una vía para motos de nieve.</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Entrada en vigor</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Se propone que estas Leyes entren en vigor en la temporada de invierno 2018-2019.</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t xml:space="preserve">Tras la entrada en vigor de la Ley, los vehículos todoterreno considerados actualmente trineos motorizados podrán autorizarse en el registro de tráfico de vehículos si cumplen los requisitos para motos de nieve dispuestos en el artículo 16, apartado 2, de la nueva Ley relativa a los vehículos, así como los requisitos técnicos para trineos motorizados que eran aplicables en Finlandia durante o tras la puesta en servicio inicial del vehículo. Sin embargo, estos trineos motorizados actuales estarán exentos de la obligación de matriculación mencionada en el </w:t>
      </w:r>
      <w:r>
        <w:lastRenderedPageBreak/>
        <w:t>artículo 8 de la Ley relativa a los vehículos, y de la obligación de información mencionada en el artículo 64 si no se usan en vías para motos de nieve.</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Relación con la Constitución y el orden de las disposiciones</w:t>
      </w:r>
    </w:p>
    <w:p w14:paraId="1DA29576" w14:textId="4E85B8D8" w:rsidR="006108CF" w:rsidRPr="000644E7" w:rsidRDefault="006108CF" w:rsidP="005C6F40">
      <w:pPr>
        <w:keepNext/>
        <w:ind w:left="360"/>
        <w:jc w:val="both"/>
      </w:pPr>
    </w:p>
    <w:p w14:paraId="247BACB8" w14:textId="3E10690C" w:rsidR="00E1252D" w:rsidRPr="000644E7" w:rsidRDefault="006108CF" w:rsidP="00AE1E7A">
      <w:pPr>
        <w:ind w:left="360"/>
        <w:jc w:val="both"/>
      </w:pPr>
      <w:r>
        <w:t>El proyecto de Ley propone que se conceda al operador de la vía para motos de nieve el derecho a usar motos de nieve pesadas en su vía para motos de nieve sin el consentimiento del propietario del terreno. La vía para motos de nieve puede haberse establecido sobre la base de un plan de vía legal, ya sea por los editores de la vía o por un acuerdo escrito entre el propietario y el operador de la vía. En este sentido, la propuesta debería examinarse desde el punto de vista del artículo 15, apartado 1, disposición relativa a la protección de la propiedad, de la Constitución. De acuerdo con la práctica de declaración del Comité de la Constitución (por ejemplo, PeVL 38/1998 vp, PeVL 49/2002 vp, PeVL 6/2010 vp), la protección de la propiedad cubre características tales como la libertad básica de los propietarios de usar su propiedad. Sin embargo, los derechos de los propietarios podrán limitarse mediante un acto que cumpla los requisitos de un acto que restrinja los derechos básicos, incluido el requisito de proporcionalidad. El artículo 15, apartado 1, de la Constitución no obliga</w:t>
      </w:r>
      <w:r w:rsidR="00AE1E7A">
        <w:t xml:space="preserve"> </w:t>
      </w:r>
      <w:r w:rsidR="00E1252D">
        <w:t>a indemnizar al propietario por cualquier restricción de uso ni a indemnizarlo íntegramente cuando se le concede una compensación, pero la compensación por una restricción de uso de la propiedad es un factor parcial que afecta a la evaluación total y que se tiene en cuenta cuando se examina si la restricción de uso de la propiedad está permitida en virtud de la protección constitucional de la propiedad (véase PeVL 38/1998 vp, p.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t>La propuesta no sugiere modificaciones al establecimiento de vías para motos de nieve y no concede a los operadores de las vías la autoridad de adaptar las vías para motos de nieve a las necesidades de las motos de nieve pesadas. Las motos de nieve pesadas únicamente estarán permitidas para las vías donde el operador haya estimado que las estructuras son adecuadas para las motos de nieve pesadas. Así, solo se otorgará el derecho al operador de la vía de estimar la idoneidad de la vía existente para las motos de nieve pesadas. De acuerdo con el artículo 19, apartado 2, de la Ley sobre el tráfico campo a través, el operador de la vía, sin embargo, tendrá el derecho de retirar los árboles, arbustos y otros obstáculos naturales menores que puedan tener un efecto adverso en la circulación en la vía. No obstante, el propietario del terreno podría solicitar una nueva edición de vía para conceder una compensación adicional al propietario en virtud del artículo 7, apartado 3, de la Ley de ocio al aire libre aplicada en virtud del artículo 17, apartado 2, de la Ley sobre el tráfico campo a través. Dado que no se estima que permitir el uso de motos de nieve más grandes en las vías para las motos de nieve limitará la libertad de los propietarios de los terrenos de utilizar sus propiedades en mayor medida que el establecimiento de vías para motos de nieve, y dado que los propietarios de los terrenos podrán solicitar una compensación adicional si los efectos adversos causados por el uso de la vía son considerablemente mayores de lo estimado sobre la base de los datos disponibles en la edición original de la ruta, se ha considerado durante los preparativos que la sugerencia cumple la disposición constitucional sobre la protección de la propiedad.</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En virtud de lo anterior, se presentarán al Parlamento los presentes proyectos de Leyes para su aprobación:</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Proyectos de Leyes</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Ley</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 xml:space="preserve">por la que se actualizan los artículos 16 y 64 </w:t>
      </w:r>
      <w:r>
        <w:rPr>
          <w:rFonts w:ascii="Times New Roman" w:hAnsi="Times New Roman"/>
          <w:i/>
          <w:color w:val="auto"/>
          <w:sz w:val="24"/>
        </w:rPr>
        <w:t>bis</w:t>
      </w:r>
      <w:r>
        <w:rPr>
          <w:rFonts w:ascii="Times New Roman" w:hAnsi="Times New Roman"/>
          <w:color w:val="auto"/>
          <w:sz w:val="24"/>
        </w:rPr>
        <w:t xml:space="preserve"> de la Ley relativa a los vehículos</w:t>
      </w:r>
      <w:bookmarkEnd w:id="5"/>
    </w:p>
    <w:p w14:paraId="5C3A9AE6" w14:textId="77777777" w:rsidR="00A32B4A" w:rsidRPr="000644E7" w:rsidRDefault="00A32B4A" w:rsidP="00353EDC">
      <w:pPr>
        <w:jc w:val="both"/>
      </w:pPr>
    </w:p>
    <w:p w14:paraId="4F554C89" w14:textId="77777777" w:rsidR="00A32B4A" w:rsidRPr="000644E7" w:rsidRDefault="00753AE8" w:rsidP="00353EDC">
      <w:pPr>
        <w:jc w:val="both"/>
      </w:pPr>
      <w:r>
        <w:t>De conformidad con la decisión del Parlamento,</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xml:space="preserve">el artículo 16, apartado 2, y el artículo 64 </w:t>
      </w:r>
      <w:r>
        <w:rPr>
          <w:i/>
        </w:rPr>
        <w:t>bis</w:t>
      </w:r>
      <w:r>
        <w:t xml:space="preserve">, apartado 1, de la Ley (1090/2002) relativa a los vehículos, según aparecen en el artículo 64 </w:t>
      </w:r>
      <w:r>
        <w:rPr>
          <w:i/>
        </w:rPr>
        <w:t>bis</w:t>
      </w:r>
      <w:r>
        <w:t xml:space="preserve">, apartado 1, de la Ley (1609/2015), se </w:t>
      </w:r>
      <w:r>
        <w:rPr>
          <w:i/>
        </w:rPr>
        <w:t>modifican</w:t>
      </w:r>
      <w:r>
        <w:t xml:space="preserve"> como sigue:</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Artículo 16</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Vehículos todoterreno</w:t>
      </w:r>
    </w:p>
    <w:p w14:paraId="08E9E248" w14:textId="77777777" w:rsidR="00A32B4A" w:rsidRPr="000644E7" w:rsidRDefault="00A32B4A" w:rsidP="00353EDC">
      <w:pPr>
        <w:jc w:val="both"/>
      </w:pPr>
    </w:p>
    <w:p w14:paraId="0F9AA6FF" w14:textId="2B826B5A" w:rsidR="00753AE8" w:rsidRPr="000644E7" w:rsidRDefault="00A32B4A" w:rsidP="00353EDC">
      <w:pPr>
        <w:jc w:val="both"/>
      </w:pPr>
      <w:r>
        <w:t>— — — — — — — — — — — — — — — — — — — — — — — — — — — — — — —</w:t>
      </w:r>
      <w:r>
        <w:br/>
      </w:r>
      <w:r>
        <w:rPr>
          <w:i/>
        </w:rPr>
        <w:t>Un trineo motorizado</w:t>
      </w:r>
      <w:r>
        <w:t xml:space="preserve"> es un vehículo todotorreno equipado con patines o rieles. </w:t>
      </w:r>
      <w:r>
        <w:rPr>
          <w:i/>
        </w:rPr>
        <w:t>Una moto de nieve</w:t>
      </w:r>
      <w:r>
        <w:t xml:space="preserve"> es un trineo motorizado equipado con rieles, que tiene asientos para no más de dos personas además del conductor, y cuya masa sin carga no excede de 0,5 toneladas. </w:t>
      </w:r>
      <w:r>
        <w:rPr>
          <w:i/>
        </w:rPr>
        <w:t>Una moto de nieve pesada</w:t>
      </w:r>
      <w:r>
        <w:t xml:space="preserve"> es un trineo motorizado equipado con rieles, que tiene asientos para no más de cuatro personas además del conductor, y cuya masa sin carga supera las 0,5 toneladas, pero no supera las 0,8 toneladas.</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 xml:space="preserve">Artículo 64 </w:t>
      </w:r>
      <w:r>
        <w:rPr>
          <w:i/>
        </w:rPr>
        <w:t>bis</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t>Exenciones de la obligación de matriculación</w:t>
      </w:r>
    </w:p>
    <w:p w14:paraId="02D4E1CE" w14:textId="77777777" w:rsidR="00C10AA8" w:rsidRPr="000644E7" w:rsidRDefault="00C10AA8" w:rsidP="00C10AA8"/>
    <w:p w14:paraId="3BE756BB" w14:textId="77777777" w:rsidR="00C10AA8" w:rsidRPr="000644E7" w:rsidRDefault="00C10AA8" w:rsidP="00C10AA8">
      <w:r>
        <w:t>La obligación de matriculación prevista en el artículo 8 anterior y la obligación de notificación prevista en el artículo 64 no se aplicarán:</w:t>
      </w:r>
    </w:p>
    <w:p w14:paraId="34F714EF" w14:textId="77777777" w:rsidR="00C10AA8" w:rsidRPr="000644E7" w:rsidRDefault="00C10AA8" w:rsidP="00C10AA8"/>
    <w:p w14:paraId="208DC489" w14:textId="7CD1C812" w:rsidR="00C10AA8" w:rsidRPr="000644E7" w:rsidRDefault="00C10AA8" w:rsidP="008E4E6C">
      <w:r>
        <w:t>1) a los vehículos todoterreno que no sean motos de nieve o motos de nieve pesadas usadas en vías para motos de nieve;</w:t>
      </w:r>
    </w:p>
    <w:p w14:paraId="79B984F9" w14:textId="7D09CA55" w:rsidR="002A0C26" w:rsidRPr="000644E7" w:rsidRDefault="00C10AA8" w:rsidP="00C10AA8">
      <w:pPr>
        <w:jc w:val="both"/>
      </w:pPr>
      <w:r>
        <w:t>— — — — — — — — — — — — — — — — — — — — — — — — — — — — — — —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La presente Ley entrará en vigor el [día] de [mes] de 20.</w:t>
      </w:r>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Ley</w:t>
      </w:r>
    </w:p>
    <w:p w14:paraId="1FFDCCE6" w14:textId="1BA90763" w:rsidR="00CA190A" w:rsidRPr="000644E7" w:rsidRDefault="00CA190A" w:rsidP="00A62669">
      <w:pPr>
        <w:keepNext/>
        <w:keepLines/>
        <w:spacing w:before="200"/>
        <w:jc w:val="center"/>
        <w:outlineLvl w:val="1"/>
        <w:rPr>
          <w:rFonts w:eastAsiaTheme="majorEastAsia"/>
          <w:b/>
          <w:bCs/>
        </w:rPr>
      </w:pPr>
      <w:r>
        <w:rPr>
          <w:rFonts w:eastAsiaTheme="majorEastAsia"/>
          <w:b/>
        </w:rPr>
        <w:t>por la que se modifica el artículo 4 la Ley sobre el permiso de conducción</w:t>
      </w:r>
    </w:p>
    <w:p w14:paraId="66AA4ED2" w14:textId="77777777" w:rsidR="00CA190A" w:rsidRPr="000644E7" w:rsidRDefault="00CA190A" w:rsidP="00CA190A">
      <w:pPr>
        <w:jc w:val="both"/>
      </w:pPr>
    </w:p>
    <w:p w14:paraId="2E9EC221" w14:textId="77777777" w:rsidR="00CA190A" w:rsidRPr="000644E7" w:rsidRDefault="00CA190A" w:rsidP="00CA190A">
      <w:pPr>
        <w:jc w:val="both"/>
      </w:pPr>
      <w:r>
        <w:t>De conformidad con la decisión del Parlamento,</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el artículo 4, apartado 1, punto 7, de la Ley (386/2011) sobre el permiso de conducción, según aparece en la Ley 387/2018, se </w:t>
      </w:r>
      <w:r>
        <w:rPr>
          <w:i/>
        </w:rPr>
        <w:t>modifica</w:t>
      </w:r>
      <w:r>
        <w:t xml:space="preserve"> como sigue:</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Artículo 4</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Categorías de permiso de conducción</w:t>
      </w:r>
    </w:p>
    <w:p w14:paraId="1612D507" w14:textId="56575E06" w:rsidR="00CA190A" w:rsidRPr="000644E7" w:rsidRDefault="0012058C" w:rsidP="00CA190A">
      <w:pPr>
        <w:jc w:val="both"/>
      </w:pPr>
      <w:r>
        <w:t>Las categorías de permiso de conducción del grupo 1 son las siguientes:</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7) T, que incluye los tractores con una velocidad estructural máxima de 60 kilómetros por hora, la maquinaria motorizada, las motos de nieve y las motos de nieve pesadas, así como sus vehículos remolcables, excepto los tractores mencionados en el apartado 1, letra b).</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La presente Ley entrará en vigor el [día] de [mes] de 20.</w:t>
      </w:r>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Ley</w:t>
      </w:r>
    </w:p>
    <w:p w14:paraId="5DA2FF4E" w14:textId="6A4E596E" w:rsidR="00CA190A" w:rsidRPr="000644E7" w:rsidRDefault="00CA190A" w:rsidP="00A62669">
      <w:pPr>
        <w:keepNext/>
        <w:keepLines/>
        <w:spacing w:before="200"/>
        <w:jc w:val="center"/>
        <w:outlineLvl w:val="1"/>
        <w:rPr>
          <w:rFonts w:eastAsiaTheme="majorEastAsia"/>
          <w:b/>
          <w:bCs/>
        </w:rPr>
      </w:pPr>
      <w:r>
        <w:rPr>
          <w:rFonts w:eastAsiaTheme="majorEastAsia"/>
          <w:b/>
        </w:rPr>
        <w:t>por la que se actualizan los artículos 3 y 13 de la Ley sobre el tráfico campo a través</w:t>
      </w:r>
    </w:p>
    <w:p w14:paraId="5129399D" w14:textId="77777777" w:rsidR="00CA190A" w:rsidRPr="000644E7" w:rsidRDefault="00CA190A" w:rsidP="00CA190A">
      <w:pPr>
        <w:jc w:val="both"/>
      </w:pPr>
    </w:p>
    <w:p w14:paraId="3594138D" w14:textId="77777777" w:rsidR="00CA190A" w:rsidRPr="000644E7" w:rsidRDefault="00CA190A" w:rsidP="00CA190A">
      <w:pPr>
        <w:jc w:val="both"/>
      </w:pPr>
      <w:r>
        <w:t>De conformidad con la decisión del Parlamento,</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xml:space="preserve">el artículo 3, apartado 1, punto 1, y el artículo 13, apartado 1, de la Ley (1710/1995) sobre el tráfico campo a través, según aparecen en parte en el artículo 13 de la Ley 572/2014, se </w:t>
      </w:r>
      <w:r>
        <w:rPr>
          <w:i/>
        </w:rPr>
        <w:t>modifican</w:t>
      </w:r>
      <w:r>
        <w:t xml:space="preserve"> como sigue:</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Artículo 3</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Definiciones</w:t>
      </w:r>
    </w:p>
    <w:p w14:paraId="5A41B291" w14:textId="31C1CBE2" w:rsidR="00CA190A" w:rsidRPr="000644E7" w:rsidRDefault="008A44D3" w:rsidP="00CA190A">
      <w:pPr>
        <w:jc w:val="both"/>
      </w:pPr>
      <w:r>
        <w:t>A efectos de la presente Ley, se aplicarán las definiciones siguientes:</w:t>
      </w:r>
    </w:p>
    <w:p w14:paraId="256C4051" w14:textId="57DA5316" w:rsidR="005409DD" w:rsidRPr="000644E7" w:rsidRDefault="00B20739" w:rsidP="00B20739">
      <w:pPr>
        <w:pStyle w:val="ListParagraph"/>
        <w:numPr>
          <w:ilvl w:val="0"/>
          <w:numId w:val="34"/>
        </w:numPr>
        <w:jc w:val="both"/>
      </w:pPr>
      <w:r>
        <w:t>un vehículo de motor se referirá a un vehículo mencionado en el artículo 3, apartado 1, punto 2, de la Ley (1090/2002) relativa a los vehículos; y</w:t>
      </w:r>
    </w:p>
    <w:p w14:paraId="42BD77C9" w14:textId="28C37891" w:rsidR="00B20739" w:rsidRPr="000644E7" w:rsidRDefault="00B20739" w:rsidP="00B20739">
      <w:pPr>
        <w:ind w:left="360"/>
        <w:jc w:val="both"/>
      </w:pPr>
      <w:r>
        <w:t>— — — — — — — — — — — — — — — — — — — — — — — — — — —</w:t>
      </w:r>
      <w:r w:rsidR="004E4102">
        <w:t xml:space="preserve"> — — — — </w:t>
      </w:r>
    </w:p>
    <w:p w14:paraId="310F03E4" w14:textId="77777777" w:rsidR="005409DD" w:rsidRPr="000644E7" w:rsidRDefault="005409DD" w:rsidP="00CA190A">
      <w:pPr>
        <w:jc w:val="both"/>
      </w:pPr>
    </w:p>
    <w:p w14:paraId="2815190C" w14:textId="77777777" w:rsidR="005409DD" w:rsidRPr="000644E7" w:rsidRDefault="005409DD" w:rsidP="005409DD">
      <w:pPr>
        <w:jc w:val="center"/>
      </w:pPr>
      <w:r>
        <w:t>Artículo 13</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Vía para motos de nieve</w:t>
      </w:r>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Según se dispone en la presente Ley, podrá establecerse un derecho general a conducir motos de nieve fuera de la carretera, según lo dispuesto en la Ley, mediante la indicación de una vía separada (vía para motos de nieve) cuando hay una capa de nieve. Las motos de nieve pesadas mencionadas en el artículo 16, apartado 2, de la Ley (1090/2002) relativa a los vehículos podrán conducirse únicamente en vías para motos de nieve adecuadas a tal fin. Los operadores de vías mencionados en el artículo 14 realizarán la evaluación de la idoneidad de una vía para motos de nieve para el tráfico de motos de nieve pesadas. El derecho a conducir motos de nieve pesadas en vías para motos de nieve se indicará por medio de una señal adicional colocada junto con la señal de tráfico de vías para motos de nieve.</w:t>
      </w:r>
    </w:p>
    <w:p w14:paraId="1C909321" w14:textId="77777777" w:rsidR="007237B5" w:rsidRPr="000644E7" w:rsidRDefault="007237B5" w:rsidP="00CA190A">
      <w:pPr>
        <w:jc w:val="both"/>
      </w:pPr>
    </w:p>
    <w:p w14:paraId="7169080A" w14:textId="3F38FFBF" w:rsidR="002B6735" w:rsidRPr="000644E7" w:rsidRDefault="009631F8" w:rsidP="00CA190A">
      <w:pPr>
        <w:jc w:val="both"/>
      </w:pPr>
      <w:r>
        <w:t>La presente Ley entrará en vigor el [día] de [mes] de 20.</w:t>
      </w:r>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Ley</w:t>
      </w:r>
    </w:p>
    <w:p w14:paraId="0FE17E20" w14:textId="345BE9C2" w:rsidR="00CA190A" w:rsidRPr="000644E7" w:rsidRDefault="00CA190A" w:rsidP="00A62669">
      <w:pPr>
        <w:keepNext/>
        <w:keepLines/>
        <w:spacing w:before="200"/>
        <w:jc w:val="center"/>
        <w:outlineLvl w:val="1"/>
        <w:rPr>
          <w:rFonts w:eastAsiaTheme="majorEastAsia"/>
          <w:b/>
          <w:bCs/>
        </w:rPr>
      </w:pPr>
      <w:r>
        <w:rPr>
          <w:rFonts w:eastAsiaTheme="majorEastAsia"/>
          <w:b/>
        </w:rPr>
        <w:t>por la que se actualizan los artículos 89 y 91 de la Ley sobre circulación vial</w:t>
      </w:r>
    </w:p>
    <w:p w14:paraId="58B0549C" w14:textId="77777777" w:rsidR="00CA190A" w:rsidRPr="000644E7" w:rsidRDefault="00CA190A" w:rsidP="00CA190A">
      <w:pPr>
        <w:jc w:val="both"/>
      </w:pPr>
    </w:p>
    <w:p w14:paraId="7FAACD58" w14:textId="77777777" w:rsidR="00CA190A" w:rsidRPr="000644E7" w:rsidRDefault="00CA190A" w:rsidP="00CA190A">
      <w:pPr>
        <w:jc w:val="both"/>
      </w:pPr>
      <w:r>
        <w:t>De conformidad con la decisión del Parlamento,</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 xml:space="preserve">el artículo 89, apartado 1, punto 4, y el artículo 91 de la Ley (267/1981) sobre circulación vial se </w:t>
      </w:r>
      <w:r>
        <w:rPr>
          <w:i/>
        </w:rPr>
        <w:t>modifican</w:t>
      </w:r>
      <w:r>
        <w:t xml:space="preserve"> como sigue:</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Artículo 89</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Uso de cascos</w:t>
      </w:r>
    </w:p>
    <w:p w14:paraId="527FCAA8" w14:textId="3BDAA1D4" w:rsidR="004D2A2D" w:rsidRPr="000644E7" w:rsidRDefault="004D2A2D" w:rsidP="00B20739">
      <w:pPr>
        <w:rPr>
          <w:i/>
        </w:rPr>
      </w:pPr>
    </w:p>
    <w:p w14:paraId="371ADD6D" w14:textId="65C1E305" w:rsidR="00556A0F" w:rsidRPr="000644E7" w:rsidRDefault="00556A0F" w:rsidP="00556A0F">
      <w:pPr>
        <w:jc w:val="both"/>
      </w:pPr>
      <w:r>
        <w:t>El conductor y el pasajero deberán llevar un casco homologado, a menos que se lo impidan una enfermedad o lesión u otra razón particular, cuando conduzcan:</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4) motos de nieve y motos de nieve pesadas;</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Artículo 91</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Uso de vehículos todoterreno</w:t>
      </w:r>
    </w:p>
    <w:p w14:paraId="277851DC" w14:textId="2C59F9D0" w:rsidR="00D4663E" w:rsidRPr="000644E7" w:rsidRDefault="00D4663E" w:rsidP="00BC6991">
      <w:pPr>
        <w:jc w:val="both"/>
      </w:pPr>
    </w:p>
    <w:p w14:paraId="56B3F10C" w14:textId="0FBC8213" w:rsidR="00556A0F" w:rsidRPr="000644E7" w:rsidRDefault="00A01232" w:rsidP="00BC6991">
      <w:pPr>
        <w:jc w:val="both"/>
      </w:pPr>
      <w:r>
        <w:t>Los vehículos todoterreno no podrán usarse en las carreteras. La Ley (1710/1995) sobre el tráfico campo a través regula el uso de motos de nieve y motos de nieve pesadas en vías para motos de nieve. Un decreto del Gobierno podrá regular el uso menor de trineos motorizados y otros vehículos todoterreno equipados con ruedas en zonas distintas a las vías para motos de nieve.</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La presente Ley entrará en vigor el [día] de [mes] de 20.</w:t>
      </w:r>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Anexo</w:t>
      </w:r>
      <w:bookmarkStart w:id="7" w:name="_Toc499802684"/>
      <w:bookmarkEnd w:id="6"/>
      <w:r>
        <w:rPr>
          <w:rFonts w:ascii="Times New Roman" w:hAnsi="Times New Roman"/>
          <w:b w:val="0"/>
          <w:i/>
          <w:color w:val="auto"/>
          <w:sz w:val="24"/>
        </w:rPr>
        <w:br/>
        <w:t>Textos paralelos</w:t>
      </w:r>
      <w:bookmarkEnd w:id="7"/>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Ley</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 xml:space="preserve">por la que se actualizan los artículos 16 y 64 </w:t>
      </w:r>
      <w:r>
        <w:rPr>
          <w:rFonts w:ascii="Times New Roman" w:hAnsi="Times New Roman"/>
          <w:i/>
          <w:color w:val="auto"/>
          <w:sz w:val="24"/>
        </w:rPr>
        <w:t>bis</w:t>
      </w:r>
      <w:r>
        <w:rPr>
          <w:rFonts w:ascii="Times New Roman" w:hAnsi="Times New Roman"/>
          <w:color w:val="auto"/>
          <w:sz w:val="24"/>
        </w:rPr>
        <w:t xml:space="preserve"> de la Ley relativa a los vehículos</w:t>
      </w:r>
      <w:bookmarkEnd w:id="8"/>
    </w:p>
    <w:p w14:paraId="4BF77B74" w14:textId="77777777" w:rsidR="00E040E2" w:rsidRPr="000644E7" w:rsidRDefault="00E040E2" w:rsidP="00353EDC">
      <w:pPr>
        <w:jc w:val="both"/>
      </w:pPr>
    </w:p>
    <w:p w14:paraId="7047DC24" w14:textId="77777777" w:rsidR="00E040E2" w:rsidRPr="000644E7" w:rsidRDefault="00E040E2" w:rsidP="00353EDC">
      <w:pPr>
        <w:jc w:val="both"/>
      </w:pPr>
      <w:r>
        <w:t>De conformidad con la decisión del Parlamento,</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xml:space="preserve">el artículo 16, apartado 2, y el artículo 64 </w:t>
      </w:r>
      <w:r>
        <w:rPr>
          <w:i/>
        </w:rPr>
        <w:t>bis</w:t>
      </w:r>
      <w:r>
        <w:t xml:space="preserve">, apartado 1, de la Ley (1090/2002) relativa a los vehículos, según aparecen en el artículo 64 </w:t>
      </w:r>
      <w:r>
        <w:rPr>
          <w:i/>
        </w:rPr>
        <w:t>bis</w:t>
      </w:r>
      <w:r>
        <w:t xml:space="preserve">, apartado 1, de la Ley (1609/2015), se </w:t>
      </w:r>
      <w:r>
        <w:rPr>
          <w:i/>
        </w:rPr>
        <w:t>modifican</w:t>
      </w:r>
      <w:r>
        <w:t xml:space="preserve"> como sigue:</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Ley existente</w:t>
            </w:r>
          </w:p>
        </w:tc>
        <w:tc>
          <w:tcPr>
            <w:tcW w:w="4243" w:type="dxa"/>
            <w:shd w:val="clear" w:color="auto" w:fill="auto"/>
          </w:tcPr>
          <w:p w14:paraId="781F4C2C" w14:textId="77777777" w:rsidR="00C56C1F" w:rsidRPr="000644E7" w:rsidRDefault="00C56C1F" w:rsidP="00C56C1F">
            <w:pPr>
              <w:spacing w:line="220" w:lineRule="exact"/>
              <w:rPr>
                <w:i/>
              </w:rPr>
            </w:pPr>
            <w:r>
              <w:rPr>
                <w:i/>
              </w:rPr>
              <w:t>Propuesta</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Artículo 16</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Vehículos todoterreno</w:t>
            </w:r>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rPr>
                <w:i/>
              </w:rPr>
              <w:t>Un trineo motorizado</w:t>
            </w:r>
            <w:r>
              <w:t xml:space="preserve"> es un vehículo todotorreno equipado con patines o rieles. </w:t>
            </w:r>
            <w:r>
              <w:rPr>
                <w:i/>
              </w:rPr>
              <w:t>Una moto de nieve</w:t>
            </w:r>
            <w:r>
              <w:t xml:space="preserve"> es un trineo motorizado equipado con rieles, que tiene asientos para no más de dos personas además del conductor, y cuya masa sin carga no excede de 0,5 toneladas.</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Artículo 16</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Vehículos todoterreno</w:t>
            </w:r>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rPr>
                <w:i/>
              </w:rPr>
              <w:t>Un trineo motorizado</w:t>
            </w:r>
            <w:r>
              <w:t xml:space="preserve"> es un vehículo todotorreno equipado con patines o rieles. </w:t>
            </w:r>
            <w:r>
              <w:rPr>
                <w:i/>
              </w:rPr>
              <w:t>Una moto de nieve</w:t>
            </w:r>
            <w:r>
              <w:t xml:space="preserve"> es un trineo motorizado equipado con rieles, que tiene asientos para no más de dos personas además del conductor, y cuya masa sin carga no excede de 0,5 toneladas. </w:t>
            </w:r>
            <w:r>
              <w:rPr>
                <w:i/>
                <w:sz w:val="22"/>
              </w:rPr>
              <w:t>Una moto de nieve pesada es un trineo motorizado equipado con rieles, que tiene asientos para no más de cuatro personas además del conductor, y cuya masa sin carga supera las 0,5 toneladas pero no supera las 0,8 toneladas.</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 xml:space="preserve">Artículo 64 </w:t>
            </w:r>
            <w:r>
              <w:rPr>
                <w:i/>
              </w:rPr>
              <w:t>bis</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Exenciones de la obligación de matriculación</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La obligación de matriculación prevista en el artículo 8 anterior y la obligación de notificación prevista en el artículo 64 no se aplicarán:</w:t>
            </w:r>
          </w:p>
          <w:p w14:paraId="5B946B0E" w14:textId="6F6A83E0" w:rsidR="005C6F40" w:rsidRPr="000644E7" w:rsidRDefault="005C6F40" w:rsidP="000644E7">
            <w:pPr>
              <w:spacing w:line="220" w:lineRule="exact"/>
              <w:jc w:val="both"/>
            </w:pPr>
            <w:r>
              <w:t>1) a los vehículos todoterreno que no sean vehículos para la nieve;</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02A65257" w:rsidR="005C6F40" w:rsidRPr="000644E7" w:rsidRDefault="005C6F40" w:rsidP="00AC086A">
            <w:pPr>
              <w:spacing w:line="220" w:lineRule="exact"/>
              <w:jc w:val="center"/>
            </w:pPr>
            <w:r>
              <w:t>—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 xml:space="preserve">Artículo 64 </w:t>
            </w:r>
            <w:r>
              <w:rPr>
                <w:i/>
              </w:rPr>
              <w:t>bis</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Exenciones de la obligación de matriculación</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La obligación de matriculación prevista en el artículo 8 anterior y la obligación de notificación prevista en el artículo 64 no se aplicarán:</w:t>
            </w:r>
          </w:p>
          <w:p w14:paraId="343D8AF2" w14:textId="3A4937CC" w:rsidR="005C6F40" w:rsidRPr="000644E7" w:rsidRDefault="005C6F40" w:rsidP="000644E7">
            <w:pPr>
              <w:spacing w:line="220" w:lineRule="exact"/>
              <w:jc w:val="both"/>
            </w:pPr>
            <w:r>
              <w:t xml:space="preserve">1) a los vehículos todoterreno que no sean motos de nieve </w:t>
            </w:r>
            <w:r>
              <w:rPr>
                <w:i/>
              </w:rPr>
              <w:t>o motos de nieve pesadas usadas en vías para motos de nieve;</w:t>
            </w:r>
          </w:p>
          <w:p w14:paraId="3808400E" w14:textId="77777777" w:rsidR="005C6F40" w:rsidRPr="000644E7" w:rsidRDefault="005C6F40" w:rsidP="00AC086A">
            <w:pPr>
              <w:spacing w:line="220" w:lineRule="exact"/>
              <w:jc w:val="center"/>
            </w:pPr>
          </w:p>
          <w:p w14:paraId="2F8E2045" w14:textId="41B17878" w:rsidR="005C6F40" w:rsidRPr="000644E7" w:rsidRDefault="005C6F40" w:rsidP="00AC086A">
            <w:pPr>
              <w:spacing w:line="220" w:lineRule="exact"/>
              <w:jc w:val="center"/>
            </w:pPr>
            <w:r>
              <w:t>—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Ley</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por la que se modifica el artículo 4 la Ley sobre el permiso de conducción</w:t>
      </w:r>
    </w:p>
    <w:p w14:paraId="44912FED" w14:textId="77777777" w:rsidR="00CA190A" w:rsidRPr="000644E7" w:rsidRDefault="00CA190A" w:rsidP="00CA190A">
      <w:pPr>
        <w:jc w:val="both"/>
      </w:pPr>
    </w:p>
    <w:p w14:paraId="10E868B3" w14:textId="77777777" w:rsidR="00CA190A" w:rsidRPr="000644E7" w:rsidRDefault="00CA190A" w:rsidP="00CA190A">
      <w:pPr>
        <w:jc w:val="both"/>
      </w:pPr>
      <w:r>
        <w:t>De conformidad con la decisión del Parlamento,</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el artículo 4, apartado 1, punto 7, de la Ley (386/2011) sobre el permiso de conducción, según aparece en la Ley 387/2018, se </w:t>
      </w:r>
      <w:r>
        <w:rPr>
          <w:i/>
        </w:rPr>
        <w:t>modifica</w:t>
      </w:r>
      <w:r>
        <w:t xml:space="preserve"> como sigue:</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Ley existente</w:t>
            </w:r>
          </w:p>
        </w:tc>
        <w:tc>
          <w:tcPr>
            <w:tcW w:w="4243" w:type="dxa"/>
            <w:shd w:val="clear" w:color="auto" w:fill="auto"/>
          </w:tcPr>
          <w:p w14:paraId="380E7EB2" w14:textId="77777777" w:rsidR="007D0189" w:rsidRPr="000644E7" w:rsidRDefault="007D0189" w:rsidP="00C77125">
            <w:pPr>
              <w:spacing w:line="220" w:lineRule="exact"/>
              <w:rPr>
                <w:i/>
              </w:rPr>
            </w:pPr>
            <w:r>
              <w:rPr>
                <w:i/>
              </w:rPr>
              <w:t>Propuesta</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Artículo 4</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Categorías de permiso de conducción</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Las categorías de permiso de conducción del grupo 1 son las siguientes:</w:t>
            </w:r>
          </w:p>
          <w:p w14:paraId="34354D5A" w14:textId="77777777" w:rsidR="007D0189" w:rsidRPr="000644E7" w:rsidRDefault="007D0189" w:rsidP="00C77125">
            <w:pPr>
              <w:spacing w:line="220" w:lineRule="exact"/>
            </w:pPr>
            <w:r>
              <w:rPr>
                <w:sz w:val="22"/>
              </w:rPr>
              <w:t>— — — — — — — — — — — — — —</w:t>
            </w:r>
          </w:p>
          <w:p w14:paraId="7BE557C6" w14:textId="77777777" w:rsidR="007D0189" w:rsidRDefault="007D0189" w:rsidP="001D6C94">
            <w:pPr>
              <w:spacing w:line="220" w:lineRule="exact"/>
              <w:jc w:val="both"/>
            </w:pPr>
            <w:r>
              <w:t xml:space="preserve">7) T, que incluye los tractores con una velocidad estructural máxima de 60 kilómetros por hora, la maquinaria motorizada </w:t>
            </w:r>
            <w:r>
              <w:rPr>
                <w:i/>
              </w:rPr>
              <w:t>y</w:t>
            </w:r>
            <w:r>
              <w:t xml:space="preserve"> las motos de nieve pesadas, </w:t>
            </w:r>
            <w:r>
              <w:rPr>
                <w:i/>
              </w:rPr>
              <w:t>así como</w:t>
            </w:r>
            <w:r>
              <w:t xml:space="preserve"> sus vehículos remolcables, excepto los tractores mencionados en el apartado 1, letra b).</w:t>
            </w:r>
          </w:p>
          <w:p w14:paraId="6DF5210C" w14:textId="77777777" w:rsidR="004E4102" w:rsidRPr="000644E7" w:rsidRDefault="004E4102" w:rsidP="001D6C94">
            <w:pPr>
              <w:spacing w:line="220" w:lineRule="exact"/>
              <w:jc w:val="both"/>
            </w:pP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Artículo 4</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Categorías de permiso de conducción</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Las categorías de permiso de conducción del grupo 1 son las siguientes:</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T, que incluye los tractores con una velocidad estructural máxima de 60 kilómetros por hora, la maquinaria motorizada, las motos de nieve </w:t>
            </w:r>
            <w:r>
              <w:rPr>
                <w:i/>
              </w:rPr>
              <w:t>y las motos de nieve pesadas</w:t>
            </w:r>
            <w:r>
              <w:t>, así como sus vehículos remolcables, excepto los tractores mencionados en el apartado 1, letra b).</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Ley</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por la que se actualizan los artículos 3 y 13 de la Ley sobre el tráfico campo a través</w:t>
      </w:r>
    </w:p>
    <w:p w14:paraId="37BD5E0B" w14:textId="77777777" w:rsidR="00CA190A" w:rsidRPr="000644E7" w:rsidRDefault="00CA190A" w:rsidP="00CA190A">
      <w:pPr>
        <w:jc w:val="both"/>
      </w:pPr>
    </w:p>
    <w:p w14:paraId="76CD9A4B" w14:textId="77777777" w:rsidR="00CA190A" w:rsidRPr="000644E7" w:rsidRDefault="00CA190A" w:rsidP="00CA190A">
      <w:pPr>
        <w:jc w:val="both"/>
      </w:pPr>
      <w:r>
        <w:t>De conformidad con la decisión del Parlamento,</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xml:space="preserve">el artículo 3, apartado 1, punto 1, y el artículo 13, apartado 1, de la Ley (1710/1995) sobre el tráfico campo a través, según aparecen en parte en el artículo 13 de la Ley 572/2014, se </w:t>
      </w:r>
      <w:r>
        <w:rPr>
          <w:i/>
        </w:rPr>
        <w:t>modifican</w:t>
      </w:r>
      <w:r>
        <w:t xml:space="preserve"> como sigue:</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Artículo 3</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Definiciones</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A efectos de la presente Ley, se aplicarán las definiciones siguientes:</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los vehículos de motor serán los vehículos impulsados por energía usados en la tierra o en el hielo o que penetran en la tierra o a través de hielo que no se puede utilizar en pistas; y</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Artículo 3</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Definiciones</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A efectos de la presente Ley, se aplicarán las definiciones siguientes:</w:t>
            </w:r>
          </w:p>
          <w:p w14:paraId="403C7DEB" w14:textId="77777777" w:rsidR="000019EC" w:rsidRPr="000644E7" w:rsidRDefault="000019EC" w:rsidP="000019EC">
            <w:pPr>
              <w:spacing w:line="220" w:lineRule="exact"/>
            </w:pPr>
          </w:p>
          <w:p w14:paraId="7AC984EA" w14:textId="4E44FCA5" w:rsidR="000019EC" w:rsidRPr="000644E7" w:rsidRDefault="000019EC" w:rsidP="000644E7">
            <w:pPr>
              <w:spacing w:line="220" w:lineRule="exact"/>
              <w:jc w:val="both"/>
            </w:pPr>
            <w:r>
              <w:t xml:space="preserve">1) </w:t>
            </w:r>
            <w:r w:rsidR="0055728C">
              <w:t>los</w:t>
            </w:r>
            <w:r>
              <w:t xml:space="preserve"> vehículo</w:t>
            </w:r>
            <w:r w:rsidR="0055728C">
              <w:t>s</w:t>
            </w:r>
            <w:r>
              <w:t xml:space="preserve"> de motor </w:t>
            </w:r>
            <w:r w:rsidR="0055728C">
              <w:t>serán los</w:t>
            </w:r>
            <w:r>
              <w:rPr>
                <w:i/>
              </w:rPr>
              <w:t xml:space="preserve"> vehículo</w:t>
            </w:r>
            <w:r w:rsidR="0055728C">
              <w:rPr>
                <w:i/>
              </w:rPr>
              <w:t>s</w:t>
            </w:r>
            <w:r>
              <w:rPr>
                <w:i/>
              </w:rPr>
              <w:t xml:space="preserve"> mencionado</w:t>
            </w:r>
            <w:r w:rsidR="0055728C">
              <w:rPr>
                <w:i/>
              </w:rPr>
              <w:t>s</w:t>
            </w:r>
            <w:r>
              <w:rPr>
                <w:i/>
              </w:rPr>
              <w:t xml:space="preserve"> en el artículo 3, apartado 1, punto 2, de la Ley (1090/2002) relativa a los vehículos</w:t>
            </w:r>
            <w:r>
              <w:t>; y</w:t>
            </w:r>
          </w:p>
          <w:p w14:paraId="066B533E" w14:textId="77777777" w:rsidR="000019EC" w:rsidRPr="000644E7" w:rsidRDefault="000019EC"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Artículo 13</w:t>
            </w:r>
          </w:p>
          <w:p w14:paraId="5227F378" w14:textId="77777777" w:rsidR="000019EC" w:rsidRPr="000644E7" w:rsidRDefault="000019EC" w:rsidP="000019EC">
            <w:pPr>
              <w:spacing w:after="200" w:line="276" w:lineRule="auto"/>
              <w:rPr>
                <w:i/>
              </w:rPr>
            </w:pPr>
            <w:r>
              <w:rPr>
                <w:i/>
              </w:rPr>
              <w:t>Vía para motos de nieve</w:t>
            </w:r>
          </w:p>
          <w:p w14:paraId="61B416A9" w14:textId="01CEA6F2" w:rsidR="000019EC" w:rsidRPr="000644E7" w:rsidRDefault="000019EC" w:rsidP="000644E7">
            <w:pPr>
              <w:spacing w:after="200" w:line="276" w:lineRule="auto"/>
              <w:jc w:val="both"/>
            </w:pPr>
            <w:r>
              <w:t>Según se dispone en la presente Ley, podrá establecerse un derecho general a conducir motos de nieve fuera de la carretera, según lo dispuesto en la Ley, mediante la indicación de una vía separada (vía para motos de nieve) cuando hay una capa de nieve.</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Default="005C6F40" w:rsidP="000019EC">
            <w:pPr>
              <w:spacing w:after="200" w:line="276" w:lineRule="auto"/>
            </w:pPr>
          </w:p>
          <w:p w14:paraId="7001C969" w14:textId="77777777" w:rsidR="004E4102" w:rsidRPr="000644E7" w:rsidRDefault="004E4102" w:rsidP="000019EC">
            <w:pPr>
              <w:spacing w:after="200" w:line="276" w:lineRule="auto"/>
            </w:pPr>
          </w:p>
          <w:p w14:paraId="2A07C047" w14:textId="77777777" w:rsidR="005C6F40" w:rsidRPr="000644E7" w:rsidRDefault="005C6F40" w:rsidP="000019EC">
            <w:pPr>
              <w:spacing w:after="200" w:line="276" w:lineRule="auto"/>
            </w:pPr>
          </w:p>
          <w:p w14:paraId="0668323F" w14:textId="77777777" w:rsidR="005C6F40" w:rsidRPr="000644E7" w:rsidRDefault="005C6F40" w:rsidP="000019EC">
            <w:pPr>
              <w:spacing w:after="200" w:line="276" w:lineRule="auto"/>
            </w:pPr>
          </w:p>
          <w:p w14:paraId="665C552E" w14:textId="77777777" w:rsidR="005C6F40" w:rsidRPr="000644E7" w:rsidRDefault="005C6F40" w:rsidP="000019EC">
            <w:pPr>
              <w:spacing w:after="200" w:line="276" w:lineRule="auto"/>
            </w:pPr>
          </w:p>
          <w:p w14:paraId="1A716228" w14:textId="3D338D62" w:rsidR="000019EC" w:rsidRPr="000644E7" w:rsidRDefault="005C6F40" w:rsidP="005C6F40">
            <w:pPr>
              <w:spacing w:after="200" w:line="276" w:lineRule="auto"/>
            </w:pPr>
            <w:r>
              <w:t>— — — — — — — — — — — — —</w:t>
            </w:r>
          </w:p>
        </w:tc>
        <w:tc>
          <w:tcPr>
            <w:tcW w:w="4243" w:type="dxa"/>
            <w:shd w:val="clear" w:color="auto" w:fill="auto"/>
          </w:tcPr>
          <w:p w14:paraId="51ABABF8" w14:textId="06F63BC6" w:rsidR="000019EC" w:rsidRPr="000644E7" w:rsidRDefault="000019EC" w:rsidP="00FF4EFE">
            <w:pPr>
              <w:spacing w:after="200" w:line="276" w:lineRule="auto"/>
              <w:jc w:val="center"/>
            </w:pPr>
            <w:r>
              <w:lastRenderedPageBreak/>
              <w:t>Artículo 13</w:t>
            </w:r>
          </w:p>
          <w:p w14:paraId="41F13331" w14:textId="77777777" w:rsidR="000019EC" w:rsidRPr="000644E7" w:rsidRDefault="000019EC" w:rsidP="000019EC">
            <w:pPr>
              <w:spacing w:after="200" w:line="276" w:lineRule="auto"/>
              <w:rPr>
                <w:i/>
              </w:rPr>
            </w:pPr>
            <w:r>
              <w:rPr>
                <w:i/>
              </w:rPr>
              <w:t>Vía para motos de nieve</w:t>
            </w:r>
          </w:p>
          <w:p w14:paraId="56F68BE4" w14:textId="6FE73175" w:rsidR="000019EC" w:rsidRPr="000644E7" w:rsidRDefault="00CA4E25" w:rsidP="000644E7">
            <w:pPr>
              <w:spacing w:after="200" w:line="276" w:lineRule="auto"/>
              <w:jc w:val="both"/>
            </w:pPr>
            <w:r>
              <w:t xml:space="preserve">Según se dispone en la presente Ley, podrá establecerse un derecho general a conducir motos de nieve fuera de la carretera, según lo dispuesto en la Ley, mediante la indicación de una vía separada (vía para motos de nieve) cuando hay una capa de nieve. </w:t>
            </w:r>
            <w:r>
              <w:rPr>
                <w:i/>
                <w:sz w:val="22"/>
              </w:rPr>
              <w:t xml:space="preserve">Las motos de nieve pesadas mencionadas en el artículo 16, apartado 2, de la Ley (1090/2002) relativa a los vehículos podrán conducirse únicamente en vías para motos de nieve adecuadas a tal fin. Los operadores de vías mencionados en el artículo 14 realizarán la evaluación de la idoneidad de una vía para motos de nieve para el tráfico de motos de nieve pesadas. El derecho a conducir motos de nieve pesadas en vías para motos de nieve se indicará por medio de una señal adicional colocada junto con la señal de tráfico de vías </w:t>
            </w:r>
            <w:r>
              <w:rPr>
                <w:i/>
                <w:sz w:val="22"/>
              </w:rPr>
              <w:lastRenderedPageBreak/>
              <w:t>para motos de nieve.</w:t>
            </w:r>
          </w:p>
          <w:p w14:paraId="77838319" w14:textId="11FAEDDF" w:rsidR="000019EC" w:rsidRPr="000644E7" w:rsidRDefault="00034B5D"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rFonts w:eastAsiaTheme="majorEastAsia"/>
          <w:b/>
          <w:sz w:val="30"/>
        </w:rPr>
        <w:t>Ley</w:t>
      </w:r>
    </w:p>
    <w:p w14:paraId="6F848254" w14:textId="77777777" w:rsidR="006E4849" w:rsidRPr="000644E7" w:rsidRDefault="006E4849" w:rsidP="006E4849">
      <w:pPr>
        <w:keepNext/>
        <w:keepLines/>
        <w:spacing w:before="200"/>
        <w:jc w:val="center"/>
        <w:outlineLvl w:val="1"/>
        <w:rPr>
          <w:rFonts w:eastAsiaTheme="majorEastAsia"/>
          <w:b/>
          <w:bCs/>
        </w:rPr>
      </w:pPr>
      <w:r>
        <w:rPr>
          <w:rFonts w:eastAsiaTheme="majorEastAsia"/>
          <w:b/>
        </w:rPr>
        <w:t>por la que se actualizan los artículos 89 y 91 de la Ley sobre circulación vial</w:t>
      </w:r>
    </w:p>
    <w:p w14:paraId="4988CE9F" w14:textId="77777777" w:rsidR="006E4849" w:rsidRPr="000644E7" w:rsidRDefault="006E4849" w:rsidP="006E4849">
      <w:pPr>
        <w:jc w:val="both"/>
      </w:pPr>
    </w:p>
    <w:p w14:paraId="206B7837" w14:textId="77777777" w:rsidR="006E4849" w:rsidRPr="000644E7" w:rsidRDefault="006E4849" w:rsidP="006E4849">
      <w:pPr>
        <w:jc w:val="both"/>
      </w:pPr>
      <w:r>
        <w:t>De conformidad con la decisión del Parlamento,</w:t>
      </w:r>
    </w:p>
    <w:p w14:paraId="55EF9046" w14:textId="77777777" w:rsidR="006E4849" w:rsidRPr="000644E7" w:rsidRDefault="006E4849" w:rsidP="006E4849">
      <w:pPr>
        <w:jc w:val="both"/>
      </w:pPr>
    </w:p>
    <w:p w14:paraId="627EB368" w14:textId="7DC3C609" w:rsidR="006E4849" w:rsidRPr="000644E7" w:rsidRDefault="006E4849" w:rsidP="006E4849">
      <w:pPr>
        <w:jc w:val="both"/>
      </w:pPr>
      <w:r>
        <w:t xml:space="preserve">el artículo 89, apartado 1, punto 4, y el artículo 91 de la Ley (267/1981) sobre circulación vial se </w:t>
      </w:r>
      <w:r>
        <w:rPr>
          <w:i/>
        </w:rPr>
        <w:t>modifican</w:t>
      </w:r>
      <w:r>
        <w:t xml:space="preserve"> como sigue:</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Artículo 89</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Uso de cascos</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A efectos de la presente Ley:</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Pr="000644E7" w:rsidRDefault="006E4849" w:rsidP="000644E7">
            <w:pPr>
              <w:spacing w:line="220" w:lineRule="exact"/>
              <w:jc w:val="both"/>
            </w:pPr>
            <w:r>
              <w:t>1) los vehículos de motor serán los vehículos impulsados por energía usados en la tierra o en el hielo o que penetran en la tierra o a través de hielo que no se puede utilizar en pistas; y</w:t>
            </w:r>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Artículo 89</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Uso de cascos</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El conductor y el pasajero deberán llevar un casco homologado, a menos que se lo impidan una enfermedad o lesión u otra razón particular, cuando se conduzcan:</w:t>
            </w:r>
          </w:p>
          <w:p w14:paraId="24263C67" w14:textId="2B7DB8C9" w:rsidR="005967E9" w:rsidRPr="000644E7" w:rsidRDefault="005967E9" w:rsidP="005967E9">
            <w:pPr>
              <w:spacing w:line="220" w:lineRule="exact"/>
              <w:jc w:val="center"/>
            </w:pPr>
            <w:r>
              <w:t>— — — — — — — — — — — — —</w:t>
            </w:r>
          </w:p>
          <w:p w14:paraId="69E80778" w14:textId="77777777" w:rsidR="005967E9" w:rsidRDefault="005967E9" w:rsidP="005967E9">
            <w:pPr>
              <w:spacing w:line="220" w:lineRule="exact"/>
            </w:pPr>
            <w:r>
              <w:t>4) motos de nieve y motos de nieve pesadas;</w:t>
            </w:r>
          </w:p>
          <w:p w14:paraId="0F98AB52" w14:textId="77777777" w:rsidR="004E4102" w:rsidRPr="000644E7" w:rsidRDefault="004E4102" w:rsidP="005967E9">
            <w:pPr>
              <w:spacing w:line="220" w:lineRule="exact"/>
            </w:pPr>
            <w:bookmarkStart w:id="9" w:name="_GoBack"/>
            <w:bookmarkEnd w:id="9"/>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Artículo 91</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Uso de vehículos todoterreno</w:t>
            </w:r>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Los vehículos todoterreno no podrán usarse en las carreteras. El uso de motos de nieve en vías para motos de nieve se prevé por separado. Un decreto del Gobierno podrá regular el uso menor de trineos motorizados y otros vehículos todoterreno equipados con ruedas en zonas distintas a las vías para motos de nieve.</w:t>
            </w:r>
          </w:p>
        </w:tc>
        <w:tc>
          <w:tcPr>
            <w:tcW w:w="4243" w:type="dxa"/>
            <w:shd w:val="clear" w:color="auto" w:fill="auto"/>
          </w:tcPr>
          <w:p w14:paraId="2C228680" w14:textId="253B97EA" w:rsidR="006E4849" w:rsidRPr="000644E7" w:rsidRDefault="006E4849" w:rsidP="00182B2D">
            <w:pPr>
              <w:spacing w:line="220" w:lineRule="exact"/>
              <w:jc w:val="center"/>
            </w:pPr>
            <w:r>
              <w:t>Artículo 91</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Uso de vehículos todoterreno</w:t>
            </w:r>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 xml:space="preserve">Los vehículos todoterreno no podrán usarse en las carreteras. </w:t>
            </w:r>
            <w:r>
              <w:rPr>
                <w:i/>
              </w:rPr>
              <w:t>La Ley (1710/1995) sobre el tráfico campo a través</w:t>
            </w:r>
            <w:r>
              <w:t xml:space="preserve"> regula el uso de motos de nieve y motos de nieve pesadas en vías para motos de nieve. Un decreto del Gobierno podrá regular el uso menor de trineos motorizados y otros vehículos todoterreno equipados con ruedas en zonas distintas a las vías para motos de nieve.</w:t>
            </w:r>
          </w:p>
        </w:tc>
      </w:tr>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4E4102">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doNotHyphenateCap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6A"/>
    <w:rsid w:val="0000125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6D67"/>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41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5728C"/>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1E7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22C2"/>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A1D"/>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8E9F3"/>
  <w15:docId w15:val="{6559391B-C295-49C5-B9A1-A5099B97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s-ES"/>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s-ES"/>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s-ES"/>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s-ES"/>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s-ES"/>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s-ES"/>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s-ES"/>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s-ES"/>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2.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4.xml><?xml version="1.0" encoding="utf-8"?>
<ds:datastoreItem xmlns:ds="http://schemas.openxmlformats.org/officeDocument/2006/customXml" ds:itemID="{EF1ACE67-8D08-4439-AB95-2AA7FF95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2326</TotalTime>
  <Pages>25</Pages>
  <Words>9946</Words>
  <Characters>56694</Characters>
  <Application>Microsoft Office Word</Application>
  <DocSecurity>0</DocSecurity>
  <Lines>472</Lines>
  <Paragraphs>133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66507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12</cp:revision>
  <cp:lastPrinted>2018-07-03T07:30:00Z</cp:lastPrinted>
  <dcterms:created xsi:type="dcterms:W3CDTF">2018-06-19T10:40:00Z</dcterms:created>
  <dcterms:modified xsi:type="dcterms:W3CDTF">2018-07-27T05:38:00Z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