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STATUTI TAL-FINLANDJA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Ippubblikati f’Helsinki fil-31 ta’ Diċembru 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Att</w:t>
      </w:r>
    </w:p>
    <w:p w14:paraId="3582A5CE" w14:textId="77777777" w:rsidR="00C50A56" w:rsidRDefault="00BC30A1">
      <w:pPr>
        <w:pStyle w:val="Heading1"/>
        <w:spacing w:before="34"/>
      </w:pPr>
      <w:r>
        <w:t>li jemenda l-§§ 89 u 91 tal-Liġi dwar it-Traffiku fit-Toroq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Skont id-deċiżjoni tal-Parlament,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il-§ 89(1)(4) u l-§ 91 tal-Liġi dwar it-Traffiku tat-Triq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kif jidhru fil-§ 89(1)(4) tal-Att 1610/2015 u l-§ 91 tal-Att 1091/2002, għandhom ikunu </w:t>
      </w:r>
      <w:r>
        <w:rPr>
          <w:i/>
        </w:rPr>
        <w:t>emendati</w:t>
      </w:r>
      <w:r>
        <w:t xml:space="preserve"> kif ġej: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§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Użu ta’ elmi protettivi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Is-sewwieq u l-passiġġier għandhom jilbsu elmu protettiv approvat skont it-tip sakemm il-marda jew korriment tagħhom jew raġuni partikolari oħra ma tħallihomx milli jagħmlu hekk, waqt li jsuqu: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slitti ta’ fuq il-borra u slitti ta’ fuq il-borra tqal;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§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Użu ta’ vetturi off-road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Vetturi off-road ma jistgħux jintużaw fit-triq. L-Att dwar it-Traffiku bejn il-Pajjiżi (1710/1995) jipprovdi għall-użu ta’ slitti ta’ fuq il-borra u slitti ta’ fuq il-borra tqal fuq rotot tal-islitti ta’ fuq il-borra. Digriet tal-gvern jista’ jipprovdi għall-użu minuri ta’ slitti bil-mutur u vetturi off-road oħrajn mgħammra b’roti f’żoni li mhumiex rotot tal-islitti ta’ fuq il-borra.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Dan l-Att għandu jidħol fis-seħħ fil-31 ta’ Diċembru 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Helsinki, 28 ta’ Diċembru 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D11542">
      <w:pPr>
        <w:pStyle w:val="Heading1"/>
        <w:spacing w:line="369" w:lineRule="auto"/>
        <w:ind w:left="3295" w:right="2596"/>
      </w:pPr>
      <w:r>
        <w:t>Il-President tar-Repubblika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 w:rsidP="00D11542">
      <w:pPr>
        <w:pStyle w:val="BodyText"/>
        <w:ind w:left="3402"/>
      </w:pPr>
      <w:r>
        <w:t>Il-Ministru tat-Trasport u l-Komunikazzjoni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D11542">
      <w:pPr>
        <w:spacing w:before="113" w:line="208" w:lineRule="auto"/>
        <w:ind w:left="445" w:right="4864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D1154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PUBBLIKATUR: MINISTERU TAL-ĠUSTIZZJA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C30A1"/>
    <w:rsid w:val="00C50A56"/>
    <w:rsid w:val="00D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