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123" w:rsidRPr="00D43E96" w:rsidRDefault="00485123" w:rsidP="00485123">
      <w:pPr>
        <w:jc w:val="center"/>
        <w:rPr>
          <w:rFonts w:ascii="Courier New" w:hAnsi="Courier New"/>
          <w:sz w:val="20"/>
          <w:lang w:val="de-DE"/>
        </w:rPr>
      </w:pPr>
      <w:bookmarkStart w:id="0" w:name="_Hlk62225604"/>
      <w:bookmarkStart w:id="1" w:name="_GoBack"/>
      <w:bookmarkEnd w:id="1"/>
      <w:r w:rsidRPr="00D43E96">
        <w:rPr>
          <w:rFonts w:ascii="Courier New" w:hAnsi="Courier New"/>
          <w:sz w:val="20"/>
          <w:lang w:val="de-DE"/>
        </w:rPr>
        <w:t>1. ------IND- 2021 0077 D-- EN- ------ 20210307 --- --- PROJET</w:t>
      </w:r>
      <w:bookmarkEnd w:id="0"/>
    </w:p>
    <w:p w:rsidR="002C527A" w:rsidRPr="00D43E96" w:rsidRDefault="002C527A" w:rsidP="002C527A">
      <w:pPr>
        <w:pStyle w:val="VorblattDokumentstatus"/>
        <w:rPr>
          <w:lang w:val="de-DE"/>
        </w:rPr>
      </w:pPr>
      <w:r w:rsidRPr="00D43E96">
        <w:rPr>
          <w:lang w:val="de-DE"/>
        </w:rPr>
        <w:t>Draft Bill</w:t>
      </w:r>
    </w:p>
    <w:p w:rsidR="002C527A" w:rsidRPr="00AE0058" w:rsidRDefault="002C527A" w:rsidP="00E46289">
      <w:pPr>
        <w:pStyle w:val="Initiant"/>
        <w:suppressAutoHyphens/>
      </w:pPr>
      <w:r>
        <w:t>of the Federal Ministry of the Environment, Nature Conservation and Nuclear Safety</w:t>
      </w:r>
    </w:p>
    <w:p w:rsidR="002C527A" w:rsidRPr="00AE0058" w:rsidRDefault="002C527A" w:rsidP="00E46289">
      <w:pPr>
        <w:pStyle w:val="VorblattBezeichnung"/>
        <w:suppressAutoHyphens/>
      </w:pPr>
      <w:r>
        <w:t>Draft of the First Act amending the Environmental Statistics Act (UStatG) and other Acts</w:t>
      </w:r>
    </w:p>
    <w:p w:rsidR="002C527A" w:rsidRPr="00AE0058" w:rsidRDefault="002C527A" w:rsidP="002C527A">
      <w:pPr>
        <w:pStyle w:val="VorblattTitelProblemundZiel"/>
      </w:pPr>
      <w:r>
        <w:t>A. Problem and objective</w:t>
      </w:r>
    </w:p>
    <w:p w:rsidR="002C527A" w:rsidRPr="00AE0058" w:rsidRDefault="002C527A" w:rsidP="002C527A">
      <w:pPr>
        <w:pStyle w:val="Text"/>
      </w:pPr>
      <w:r>
        <w:t xml:space="preserve">Since the last amendment of the Environmental Statistics Act [Umweltstatistikgesetz] in 2017, new or amended EU legal frameworks have come into force, requiring Member States to modify data deliveries to the EU, in some cases including new characteristics. This concerns the area of waste statistics, water management statistics and environmental economic accounts. In order to be able to meet the new reporting obligations, corresponding surveys must be arranged in the Environmental Statistics Act. </w:t>
      </w:r>
    </w:p>
    <w:p w:rsidR="004D5A7F" w:rsidRPr="00AE0058" w:rsidRDefault="004D5A7F" w:rsidP="003F5274">
      <w:pPr>
        <w:pStyle w:val="Text"/>
        <w:keepNext/>
        <w:rPr>
          <w:b/>
        </w:rPr>
      </w:pPr>
      <w:r>
        <w:rPr>
          <w:b/>
        </w:rPr>
        <w:t>Waste statistics</w:t>
      </w:r>
    </w:p>
    <w:p w:rsidR="002C527A" w:rsidRPr="00AE0058" w:rsidRDefault="002C527A" w:rsidP="003F5274">
      <w:pPr>
        <w:pStyle w:val="Text"/>
        <w:keepNext/>
      </w:pPr>
      <w:r>
        <w:t xml:space="preserve">In order to promote waste prevention, the reuse of goods or individual components once they have been produced and thus closed cycle waste management, the so-called EU Waste Package was adopted. The EU Waste Package includes </w:t>
      </w:r>
    </w:p>
    <w:p w:rsidR="002C527A" w:rsidRPr="00AE0058" w:rsidRDefault="002C527A" w:rsidP="002C527A">
      <w:pPr>
        <w:pStyle w:val="Text"/>
      </w:pPr>
      <w:r>
        <w:t xml:space="preserve">- the EU Waste Framework Directive – WFD – (Directive 2008/98/EC of the European Parliament and of the Council of 19 November 2008 on waste and repealing certain directives (OJ L 312 of 22.11.2008, p. 3), last amended by Directive (EU) 2018/851 (OJ L 150 of 14.6.2018, p. 109), </w:t>
      </w:r>
    </w:p>
    <w:p w:rsidR="002C527A" w:rsidRPr="00AE0058" w:rsidRDefault="002C527A" w:rsidP="002C527A">
      <w:pPr>
        <w:pStyle w:val="Text"/>
      </w:pPr>
      <w:r>
        <w:t>- The EU Packaging Directive (Directive 94/62/EC of the European Parliament and of the Council of 20 December 1994 on packaging and packaging waste (OJ L 365 of 31.12.1994, p 10), last amended by Directive (EU) 2018/852 (OJ L 150 of 14.6.2018, p 141) and</w:t>
      </w:r>
    </w:p>
    <w:p w:rsidR="002C527A" w:rsidRPr="00AE0058" w:rsidRDefault="002C527A" w:rsidP="002C527A">
      <w:pPr>
        <w:pStyle w:val="Text"/>
      </w:pPr>
      <w:r>
        <w:t xml:space="preserve">- The EU Landfill Directive (Directive 1999/31/EC of the European Parliament and of the Council of 26 April 1999 on the landfill of waste (OJ L 182 of 16.7.1999, p 1), last amended by Directive (EU) 2018/850 (OJ L 150 of 14.6.2018, p 100). </w:t>
      </w:r>
    </w:p>
    <w:p w:rsidR="002C527A" w:rsidRPr="00AE0058" w:rsidRDefault="002C527A" w:rsidP="002C527A">
      <w:pPr>
        <w:pStyle w:val="Text"/>
      </w:pPr>
      <w:r>
        <w:t>The amendment of the WFD by Directive (EU) 2018/851 contains numerous changes and additions concerning the reporting obligations. On this case, more extensive data deliveries are required than were previously required. For example, organic waste that is separated and recycled at the waste generation point (self-composting) is to be taken into account when calculating the recycling rate. Certain characteristics to be newly included in the catalogue of questions under Union law are already covered by the Environmental Statistics Act.</w:t>
      </w:r>
    </w:p>
    <w:p w:rsidR="002C527A" w:rsidRPr="00AE0058" w:rsidRDefault="002C527A" w:rsidP="002C527A">
      <w:pPr>
        <w:pStyle w:val="Text"/>
      </w:pPr>
      <w:r>
        <w:t xml:space="preserve">More extensive data provision will be required by the amendment to the EU Packaging Directive by Directive (EU) 2018/852, by the new Single-Use Plastics Directive (Directive (EU) 2019/904 of the European Parliament and of the Council of 5 June 2019 on the reduction of the impact of certain plastic products on the environment) (OJ L 155, 12.6.2019, p 1) and Directive (EU) 2019/883 of the European Parliament and of the Council of 17 April 2019 on port reception facilities for the delivery of waste from ships, amending Directive 2010/65/EU and repealing Directive 2000/59/EC (OJ L 151, 7.6.2019, p 116). The </w:t>
      </w:r>
      <w:r>
        <w:lastRenderedPageBreak/>
        <w:t xml:space="preserve">data is needed in order to monitor the targets set there. The implementing guidelines for monitoring the targets have been issued by the European Commission or are still being agreed upon. </w:t>
      </w:r>
    </w:p>
    <w:p w:rsidR="002C527A" w:rsidRPr="00AE0058" w:rsidRDefault="002C527A" w:rsidP="002C527A">
      <w:pPr>
        <w:pStyle w:val="Text"/>
      </w:pPr>
      <w:r>
        <w:t>In order to be able to meet the changed reporting obligations, it is necessary to arrange for additional characteristics and statistics in the Environmental Statistics Act.</w:t>
      </w:r>
    </w:p>
    <w:p w:rsidR="002C527A" w:rsidRPr="00AE0058" w:rsidRDefault="002C527A" w:rsidP="002C527A">
      <w:pPr>
        <w:pStyle w:val="Text"/>
      </w:pPr>
      <w:r>
        <w:t>In addition, thus far there has been a legal loophole when it comes to the transmission of individual data to the Federal Environment Agency (UBA), which must be closed through an amendment to the Environmental Statistics Act. In addition to emissions reporting, the UBA also uses the data from the statistics offices of the federal states and the Federal Government for other reporting obligations to the EU. It receives tables with statistical results for its calculations, even if the table fields only show a single case.</w:t>
      </w:r>
    </w:p>
    <w:p w:rsidR="00025B89" w:rsidRPr="00AE0058" w:rsidRDefault="00587703" w:rsidP="00274D4E">
      <w:pPr>
        <w:pStyle w:val="Text"/>
        <w:keepNext/>
        <w:rPr>
          <w:b/>
        </w:rPr>
      </w:pPr>
      <w:r>
        <w:rPr>
          <w:b/>
        </w:rPr>
        <w:t>Statistics on water management and climate-relevant substances</w:t>
      </w:r>
    </w:p>
    <w:p w:rsidR="00E014C9" w:rsidRPr="00AE0058" w:rsidRDefault="00E014C9" w:rsidP="002C527A">
      <w:pPr>
        <w:pStyle w:val="Text"/>
      </w:pPr>
      <w:r>
        <w:t>In the area of sewage sludge, additional information is required for reporting to the EU. This information is intended to provide a spatial designation for agricultural land that uses sewage sludge. The basis for the amendments is Regulation (EU) 2019/1010 of the European Parliament and of the Council of 5 June 2019 on the alignment of reporting obligations in the field of legislation related to the environment, and amending Regulations (EC) No 166/2006 and (EU) No 995/2010 of the European Parliament and of the Council, Directives 2002/49/EC, 2004/35/EC, 2007/2/EC, 2009/147/EC and 2010/63/EU of the European Parliament and of the Council, Council Regulations (EC) No 338/97 and (EC) No 2173/2005 and Council Directive 86/278/EEC (OJ L 170, 25.6.2019, p 115).</w:t>
      </w:r>
    </w:p>
    <w:p w:rsidR="00425352" w:rsidRPr="00AE0058" w:rsidRDefault="002C527A" w:rsidP="00425352">
      <w:r>
        <w:t>For international reporting on the effects of the use of climate-relevant substances, information on the production, import and export as well as the use of climate-relevant substances is required. As the nature of the substances used changes on a regular basis, appropriate adjustments have to be made for reporting purposes. For example, the EU F Gases Regulation (Regulation (EU) No 517/2014 of the European Parliament and of the Council of 16 April 2014 on fluorinated greenhouse gases and repealing Regulation (EC) No 842/2006 (OJ L 150, 20.5.2014, p 195)) regulates, inter alia, the ban on the use of certain substances that have a high impact on climate in stages until 2028. The reporting obligation for the collection of greenhouse gas emissions arises from Regulation (EU) No 525/2013 of the European Parliament of 21 May 2013 on a mechanism for monitoring and reporting greenhouse gas emissions and for reporting other information at national and Union level relevant to climate change and repealing Decision No 280/2004/EC (OJ L 165, 18.6.2013, p 13), as last amended by Regulation (EU) 2018/1999 (OJ L 328, 21.12.2018, p 1).</w:t>
      </w:r>
    </w:p>
    <w:p w:rsidR="00785602" w:rsidRPr="00AE0058" w:rsidRDefault="00785602" w:rsidP="003F5274">
      <w:pPr>
        <w:pStyle w:val="Text"/>
        <w:keepNext/>
        <w:rPr>
          <w:b/>
        </w:rPr>
      </w:pPr>
      <w:r>
        <w:rPr>
          <w:b/>
        </w:rPr>
        <w:t>Environmental economic accounts</w:t>
      </w:r>
    </w:p>
    <w:p w:rsidR="002C527A" w:rsidRPr="00AE0058" w:rsidRDefault="002C527A" w:rsidP="002C527A">
      <w:pPr>
        <w:pStyle w:val="Text"/>
      </w:pPr>
      <w:r>
        <w:t xml:space="preserve">Policymakers need a comprehensive and valid database to achieve efficient management of climate and environmental protection measures and for the development of a sustainable economy. The financial costs required for these measures, as well as the turnover and impact on employment resulting from the implementation of the measures, have not yet been recorded to the extent necessary to comply with European data provision obligations, in particular under Regulation (EU) No 691/2011 of the European Parliament and of the Council of 6. July 2011 on European environmental economic accounts (OJ L 192, 22.7.2011, p 11), as amended by Regulation (EU) No 538/2014 of the European Parliament and of the Council of 16 April 2014 (OJ L 158, 27.5.2014, p 113), or to serve policy objectives such as those of the European Green Deal. For example, there is a lack of data on the costs for electromobility or for measures to conserve finite resources, as well as on the turnover and impact on employment that will result from them. </w:t>
      </w:r>
    </w:p>
    <w:p w:rsidR="002C527A" w:rsidRPr="00AE0058" w:rsidRDefault="002C527A" w:rsidP="002C527A">
      <w:pPr>
        <w:pStyle w:val="Text"/>
      </w:pPr>
      <w:r>
        <w:lastRenderedPageBreak/>
        <w:t>Moreover, the climate and environmental protection measures to be taken into account for the statistics are subject to a high degree of dynamics due to technological progress and changing political priorities. Official statistics must be able to adapt the survey and the programmes on which it is based to these developments in a correspondingly timely manner in order to fulfil the European data delivery obligations, i.e. to close data gaps and to offer more rapid and comprehensive data for the monitoring of politically and ecologically relevant climate and environmental measures. The main change concerns the more flexible design of environmental economic statistics: By referring to existing environmental classifications (Classification of Environmental Protection Activities (CEPA) and Classification of Resource Management Activities (CReMA)), relevant environmental and climate protection measures can be queried without always requiring an amendment to the Environmental Statistics Act.</w:t>
      </w:r>
    </w:p>
    <w:p w:rsidR="004705E2" w:rsidRPr="00AE0058" w:rsidRDefault="004705E2" w:rsidP="00274D4E">
      <w:pPr>
        <w:pStyle w:val="VorblattTitelLsung"/>
      </w:pPr>
      <w:r>
        <w:t>B. Solution</w:t>
      </w:r>
    </w:p>
    <w:p w:rsidR="003C4E72" w:rsidRPr="00AE0058" w:rsidRDefault="003C4E72" w:rsidP="003C4E72">
      <w:pPr>
        <w:pStyle w:val="Text"/>
      </w:pPr>
      <w:r>
        <w:t>Amending the UStatG with the aim of serving the requirements of the aforementioned EU legislation (essentially the directives of the EU Waste Package, Regulation (EU) No 691/2011 on European environmental economic accounts, Regulation (EU) 2019/1010 amending the EU Sewage Sludge Directive, among others). At the same time, provisions are included to adapt to interim developments in the individual subject areas, for clarification and simplification purposes.</w:t>
      </w:r>
    </w:p>
    <w:p w:rsidR="004705E2" w:rsidRPr="00AE0058" w:rsidRDefault="004705E2">
      <w:pPr>
        <w:pStyle w:val="VorblattTitelAlternativen"/>
      </w:pPr>
      <w:r>
        <w:t>C. Alternatives</w:t>
      </w:r>
    </w:p>
    <w:p w:rsidR="004705E2" w:rsidRPr="00AE0058" w:rsidRDefault="007109CA" w:rsidP="00560469">
      <w:pPr>
        <w:pStyle w:val="Text"/>
        <w:rPr>
          <w:color w:val="000000" w:themeColor="text1"/>
        </w:rPr>
      </w:pPr>
      <w:r>
        <w:rPr>
          <w:rStyle w:val="Marker"/>
          <w:color w:val="000000" w:themeColor="text1"/>
        </w:rPr>
        <w:t>None</w:t>
      </w:r>
    </w:p>
    <w:p w:rsidR="004705E2" w:rsidRPr="00AE0058" w:rsidRDefault="004705E2" w:rsidP="00560469">
      <w:pPr>
        <w:pStyle w:val="VorblattTitelHaushaltsausgabenohneErfllungsaufwand"/>
      </w:pPr>
      <w:r>
        <w:t>D. Budgetary expenditure exclusive of compliance costs</w:t>
      </w:r>
    </w:p>
    <w:p w:rsidR="0088029F" w:rsidRPr="00AE0058" w:rsidRDefault="0088029F" w:rsidP="0088029F">
      <w:pPr>
        <w:rPr>
          <w:color w:val="000000" w:themeColor="text1"/>
        </w:rPr>
      </w:pPr>
      <w:r>
        <w:rPr>
          <w:color w:val="000000" w:themeColor="text1"/>
        </w:rPr>
        <w:t xml:space="preserve">According to a cost calculation by the Federal Statistical Office, the implementation of EU law will result in additional annual costs for 8 posts (3 × E14, 2 × E11, </w:t>
      </w:r>
      <w:r>
        <w:t>3 × E10</w:t>
      </w:r>
      <w:r>
        <w:rPr>
          <w:color w:val="000000" w:themeColor="text1"/>
        </w:rPr>
        <w:t>) with annual compliance costs of EUR 646 672</w:t>
      </w:r>
      <w:r>
        <w:t>.</w:t>
      </w:r>
      <w:r>
        <w:rPr>
          <w:color w:val="000000" w:themeColor="text1"/>
        </w:rPr>
        <w:t xml:space="preserve"> For the area of environmental economics, additional annual material costs of EUR 24 000 will be incurred. For conversion costs, the legal amendment will result in one-off material costs of EUR 329 908.</w:t>
      </w:r>
    </w:p>
    <w:p w:rsidR="006001AE" w:rsidRPr="00AE0058" w:rsidRDefault="0088029F" w:rsidP="0088029F">
      <w:pPr>
        <w:rPr>
          <w:color w:val="000000" w:themeColor="text1"/>
        </w:rPr>
      </w:pPr>
      <w:r>
        <w:rPr>
          <w:color w:val="000000" w:themeColor="text1"/>
        </w:rPr>
        <w:t>Any additional material and staffing requirements will be compensated for in individual plan 06 in terms of funds and jobs.</w:t>
      </w:r>
    </w:p>
    <w:p w:rsidR="004705E2" w:rsidRPr="00AE0058" w:rsidRDefault="00942B1E" w:rsidP="001357B0">
      <w:pPr>
        <w:pStyle w:val="Text"/>
      </w:pPr>
      <w:r>
        <w:rPr>
          <w:color w:val="000000" w:themeColor="text1"/>
        </w:rPr>
        <w:t xml:space="preserve">According to a </w:t>
      </w:r>
      <w:r>
        <w:t>preliminary</w:t>
      </w:r>
      <w:r>
        <w:rPr>
          <w:color w:val="000000" w:themeColor="text1"/>
        </w:rPr>
        <w:t xml:space="preserve"> cost calculation by the statistics offices of the federal states, additional annual costs of EUR 956 900 and one-off conversion costs of EUR 2 351 million will be incurred</w:t>
      </w:r>
      <w:r>
        <w:t>.</w:t>
      </w:r>
    </w:p>
    <w:p w:rsidR="00087852" w:rsidRPr="00AE0058" w:rsidRDefault="00087852" w:rsidP="00126C95">
      <w:pPr>
        <w:pStyle w:val="VorblattTitelErfllungsaufwand"/>
      </w:pPr>
      <w:r>
        <w:t>E. Compliance costs</w:t>
      </w:r>
    </w:p>
    <w:p w:rsidR="004705E2" w:rsidRPr="00AE0058" w:rsidRDefault="004705E2" w:rsidP="00560469">
      <w:pPr>
        <w:pStyle w:val="VorblattTitelErfllungsaufwandBrgerinnenundBrger"/>
      </w:pPr>
      <w:r>
        <w:t>E.1 Compliance costs for citizens</w:t>
      </w:r>
    </w:p>
    <w:p w:rsidR="006001AE" w:rsidRPr="00AE0058" w:rsidRDefault="006001AE" w:rsidP="001357B0">
      <w:pPr>
        <w:pStyle w:val="Text"/>
        <w:rPr>
          <w:color w:val="000000" w:themeColor="text1"/>
        </w:rPr>
      </w:pPr>
      <w:r>
        <w:t>There will not be any compliance costs for citizens.</w:t>
      </w:r>
    </w:p>
    <w:p w:rsidR="004705E2" w:rsidRPr="00AE0058" w:rsidRDefault="004705E2" w:rsidP="00560469">
      <w:pPr>
        <w:pStyle w:val="VorblattTitelErfllungsaufwandWirtschaft"/>
      </w:pPr>
      <w:r>
        <w:t>E.2 Compliance costs for businesses</w:t>
      </w:r>
    </w:p>
    <w:p w:rsidR="00D241FE" w:rsidRPr="00AE0058" w:rsidRDefault="00D241FE" w:rsidP="001357B0">
      <w:pPr>
        <w:pStyle w:val="Text"/>
        <w:rPr>
          <w:color w:val="000000" w:themeColor="text1"/>
        </w:rPr>
      </w:pPr>
      <w:r>
        <w:rPr>
          <w:color w:val="000000" w:themeColor="text1"/>
        </w:rPr>
        <w:t>For businesses, this will result in a change in annual compliance costs amounting to about EUR 858 000. These are entirely attributable to bureaucratic costs arising from obligations to inform.</w:t>
      </w:r>
    </w:p>
    <w:p w:rsidR="00327D12" w:rsidRPr="00AE0058" w:rsidRDefault="00E6535E" w:rsidP="001357B0">
      <w:pPr>
        <w:pStyle w:val="Text"/>
        <w:rPr>
          <w:color w:val="000000" w:themeColor="text1"/>
        </w:rPr>
      </w:pPr>
      <w:r>
        <w:rPr>
          <w:color w:val="000000" w:themeColor="text1"/>
        </w:rPr>
        <w:lastRenderedPageBreak/>
        <w:t xml:space="preserve">The draft Act fully transposes EU requirements into national law on a 1:1 basis. As such, no scenario in which the ‘one-in, one-out’ rule is applied to the Federal Government’s proposed legislation is justified (refer to the Cabinet decision of 25 March 2015). </w:t>
      </w:r>
    </w:p>
    <w:p w:rsidR="004705E2" w:rsidRPr="00AE0058" w:rsidRDefault="004705E2" w:rsidP="00560469">
      <w:pPr>
        <w:pStyle w:val="VorblattTitelErfllungsaufwandVerwaltung"/>
      </w:pPr>
      <w:r>
        <w:t>E.3 Compliance costs for administration</w:t>
      </w:r>
    </w:p>
    <w:p w:rsidR="00FA085B" w:rsidRPr="00AE0058" w:rsidRDefault="00FA085B" w:rsidP="001357B0">
      <w:pPr>
        <w:pStyle w:val="Text"/>
        <w:rPr>
          <w:color w:val="000000" w:themeColor="text1"/>
        </w:rPr>
      </w:pPr>
      <w:r>
        <w:rPr>
          <w:color w:val="000000" w:themeColor="text1"/>
        </w:rPr>
        <w:t>For the administration, the annual compliance costs change by about EUR 1.6 million. Of this amount, approximately EUR 650 000 is accounted for by the Federal Government and around EUR 948 000 by the federal states (including local authorities). The one-off compliance costs amount to around EUR 2.2 million, of which around EUR 357 000 is attributable to the Federal Government and around EUR 1.9 million to the federal states.</w:t>
      </w:r>
    </w:p>
    <w:p w:rsidR="004705E2" w:rsidRPr="00AE0058" w:rsidRDefault="004705E2" w:rsidP="00274D4E">
      <w:pPr>
        <w:pStyle w:val="VorblattTitelWeitereKosten"/>
      </w:pPr>
      <w:r>
        <w:t>F. Additional costs</w:t>
      </w:r>
    </w:p>
    <w:p w:rsidR="00744EBB" w:rsidRPr="00AE0058" w:rsidRDefault="00272515" w:rsidP="001357B0">
      <w:pPr>
        <w:pStyle w:val="Text"/>
        <w:rPr>
          <w:rStyle w:val="fontstyle01"/>
        </w:rPr>
      </w:pPr>
      <w:r>
        <w:rPr>
          <w:rStyle w:val="fontstyle01"/>
        </w:rPr>
        <w:t>No further costs are incurred through this Act. No impact is expected on individual prices or price levels, in particular consumer price levels.</w:t>
      </w:r>
    </w:p>
    <w:p w:rsidR="004705E2" w:rsidRPr="00AE0058" w:rsidRDefault="004705E2" w:rsidP="004705E2"/>
    <w:p w:rsidR="00AC5546" w:rsidRPr="00AE0058" w:rsidRDefault="00AC5546" w:rsidP="004705E2">
      <w:pPr>
        <w:sectPr w:rsidR="00AC5546" w:rsidRPr="00AE0058" w:rsidSect="001F550D">
          <w:headerReference w:type="default" r:id="rId8"/>
          <w:headerReference w:type="first" r:id="rId9"/>
          <w:pgSz w:w="11907" w:h="16839"/>
          <w:pgMar w:top="1134" w:right="1417" w:bottom="1134" w:left="1701" w:header="709" w:footer="709" w:gutter="0"/>
          <w:pgNumType w:start="1"/>
          <w:cols w:space="708"/>
          <w:titlePg/>
          <w:docGrid w:linePitch="360"/>
        </w:sectPr>
      </w:pPr>
    </w:p>
    <w:p w:rsidR="007366C3" w:rsidRPr="00AE0058" w:rsidRDefault="004705E2" w:rsidP="007366C3">
      <w:pPr>
        <w:pStyle w:val="Dokumentstatus"/>
      </w:pPr>
      <w:r>
        <w:lastRenderedPageBreak/>
        <w:t>Draft Bill of the Federal Ministry of the Environment, Nature Conservation and Nuclear Safety</w:t>
      </w:r>
    </w:p>
    <w:p w:rsidR="007366C3" w:rsidRPr="00AE0058" w:rsidRDefault="007366C3" w:rsidP="007366C3">
      <w:pPr>
        <w:pStyle w:val="Bezeichnungnderungsdokument"/>
      </w:pPr>
      <w:r>
        <w:t>Draft of the First Act amending the Environmental Statistics Act and other Acts</w:t>
      </w:r>
      <w:r w:rsidR="000C571F" w:rsidRPr="00AE0058">
        <w:rPr>
          <w:rStyle w:val="FootnoteReference"/>
        </w:rPr>
        <w:footnoteReference w:id="2"/>
      </w:r>
      <w:r w:rsidR="000C571F" w:rsidRPr="00AE0058">
        <w:rPr>
          <w:rStyle w:val="FootnoteReference"/>
        </w:rPr>
        <w:t>)</w:t>
      </w:r>
      <w:r>
        <w:rPr>
          <w:rStyle w:val="FootnoteReference"/>
        </w:rPr>
        <w:t>)</w:t>
      </w:r>
      <w:r>
        <w:t xml:space="preserve"> </w:t>
      </w:r>
    </w:p>
    <w:p w:rsidR="007366C3" w:rsidRPr="00AE0058" w:rsidRDefault="007366C3" w:rsidP="007366C3">
      <w:pPr>
        <w:pStyle w:val="Ausfertigungsdatumnderungsdokument"/>
      </w:pPr>
      <w:r>
        <w:t>Оf [date]</w:t>
      </w:r>
    </w:p>
    <w:p w:rsidR="007366C3" w:rsidRPr="00AE0058" w:rsidRDefault="007366C3" w:rsidP="007366C3">
      <w:pPr>
        <w:pStyle w:val="EingangsformelStandardnderungsdokument"/>
      </w:pPr>
      <w:r>
        <w:t>The Bundestag has adopted the following Act:</w:t>
      </w:r>
    </w:p>
    <w:p w:rsidR="00BA14E8" w:rsidRPr="00AE0058" w:rsidRDefault="006C07FA" w:rsidP="006C07FA">
      <w:pPr>
        <w:pStyle w:val="ArtikelBezeichner"/>
        <w:numPr>
          <w:ilvl w:val="0"/>
          <w:numId w:val="0"/>
        </w:numPr>
      </w:pPr>
      <w:r>
        <w:t>Article 1</w:t>
      </w:r>
    </w:p>
    <w:p w:rsidR="004705E2" w:rsidRPr="00AE0058" w:rsidRDefault="007109CA">
      <w:pPr>
        <w:pStyle w:val="Artikelberschrift"/>
      </w:pPr>
      <w:r>
        <w:rPr>
          <w:rStyle w:val="Marker"/>
        </w:rPr>
        <w:t>Amendment of the Environmental Statistics Act</w:t>
      </w:r>
    </w:p>
    <w:p w:rsidR="004705E2" w:rsidRPr="00AE0058" w:rsidRDefault="007109CA" w:rsidP="003F5274">
      <w:pPr>
        <w:pStyle w:val="JuristischerAbsatznichtnummeriert"/>
        <w:keepNext/>
        <w:rPr>
          <w:rStyle w:val="Marker"/>
          <w:color w:val="000000" w:themeColor="text1"/>
        </w:rPr>
      </w:pPr>
      <w:r>
        <w:rPr>
          <w:rStyle w:val="Marker"/>
          <w:color w:val="000000" w:themeColor="text1"/>
        </w:rPr>
        <w:t>The Environmental Statistics Act of 16 August 2005 (Federal Law Gazette I p. 2446), last amended by Article 2(5) of the Act of 5 July 2017 (Federal Law Gazette I p. 2234), is amended as follows:</w:t>
      </w:r>
    </w:p>
    <w:p w:rsidR="00170381" w:rsidRPr="00AE0058" w:rsidRDefault="00170381" w:rsidP="003F5274">
      <w:pPr>
        <w:pStyle w:val="NummerierungStufe1"/>
        <w:keepNext/>
      </w:pPr>
      <w:r>
        <w:t>§ 2 is amended as follows:</w:t>
      </w:r>
    </w:p>
    <w:p w:rsidR="0025139D" w:rsidRPr="00AE0058" w:rsidRDefault="0025139D" w:rsidP="003F5274">
      <w:pPr>
        <w:pStyle w:val="NummerierungStufe2"/>
        <w:keepNext/>
      </w:pPr>
      <w:r>
        <w:t>Paragraph 1 is amended as follows:</w:t>
      </w:r>
    </w:p>
    <w:p w:rsidR="00170381" w:rsidRPr="00AE0058" w:rsidRDefault="00170381" w:rsidP="003F5274">
      <w:pPr>
        <w:pStyle w:val="NummerierungStufe3"/>
        <w:keepNext/>
      </w:pPr>
      <w:r>
        <w:t>After subparagraph 3, the following subparagraph 4 is inserted:</w:t>
      </w:r>
    </w:p>
    <w:p w:rsidR="00DB4B08" w:rsidRPr="0021276C" w:rsidRDefault="00DB4B08" w:rsidP="00F803E4">
      <w:pPr>
        <w:pStyle w:val="RevisionNummerierungStufe1manuell"/>
        <w:tabs>
          <w:tab w:val="clear" w:pos="425"/>
          <w:tab w:val="left" w:pos="1776"/>
        </w:tabs>
        <w:ind w:left="1776" w:hanging="500"/>
        <w:rPr>
          <w:rStyle w:val="Marker"/>
          <w:color w:val="800000"/>
        </w:rPr>
      </w:pPr>
      <w:r>
        <w:rPr>
          <w:rStyle w:val="Marker"/>
          <w:color w:val="800000"/>
        </w:rPr>
        <w:t>‘4. the placing on the market and disposal of certain products (§ 5a),’.</w:t>
      </w:r>
    </w:p>
    <w:p w:rsidR="00170381" w:rsidRPr="00AE0058" w:rsidRDefault="00170381" w:rsidP="0025139D">
      <w:pPr>
        <w:pStyle w:val="NummerierungStufe3"/>
      </w:pPr>
      <w:r>
        <w:t>The previous subparagraphs 4 to 9 become subparagraphs 5 to 10.</w:t>
      </w:r>
    </w:p>
    <w:p w:rsidR="001239F6" w:rsidRPr="00AE0058" w:rsidRDefault="00923DB0" w:rsidP="00170381">
      <w:pPr>
        <w:pStyle w:val="NummerierungStufe2"/>
      </w:pPr>
      <w:r>
        <w:t xml:space="preserve">In paragraph 2, a comma shall be inserted after the word </w:t>
      </w:r>
      <w:r>
        <w:rPr>
          <w:rStyle w:val="RevisionText"/>
        </w:rPr>
        <w:t>‘version’</w:t>
      </w:r>
      <w:r>
        <w:t xml:space="preserve"> and the words </w:t>
      </w:r>
      <w:r>
        <w:rPr>
          <w:rStyle w:val="RevisionText"/>
        </w:rPr>
        <w:t>‘unless otherwise provided hereinafter’</w:t>
      </w:r>
      <w:r>
        <w:t xml:space="preserve"> are inserted.</w:t>
      </w:r>
    </w:p>
    <w:p w:rsidR="00FA74A3" w:rsidRPr="00AE0058" w:rsidRDefault="00D4293E" w:rsidP="003F5274">
      <w:pPr>
        <w:pStyle w:val="NummerierungStufe1"/>
        <w:keepNext/>
      </w:pPr>
      <w:r>
        <w:t>§ 3(2) is worded as follows:</w:t>
      </w:r>
    </w:p>
    <w:p w:rsidR="00A13F1E" w:rsidRPr="00AE0058" w:rsidRDefault="002B605B" w:rsidP="003F5274">
      <w:pPr>
        <w:pStyle w:val="RevisionJuristischerAbsatzmanuell"/>
        <w:keepNext/>
        <w:tabs>
          <w:tab w:val="clear" w:pos="850"/>
          <w:tab w:val="left" w:pos="1275"/>
        </w:tabs>
        <w:ind w:left="425" w:firstLine="350"/>
      </w:pPr>
      <w:r>
        <w:t>‘(2)</w:t>
      </w:r>
      <w:r>
        <w:tab/>
        <w:t>The survey shall be recorded annually for the closed cycle waste management authorities responsible under the Closed Cycle and Waste Management Act [Kreislaufwirtschaftsgesetz] and for third parties insofar as recovery and disposal obligations have been assigned to them or insofar as they have been commissioned with the fulfilment of such obligations,</w:t>
      </w:r>
    </w:p>
    <w:p w:rsidR="00A13F1E" w:rsidRPr="00AE0058" w:rsidRDefault="00A13F1E" w:rsidP="00F803E4">
      <w:pPr>
        <w:pStyle w:val="RevisionNummerierungStufe1"/>
        <w:numPr>
          <w:ilvl w:val="3"/>
          <w:numId w:val="8"/>
        </w:numPr>
        <w:tabs>
          <w:tab w:val="clear" w:pos="425"/>
          <w:tab w:val="num" w:pos="850"/>
        </w:tabs>
        <w:ind w:left="850"/>
      </w:pPr>
      <w:r>
        <w:t>the survey characteristics of collection and waste location according to type, quantity and origin; the survey characteristics are to be reported by districts and independent cities within the regional structure;</w:t>
      </w:r>
    </w:p>
    <w:p w:rsidR="00A13F1E" w:rsidRPr="00AE0058" w:rsidRDefault="00A13F1E" w:rsidP="003F5274">
      <w:pPr>
        <w:pStyle w:val="RevisionNummerierungStufe1"/>
        <w:keepNext/>
        <w:tabs>
          <w:tab w:val="clear" w:pos="425"/>
          <w:tab w:val="num" w:pos="850"/>
        </w:tabs>
        <w:ind w:left="850"/>
      </w:pPr>
      <w:r>
        <w:t>beginning with the 2020 reporting year, the number of waste generation points is to be added,</w:t>
      </w:r>
    </w:p>
    <w:p w:rsidR="00A13F1E" w:rsidRPr="00AE0058" w:rsidRDefault="00A13F1E" w:rsidP="00F803E4">
      <w:pPr>
        <w:pStyle w:val="RevisionNummerierungStufe2"/>
        <w:tabs>
          <w:tab w:val="clear" w:pos="850"/>
          <w:tab w:val="num" w:pos="1275"/>
        </w:tabs>
        <w:ind w:left="1275"/>
      </w:pPr>
      <w:r>
        <w:t>for those where organic waste is collected separately by means of an organic waste bin,</w:t>
      </w:r>
    </w:p>
    <w:p w:rsidR="00A13F1E" w:rsidRPr="00AE0058" w:rsidRDefault="00A13F1E" w:rsidP="00F803E4">
      <w:pPr>
        <w:pStyle w:val="RevisionNummerierungStufe2"/>
        <w:tabs>
          <w:tab w:val="clear" w:pos="850"/>
          <w:tab w:val="num" w:pos="1275"/>
        </w:tabs>
        <w:ind w:left="1275"/>
      </w:pPr>
      <w:r>
        <w:lastRenderedPageBreak/>
        <w:t>for those where organic waste is collected separately by means of organic waste bins and, in addition, where organic waste is self-composted,</w:t>
      </w:r>
    </w:p>
    <w:p w:rsidR="00A13F1E" w:rsidRPr="00AE0058" w:rsidRDefault="00A13F1E" w:rsidP="00F803E4">
      <w:pPr>
        <w:pStyle w:val="RevisionNummerierungStufe2"/>
        <w:tabs>
          <w:tab w:val="clear" w:pos="850"/>
          <w:tab w:val="num" w:pos="1275"/>
        </w:tabs>
        <w:ind w:left="1275"/>
      </w:pPr>
      <w:r>
        <w:t>for those where there is an obligation to connect to main services and use an organic waste bin for the separate collection of organic waste, but who are exempt from this obligation because they compost their organic waste themselves,</w:t>
      </w:r>
    </w:p>
    <w:p w:rsidR="00E740A6" w:rsidRPr="00AE0058" w:rsidRDefault="00A13F1E" w:rsidP="00F803E4">
      <w:pPr>
        <w:pStyle w:val="RevisionNummerierungStufe2"/>
        <w:tabs>
          <w:tab w:val="clear" w:pos="850"/>
          <w:tab w:val="num" w:pos="1275"/>
        </w:tabs>
        <w:ind w:left="1275"/>
      </w:pPr>
      <w:r>
        <w:t xml:space="preserve">for those where there is no obligation to connect to main services and use an organic waste bin and where there is no separate collection of organic waste by means of an organic waste bin.’ </w:t>
      </w:r>
    </w:p>
    <w:p w:rsidR="00D91352" w:rsidRPr="00AE0058" w:rsidRDefault="00647922" w:rsidP="003F5274">
      <w:pPr>
        <w:pStyle w:val="NummerierungStufe1"/>
        <w:keepNext/>
      </w:pPr>
      <w:r>
        <w:t>§ 5(2) is worded as follows:</w:t>
      </w:r>
    </w:p>
    <w:p w:rsidR="005379A9" w:rsidRPr="00AE0058" w:rsidRDefault="006A587D" w:rsidP="00F803E4">
      <w:pPr>
        <w:pStyle w:val="RevisionJuristischerAbsatzmanuell"/>
        <w:tabs>
          <w:tab w:val="clear" w:pos="850"/>
          <w:tab w:val="left" w:pos="1275"/>
        </w:tabs>
        <w:ind w:left="425" w:firstLine="350"/>
      </w:pPr>
      <w:r>
        <w:t xml:space="preserve">‘For the businesses that collect or dispose of the waste from packaging under § 15(1) sentence  1 of the Packaging Act, in its current version, and waste from single-use drinks packaging that require a deposit under § 31(1) sentence 1 of the Packaging Act, the survey shall record annually, beginning with the reporting year of 2022, the survey characteristics of type, quantity and location of the waste from this packaging.’ </w:t>
      </w:r>
    </w:p>
    <w:p w:rsidR="005A1E4A" w:rsidRPr="00AE0058" w:rsidRDefault="005A1E4A" w:rsidP="003F5274">
      <w:pPr>
        <w:pStyle w:val="NummerierungStufe1"/>
        <w:keepNext/>
      </w:pPr>
      <w:r>
        <w:t>After § 5, the following § 5a is inserted:</w:t>
      </w:r>
    </w:p>
    <w:p w:rsidR="00A7300E" w:rsidRPr="00AE0058" w:rsidRDefault="00A7300E" w:rsidP="00F803E4">
      <w:pPr>
        <w:pStyle w:val="RevisionParagraphBezeichnermanuell"/>
        <w:ind w:left="425" w:hanging="75"/>
      </w:pPr>
      <w:r>
        <w:t>‘§ 5a</w:t>
      </w:r>
    </w:p>
    <w:p w:rsidR="0011240F" w:rsidRPr="00AE0058" w:rsidRDefault="0011240F" w:rsidP="00F803E4">
      <w:pPr>
        <w:pStyle w:val="RevisionParagraphberschrift"/>
        <w:ind w:left="425"/>
      </w:pPr>
      <w:r>
        <w:rPr>
          <w:rStyle w:val="Marker"/>
          <w:color w:val="800000"/>
        </w:rPr>
        <w:t>Survey of the placing on the market and disposal of certain products</w:t>
      </w:r>
    </w:p>
    <w:p w:rsidR="0011240F" w:rsidRPr="00AE0058" w:rsidRDefault="0011240F" w:rsidP="003F5274">
      <w:pPr>
        <w:pStyle w:val="RevisionJuristischerAbsatz"/>
        <w:keepNext/>
        <w:numPr>
          <w:ilvl w:val="2"/>
          <w:numId w:val="1"/>
        </w:numPr>
        <w:tabs>
          <w:tab w:val="clear" w:pos="850"/>
          <w:tab w:val="num" w:pos="1275"/>
        </w:tabs>
        <w:ind w:left="425"/>
        <w:outlineLvl w:val="9"/>
        <w:rPr>
          <w:rStyle w:val="Marker"/>
          <w:color w:val="800000"/>
        </w:rPr>
      </w:pPr>
      <w:r>
        <w:rPr>
          <w:rStyle w:val="Marker"/>
          <w:color w:val="800000"/>
        </w:rPr>
        <w:t>The survey shall record the following survey characteristics annually, starting with the reporting year of 2022, at the Central Office in accordance with § 3(18) of the Packaging Act:</w:t>
      </w:r>
    </w:p>
    <w:p w:rsidR="0011240F" w:rsidRPr="00AE0058" w:rsidRDefault="0011240F" w:rsidP="00F803E4">
      <w:pPr>
        <w:pStyle w:val="RevisionNummerierungStufe1"/>
        <w:tabs>
          <w:tab w:val="clear" w:pos="425"/>
          <w:tab w:val="num" w:pos="850"/>
          <w:tab w:val="num" w:pos="1133"/>
        </w:tabs>
        <w:ind w:left="850"/>
        <w:rPr>
          <w:rStyle w:val="Marker"/>
          <w:color w:val="800000"/>
        </w:rPr>
      </w:pPr>
      <w:r>
        <w:rPr>
          <w:rStyle w:val="Marker"/>
          <w:color w:val="800000"/>
        </w:rPr>
        <w:t>Type of material and quantity of packaging placed on the market for the first time that is subject to system participation pursuant to § 3(8) of the Packaging Act,</w:t>
      </w:r>
    </w:p>
    <w:p w:rsidR="0011240F" w:rsidRPr="00AE0058" w:rsidRDefault="0011240F" w:rsidP="00F803E4">
      <w:pPr>
        <w:pStyle w:val="RevisionNummerierungStufe1"/>
        <w:tabs>
          <w:tab w:val="clear" w:pos="425"/>
          <w:tab w:val="num" w:pos="850"/>
          <w:tab w:val="num" w:pos="1133"/>
        </w:tabs>
        <w:ind w:left="850"/>
        <w:rPr>
          <w:rStyle w:val="Marker"/>
          <w:color w:val="800000"/>
        </w:rPr>
      </w:pPr>
      <w:r>
        <w:rPr>
          <w:rStyle w:val="Marker"/>
          <w:color w:val="800000"/>
        </w:rPr>
        <w:t>Type of material and quantity of packaging waste collected from private end consumers in accordance with § 3(11) of the Packaging Act by the systems in accordance with § 14(1) sentence 1 of the Packaging Act or taken back by the industry solutions in accordance with § 8(1) sentence 1 of the Packaging Act, as well as the location and disposal of this packaging waste, broken down by federal state.</w:t>
      </w:r>
    </w:p>
    <w:p w:rsidR="00E069C2" w:rsidRPr="00AE0058" w:rsidRDefault="00906ED6" w:rsidP="00F803E4">
      <w:pPr>
        <w:pStyle w:val="RevisionJuristischerAbsatzFolgeabsatz"/>
        <w:ind w:left="425"/>
        <w:rPr>
          <w:rStyle w:val="Marker"/>
          <w:color w:val="800000"/>
        </w:rPr>
      </w:pPr>
      <w:r>
        <w:rPr>
          <w:rStyle w:val="Marker"/>
          <w:color w:val="800000"/>
        </w:rPr>
        <w:t>The survey shall be conducted by the Federal Statistical Office.</w:t>
      </w:r>
    </w:p>
    <w:p w:rsidR="0011240F" w:rsidRPr="00AE0058" w:rsidRDefault="0011240F" w:rsidP="003F5274">
      <w:pPr>
        <w:pStyle w:val="RevisionJuristischerAbsatz"/>
        <w:keepNext/>
        <w:numPr>
          <w:ilvl w:val="2"/>
          <w:numId w:val="1"/>
        </w:numPr>
        <w:tabs>
          <w:tab w:val="clear" w:pos="850"/>
          <w:tab w:val="num" w:pos="1275"/>
        </w:tabs>
        <w:ind w:left="425"/>
        <w:outlineLvl w:val="9"/>
        <w:rPr>
          <w:rStyle w:val="Marker"/>
          <w:color w:val="800000"/>
        </w:rPr>
      </w:pPr>
      <w:r>
        <w:rPr>
          <w:rStyle w:val="Marker"/>
          <w:color w:val="800000"/>
        </w:rPr>
        <w:t xml:space="preserve">The survey shall record the following survey characteristics annually, starting with the reporting year of 2022, for those that allow the collective use of reusable packaging in accordance with § 3(3) of the Packaging Act by several businesses: </w:t>
      </w:r>
    </w:p>
    <w:p w:rsidR="0011240F" w:rsidRPr="00AE0058" w:rsidRDefault="0011240F" w:rsidP="00F803E4">
      <w:pPr>
        <w:pStyle w:val="RevisionNummerierungStufe1"/>
        <w:tabs>
          <w:tab w:val="clear" w:pos="425"/>
          <w:tab w:val="num" w:pos="850"/>
          <w:tab w:val="num" w:pos="1133"/>
        </w:tabs>
        <w:ind w:left="850"/>
      </w:pPr>
      <w:r>
        <w:t>Type and quantity of reusable packaging supplied for the first time to the participating companies,</w:t>
      </w:r>
    </w:p>
    <w:p w:rsidR="0011240F" w:rsidRPr="00AE0058" w:rsidRDefault="0011240F" w:rsidP="00F803E4">
      <w:pPr>
        <w:pStyle w:val="RevisionNummerierungStufe1"/>
        <w:tabs>
          <w:tab w:val="clear" w:pos="425"/>
          <w:tab w:val="num" w:pos="850"/>
          <w:tab w:val="num" w:pos="1133"/>
        </w:tabs>
        <w:ind w:left="850"/>
      </w:pPr>
      <w:r>
        <w:t>Type and quantity of total reusable packaging on the market,</w:t>
      </w:r>
    </w:p>
    <w:p w:rsidR="0011240F" w:rsidRPr="00AE0058" w:rsidRDefault="0011240F" w:rsidP="00F803E4">
      <w:pPr>
        <w:pStyle w:val="RevisionNummerierungStufe1"/>
        <w:tabs>
          <w:tab w:val="clear" w:pos="425"/>
          <w:tab w:val="num" w:pos="850"/>
          <w:tab w:val="num" w:pos="1133"/>
        </w:tabs>
        <w:ind w:left="850"/>
      </w:pPr>
      <w:r>
        <w:t xml:space="preserve">Number of cycles of reusable packaging, and </w:t>
      </w:r>
    </w:p>
    <w:p w:rsidR="0011240F" w:rsidRPr="0021276C" w:rsidRDefault="0011240F" w:rsidP="00F803E4">
      <w:pPr>
        <w:pStyle w:val="RevisionNummerierungStufe1"/>
        <w:tabs>
          <w:tab w:val="clear" w:pos="425"/>
          <w:tab w:val="num" w:pos="850"/>
          <w:tab w:val="num" w:pos="1133"/>
        </w:tabs>
        <w:ind w:left="850"/>
        <w:rPr>
          <w:rStyle w:val="Marker"/>
          <w:color w:val="800000"/>
        </w:rPr>
      </w:pPr>
      <w:r>
        <w:rPr>
          <w:rStyle w:val="Marker"/>
          <w:color w:val="800000"/>
        </w:rPr>
        <w:t xml:space="preserve">The type and quantity of reusable packaging discarded as waste and its location and disposal, </w:t>
      </w:r>
    </w:p>
    <w:p w:rsidR="0011240F" w:rsidRPr="0021276C" w:rsidRDefault="0011240F" w:rsidP="00F803E4">
      <w:pPr>
        <w:pStyle w:val="RevisionJuristischerAbsatzFolgeabsatz"/>
        <w:ind w:left="425"/>
        <w:rPr>
          <w:rStyle w:val="Marker"/>
          <w:color w:val="800000"/>
        </w:rPr>
      </w:pPr>
      <w:r>
        <w:rPr>
          <w:rStyle w:val="Marker"/>
          <w:color w:val="800000"/>
        </w:rPr>
        <w:lastRenderedPageBreak/>
        <w:t xml:space="preserve">in each case broken down by sales packaging within the meaning of § 3(1)(1) of the Packaging Act and other reusable packaging, where this data is available to them. </w:t>
      </w:r>
    </w:p>
    <w:p w:rsidR="0011240F" w:rsidRPr="00AE0058" w:rsidRDefault="00156BA8" w:rsidP="003F5274">
      <w:pPr>
        <w:pStyle w:val="RevisionJuristischerAbsatz"/>
        <w:keepNext/>
        <w:tabs>
          <w:tab w:val="clear" w:pos="850"/>
          <w:tab w:val="num" w:pos="1275"/>
        </w:tabs>
        <w:ind w:left="425"/>
      </w:pPr>
      <w:r>
        <w:t xml:space="preserve">The survey covers producers under § 3(14) of the Packaging Act. The survey shall be conducted as a full survey every 10 years starting with the reporting year of 2022. In the years falling in between, the survey shall be conducted annually as a stratified random sample survey, based on the results of the preceding census in terms of the size and structure of the reporting population. The survey covers the following survey characteristics: </w:t>
      </w:r>
    </w:p>
    <w:p w:rsidR="0011240F" w:rsidRPr="00AE0058" w:rsidRDefault="0011240F" w:rsidP="00F803E4">
      <w:pPr>
        <w:pStyle w:val="RevisionNummerierungStufe1"/>
        <w:tabs>
          <w:tab w:val="clear" w:pos="425"/>
          <w:tab w:val="num" w:pos="850"/>
          <w:tab w:val="num" w:pos="1133"/>
        </w:tabs>
        <w:ind w:left="850"/>
      </w:pPr>
      <w:r>
        <w:t xml:space="preserve">Type and quantity of packaging put into circulation for the first time in accordance with § 15(1) sentence 1 of the Packaging Act, with the exception of reusable packaging in accordance with § 3(3) of the Packaging Act, </w:t>
      </w:r>
    </w:p>
    <w:p w:rsidR="0011240F" w:rsidRPr="00AE0058" w:rsidRDefault="0011240F" w:rsidP="00F803E4">
      <w:pPr>
        <w:pStyle w:val="RevisionNummerierungStufe1"/>
        <w:tabs>
          <w:tab w:val="clear" w:pos="425"/>
          <w:tab w:val="num" w:pos="850"/>
          <w:tab w:val="num" w:pos="1133"/>
        </w:tabs>
        <w:ind w:left="850"/>
      </w:pPr>
      <w:r>
        <w:t>The type and quantity of packaging taken back pursuant to § 15(1) sentence 1 of the Packaging Act, with the exception of reusable packaging pursuant to § 3(3) of the Packaging Act, and its location and disposal,</w:t>
      </w:r>
    </w:p>
    <w:p w:rsidR="0011240F" w:rsidRPr="00AE0058" w:rsidRDefault="0011240F" w:rsidP="00F803E4">
      <w:pPr>
        <w:pStyle w:val="RevisionNummerierungStufe1"/>
        <w:tabs>
          <w:tab w:val="clear" w:pos="425"/>
          <w:tab w:val="num" w:pos="850"/>
          <w:tab w:val="num" w:pos="1133"/>
        </w:tabs>
        <w:ind w:left="850"/>
      </w:pPr>
      <w:r>
        <w:t>The type and quantity of reusable packaging put into circulation for the first time in accordance with § 3(3) of the Packaging Act, the type and quantity of the total reusable packaging in circulation and the number of times it has been circulated, broken down in each case into sales packaging within the meaning of § 3(1)(1) of the Packaging Act and other reusable packaging insofar as it is not recorded in accordance with paragraph 2,</w:t>
      </w:r>
    </w:p>
    <w:p w:rsidR="0011240F" w:rsidRPr="00AE0058" w:rsidRDefault="0011240F" w:rsidP="00F803E4">
      <w:pPr>
        <w:pStyle w:val="RevisionNummerierungStufe1"/>
        <w:tabs>
          <w:tab w:val="clear" w:pos="425"/>
          <w:tab w:val="num" w:pos="850"/>
          <w:tab w:val="num" w:pos="1133"/>
        </w:tabs>
        <w:ind w:left="850"/>
      </w:pPr>
      <w:r>
        <w:t>Type and quantity of reusable packaging sorted out as waste as well as its location and disposal, broken down by sales packaging and other reusable packaging insofar as it is not recorded in accordance with paragraph 2,</w:t>
      </w:r>
    </w:p>
    <w:p w:rsidR="0011240F" w:rsidRPr="00AE0058" w:rsidRDefault="0011240F" w:rsidP="00F803E4">
      <w:pPr>
        <w:pStyle w:val="RevisionNummerierungStufe1"/>
        <w:tabs>
          <w:tab w:val="clear" w:pos="425"/>
          <w:tab w:val="num" w:pos="850"/>
          <w:tab w:val="num" w:pos="1133"/>
        </w:tabs>
        <w:ind w:left="850"/>
      </w:pPr>
      <w:r>
        <w:t>Type and quantity of single-use beverage packaging placed on the market for the first time that is subject to the deposit and return obligation in accordance with § 31 of the Packaging Act and, in the case of single-use plastic beverage bottles, their recycled content as well,</w:t>
      </w:r>
    </w:p>
    <w:p w:rsidR="0011240F" w:rsidRPr="00AE0058" w:rsidRDefault="0011240F" w:rsidP="00F803E4">
      <w:pPr>
        <w:pStyle w:val="RevisionNummerierungStufe1"/>
        <w:tabs>
          <w:tab w:val="clear" w:pos="425"/>
          <w:tab w:val="num" w:pos="850"/>
          <w:tab w:val="num" w:pos="1133"/>
        </w:tabs>
        <w:ind w:left="850"/>
      </w:pPr>
      <w:r>
        <w:t xml:space="preserve">Type and quantity of single-use drinks packaging taken back which is subject to the deposit and return obligation in accordance with § 31 of the Packaging Act, as well as its location and disposal. </w:t>
      </w:r>
    </w:p>
    <w:p w:rsidR="00DC225C" w:rsidRPr="00AE0058" w:rsidRDefault="00DC225C" w:rsidP="00F803E4">
      <w:pPr>
        <w:pStyle w:val="RevisionJuristischerAbsatz"/>
        <w:tabs>
          <w:tab w:val="clear" w:pos="850"/>
          <w:tab w:val="num" w:pos="1275"/>
        </w:tabs>
        <w:ind w:left="425"/>
      </w:pPr>
      <w:r>
        <w:t>The survey shall record annually, starting with the reporting year of 2022, for the businesses producing very lightweight plastic carrier bags as defined in Article 3(1d) of Directive 94/62/EC of the European Parliament and of the Council of 20 December 1994 on packaging and packaging waste (OJ L 365, 31.12.1994, p.10), as last amended by Directive (EU) 2018/852 (OJ L 150, 14.6.2018, p 141, L 306, 30.11.2018, p 72), in its current version, the survey characteristic of quantity of very lightweight plastic carrier bags placed on the market for the first time.</w:t>
      </w:r>
    </w:p>
    <w:p w:rsidR="00B11980" w:rsidRPr="00AE0058" w:rsidRDefault="00D45480" w:rsidP="00F803E4">
      <w:pPr>
        <w:pStyle w:val="RevisionJuristischerAbsatz"/>
        <w:numPr>
          <w:ilvl w:val="2"/>
          <w:numId w:val="1"/>
        </w:numPr>
        <w:tabs>
          <w:tab w:val="clear" w:pos="850"/>
          <w:tab w:val="num" w:pos="1275"/>
        </w:tabs>
        <w:ind w:left="425"/>
        <w:outlineLvl w:val="9"/>
        <w:rPr>
          <w:rStyle w:val="Marker"/>
          <w:color w:val="800000"/>
        </w:rPr>
      </w:pPr>
      <w:r>
        <w:rPr>
          <w:rStyle w:val="Marker"/>
          <w:color w:val="800000"/>
        </w:rPr>
        <w:t>The survey shall record annually, starting with the reporting year of 2022, for the businesses that place on the market for the first time the products referred to in Article 13(1) of Directive (EU) 2019/904 of the European Parliament and of the Council of 5 June 2019 on the reduction of the impact of certain plastic products on the environment (OJ L 155, 12.6.2019, p 1), in its current version, the survey characteristics of type and quantity of products placed on the market for the first time to the extent that they are not recorded in accordance with paragraphs 1 to 4.</w:t>
      </w:r>
    </w:p>
    <w:p w:rsidR="00475621" w:rsidRPr="00AE0058" w:rsidRDefault="00475621" w:rsidP="00F803E4">
      <w:pPr>
        <w:pStyle w:val="RevisionJuristischerAbsatz"/>
        <w:numPr>
          <w:ilvl w:val="2"/>
          <w:numId w:val="1"/>
        </w:numPr>
        <w:tabs>
          <w:tab w:val="clear" w:pos="850"/>
          <w:tab w:val="num" w:pos="1275"/>
        </w:tabs>
        <w:ind w:left="425"/>
        <w:outlineLvl w:val="9"/>
        <w:rPr>
          <w:rStyle w:val="Marker"/>
          <w:color w:val="800000"/>
        </w:rPr>
      </w:pPr>
      <w:r>
        <w:rPr>
          <w:rStyle w:val="Marker"/>
          <w:color w:val="800000"/>
        </w:rPr>
        <w:t xml:space="preserve">The survey shall record annually, starting with the reporting year of 2022, for a maximum of 400 municipalities, for the authorities or for businesses, bodies and entities collecting and disposing of products referred to in Article 13(1) of Directive (EU) 2019/904, the survey characteristics of type, quantity, destination and </w:t>
      </w:r>
      <w:r>
        <w:rPr>
          <w:rStyle w:val="Marker"/>
          <w:color w:val="800000"/>
        </w:rPr>
        <w:lastRenderedPageBreak/>
        <w:t xml:space="preserve">disposal of waste from those products collected in the municipalities, to the extent that the data are not recorded in accordance with paragraphs 1 to 5. The data shall be collected from public authorities insofar as the data referred to in sentence 1 are available to them. </w:t>
      </w:r>
    </w:p>
    <w:p w:rsidR="00475621" w:rsidRPr="00AE0058" w:rsidRDefault="00475621" w:rsidP="00F803E4">
      <w:pPr>
        <w:pStyle w:val="RevisionJuristischerAbsatz"/>
        <w:numPr>
          <w:ilvl w:val="2"/>
          <w:numId w:val="1"/>
        </w:numPr>
        <w:tabs>
          <w:tab w:val="clear" w:pos="850"/>
          <w:tab w:val="num" w:pos="1275"/>
        </w:tabs>
        <w:ind w:left="425"/>
        <w:outlineLvl w:val="9"/>
        <w:rPr>
          <w:rStyle w:val="Marker"/>
          <w:color w:val="800000"/>
        </w:rPr>
      </w:pPr>
      <w:r>
        <w:rPr>
          <w:rStyle w:val="Marker"/>
          <w:color w:val="800000"/>
        </w:rPr>
        <w:t>The survey shall record, every 2 years starting with the reporting year of 2022, for the businesses, bodies and entities responsible for the collection and disposal of passively fished waste as referred to in Article 8(7) in conjunction with Article 2(4) of Directive (EU) 2019/883 of the European Parliament and of the Council of 17 April 2019 on port reception facilities for the delivery of waste from ships, amending Directive 2010/65/EU and repealing Directive 2000/59/EC (OJ L 151, 7.6.2019, p 116), in its current version, the survey characteristic of quantity of collected and disposed of waste.’</w:t>
      </w:r>
    </w:p>
    <w:p w:rsidR="00865262" w:rsidRPr="00AE0058" w:rsidRDefault="00865262" w:rsidP="0022007B">
      <w:pPr>
        <w:pStyle w:val="NummerierungStufe1"/>
      </w:pPr>
      <w:r>
        <w:t xml:space="preserve">In § 6(1) and (2), the reference </w:t>
      </w:r>
      <w:r>
        <w:rPr>
          <w:rStyle w:val="RevisionText"/>
        </w:rPr>
        <w:t>‘5’</w:t>
      </w:r>
      <w:r>
        <w:t xml:space="preserve"> is replaced by the reference </w:t>
      </w:r>
      <w:r>
        <w:rPr>
          <w:rStyle w:val="RevisionText"/>
        </w:rPr>
        <w:t>‘5a’</w:t>
      </w:r>
      <w:r>
        <w:t>.</w:t>
      </w:r>
    </w:p>
    <w:p w:rsidR="0022007B" w:rsidRPr="00AE0058" w:rsidRDefault="00AA0650" w:rsidP="003F5274">
      <w:pPr>
        <w:pStyle w:val="NummerierungStufe1"/>
        <w:keepNext/>
      </w:pPr>
      <w:r>
        <w:t>§ 7 and § 8 are worded as follows:</w:t>
      </w:r>
    </w:p>
    <w:p w:rsidR="00B508B6" w:rsidRPr="00AE0058" w:rsidRDefault="00B508B6" w:rsidP="00F803E4">
      <w:pPr>
        <w:pStyle w:val="RevisionParagraphBezeichnermanuell"/>
        <w:ind w:left="425" w:hanging="75"/>
      </w:pPr>
      <w:r>
        <w:t>‘§ 7</w:t>
      </w:r>
    </w:p>
    <w:p w:rsidR="00B508B6" w:rsidRPr="00AE0058" w:rsidRDefault="00B508B6" w:rsidP="00F803E4">
      <w:pPr>
        <w:pStyle w:val="RevisionParagraphberschrift"/>
        <w:ind w:left="425"/>
      </w:pPr>
      <w:r>
        <w:rPr>
          <w:rStyle w:val="Marker"/>
          <w:color w:val="800000"/>
        </w:rPr>
        <w:t>Survey of public water supply and public sewerage services</w:t>
      </w:r>
    </w:p>
    <w:p w:rsidR="00C20AC0" w:rsidRPr="0021276C" w:rsidRDefault="00B639EE" w:rsidP="003F5274">
      <w:pPr>
        <w:pStyle w:val="RevisionJuristischerAbsatz"/>
        <w:keepNext/>
        <w:numPr>
          <w:ilvl w:val="2"/>
          <w:numId w:val="2"/>
        </w:numPr>
        <w:tabs>
          <w:tab w:val="clear" w:pos="850"/>
          <w:tab w:val="num" w:pos="1275"/>
        </w:tabs>
        <w:ind w:left="425"/>
      </w:pPr>
      <w:r>
        <w:t>The survey shall record the following survey characteristics every 3 years, beginning with the reporting year of 2022, for institutions, corporations, enterprises, and other entities that operate facilities for public water supply:</w:t>
      </w:r>
    </w:p>
    <w:p w:rsidR="00C20AC0" w:rsidRPr="0021276C" w:rsidRDefault="00C20AC0" w:rsidP="00F803E4">
      <w:pPr>
        <w:pStyle w:val="RevisionNummerierungStufe1"/>
        <w:tabs>
          <w:tab w:val="clear" w:pos="425"/>
          <w:tab w:val="num" w:pos="850"/>
          <w:tab w:val="num" w:pos="1558"/>
        </w:tabs>
        <w:ind w:left="850"/>
      </w:pPr>
      <w:r>
        <w:t>Extraction of water by type, quantity and location of the extraction facilities with geo coordinates and life cycles of the facilities in the reporting year,</w:t>
      </w:r>
    </w:p>
    <w:p w:rsidR="00C20AC0" w:rsidRPr="00AE0058" w:rsidRDefault="00C20AC0" w:rsidP="00F803E4">
      <w:pPr>
        <w:pStyle w:val="RevisionNummerierungStufe1"/>
        <w:tabs>
          <w:tab w:val="clear" w:pos="425"/>
          <w:tab w:val="num" w:pos="850"/>
          <w:tab w:val="num" w:pos="1558"/>
        </w:tabs>
        <w:ind w:left="850"/>
        <w:rPr>
          <w:rStyle w:val="Marker"/>
          <w:color w:val="800000"/>
        </w:rPr>
      </w:pPr>
      <w:r>
        <w:rPr>
          <w:rStyle w:val="Marker"/>
          <w:color w:val="800000"/>
        </w:rPr>
        <w:t>Purchase and delivery of water according to quantity, supply and customer groups,</w:t>
      </w:r>
    </w:p>
    <w:p w:rsidR="00552FB2" w:rsidRPr="00AE0058" w:rsidRDefault="00552FB2" w:rsidP="00F803E4">
      <w:pPr>
        <w:pStyle w:val="RevisionNummerierungStufe1"/>
        <w:tabs>
          <w:tab w:val="clear" w:pos="425"/>
          <w:tab w:val="num" w:pos="850"/>
          <w:tab w:val="num" w:pos="1558"/>
        </w:tabs>
        <w:ind w:left="850"/>
        <w:rPr>
          <w:rStyle w:val="Marker"/>
          <w:color w:val="800000"/>
        </w:rPr>
      </w:pPr>
      <w:r>
        <w:rPr>
          <w:rStyle w:val="Marker"/>
          <w:color w:val="800000"/>
        </w:rPr>
        <w:t xml:space="preserve">Distribution of water to end customers by volume, broken down by municipality, and number of inhabitants supplied, as of 31 December of the calendar year preceding the reporting year, broken down by municipality, </w:t>
      </w:r>
    </w:p>
    <w:p w:rsidR="00552FB2" w:rsidRPr="00AE0058" w:rsidRDefault="00552FB2" w:rsidP="00F803E4">
      <w:pPr>
        <w:pStyle w:val="RevisionNummerierungStufe1"/>
        <w:tabs>
          <w:tab w:val="clear" w:pos="425"/>
          <w:tab w:val="num" w:pos="850"/>
          <w:tab w:val="num" w:pos="1558"/>
        </w:tabs>
        <w:ind w:left="850"/>
        <w:rPr>
          <w:rStyle w:val="Marker"/>
          <w:color w:val="800000"/>
        </w:rPr>
      </w:pPr>
      <w:r>
        <w:rPr>
          <w:rStyle w:val="Marker"/>
          <w:color w:val="800000"/>
        </w:rPr>
        <w:t>Quantity of own demand of water and quantity of water loss.</w:t>
      </w:r>
    </w:p>
    <w:p w:rsidR="00552FB2" w:rsidRPr="00AE0058" w:rsidRDefault="00552FB2" w:rsidP="003F5274">
      <w:pPr>
        <w:pStyle w:val="RevisionJuristischerAbsatz"/>
        <w:keepNext/>
        <w:numPr>
          <w:ilvl w:val="2"/>
          <w:numId w:val="2"/>
        </w:numPr>
        <w:tabs>
          <w:tab w:val="clear" w:pos="850"/>
          <w:tab w:val="num" w:pos="1275"/>
        </w:tabs>
        <w:ind w:left="425"/>
        <w:rPr>
          <w:rStyle w:val="Marker"/>
          <w:color w:val="800000"/>
        </w:rPr>
      </w:pPr>
      <w:r>
        <w:rPr>
          <w:rStyle w:val="Marker"/>
          <w:color w:val="800000"/>
        </w:rPr>
        <w:t xml:space="preserve">The survey shall record, for establishments, corporations, businesses and other entities that operate facilities for the public disposal of wastewater and wastewater treatment plants with an authorised capacity of more than 50 population equivalents, </w:t>
      </w:r>
    </w:p>
    <w:p w:rsidR="00A353F5" w:rsidRPr="00AE0058" w:rsidRDefault="00A353F5" w:rsidP="003F5274">
      <w:pPr>
        <w:pStyle w:val="RevisionNummerierungStufe1"/>
        <w:keepNext/>
        <w:numPr>
          <w:ilvl w:val="3"/>
          <w:numId w:val="1"/>
        </w:numPr>
        <w:tabs>
          <w:tab w:val="clear" w:pos="425"/>
          <w:tab w:val="num" w:pos="850"/>
          <w:tab w:val="left" w:pos="1275"/>
        </w:tabs>
        <w:ind w:left="850"/>
      </w:pPr>
      <w:r>
        <w:t>every 3 years, beginning with the reporting year of 2022, the following survey characteristics:</w:t>
      </w:r>
    </w:p>
    <w:p w:rsidR="00A353F5" w:rsidRPr="00AE0058" w:rsidRDefault="00A353F5" w:rsidP="00F803E4">
      <w:pPr>
        <w:pStyle w:val="RevisionNummerierungStufe2"/>
        <w:tabs>
          <w:tab w:val="clear" w:pos="850"/>
          <w:tab w:val="num" w:pos="1275"/>
        </w:tabs>
        <w:ind w:left="1275"/>
      </w:pPr>
      <w:r>
        <w:t>Sewer network by type, length and year of construction, as well as number and storage volume of stormwater and combined wastewater treatment plants, in each case broken down by municipality and as of 31 December of the reporting year,</w:t>
      </w:r>
    </w:p>
    <w:p w:rsidR="00A353F5" w:rsidRPr="00AE0058" w:rsidRDefault="00A353F5" w:rsidP="00F803E4">
      <w:pPr>
        <w:pStyle w:val="RevisionNummerierungStufe2"/>
        <w:tabs>
          <w:tab w:val="clear" w:pos="850"/>
          <w:tab w:val="num" w:pos="1275"/>
        </w:tabs>
        <w:ind w:left="1275"/>
      </w:pPr>
      <w:r>
        <w:t>Quantity and location of the collected wastewater, external water and stormwater as well as the location of the discharge point, including geo coordinates,</w:t>
      </w:r>
    </w:p>
    <w:p w:rsidR="00A353F5" w:rsidRPr="00AE0058" w:rsidRDefault="00A353F5" w:rsidP="00F803E4">
      <w:pPr>
        <w:pStyle w:val="RevisionNummerierungStufe2"/>
        <w:tabs>
          <w:tab w:val="clear" w:pos="850"/>
          <w:tab w:val="num" w:pos="1275"/>
        </w:tabs>
        <w:ind w:left="1275"/>
      </w:pPr>
      <w:r>
        <w:t>Type of treatment of wastewater, external water and stormwater,</w:t>
      </w:r>
    </w:p>
    <w:p w:rsidR="00A353F5" w:rsidRPr="00AE0058" w:rsidRDefault="00A353F5" w:rsidP="00F803E4">
      <w:pPr>
        <w:pStyle w:val="RevisionNummerierungStufe2"/>
        <w:tabs>
          <w:tab w:val="clear" w:pos="850"/>
          <w:tab w:val="num" w:pos="1275"/>
        </w:tabs>
        <w:ind w:left="1275"/>
      </w:pPr>
      <w:r>
        <w:lastRenderedPageBreak/>
        <w:t>The number of inhabitants connected to wastewater treatment plants as of 31 December of the calendar year preceding the reporting year, the population equivalents connected and the names of the municipalities connected,</w:t>
      </w:r>
    </w:p>
    <w:p w:rsidR="00A353F5" w:rsidRPr="00AE0058" w:rsidRDefault="00A353F5" w:rsidP="00F803E4">
      <w:pPr>
        <w:pStyle w:val="RevisionNummerierungStufe2"/>
        <w:tabs>
          <w:tab w:val="clear" w:pos="850"/>
          <w:tab w:val="num" w:pos="1275"/>
        </w:tabs>
        <w:ind w:left="1275"/>
      </w:pPr>
      <w:r>
        <w:t>Quantity of wastewater discharged into wastewater treatment plants after treatment, or discharged untreated, as well as the respective concentrations and loads of pollutants and groups of pollutants in particular according to Annex 1 of the Wastewater Ordinance [Abwasserverordnung] in the version published on 17 June 2004 (Federal Law Gazette I pp. 1108, 2625), last amended by Article 1 of the Ordinance of 16 June 2020 (Federal Law Gazette I p. 1287), in its current version,</w:t>
      </w:r>
    </w:p>
    <w:p w:rsidR="00A353F5" w:rsidRPr="00AE0058" w:rsidRDefault="00A353F5" w:rsidP="00F803E4">
      <w:pPr>
        <w:pStyle w:val="RevisionNummerierungStufe2"/>
        <w:tabs>
          <w:tab w:val="clear" w:pos="850"/>
          <w:tab w:val="num" w:pos="1275"/>
        </w:tabs>
        <w:ind w:left="1275"/>
      </w:pPr>
      <w:r>
        <w:t>The size of the facilities and their life cycles in the reporting year, and</w:t>
      </w:r>
    </w:p>
    <w:p w:rsidR="00A353F5" w:rsidRPr="00AE0058" w:rsidRDefault="00A353F5" w:rsidP="00F803E4">
      <w:pPr>
        <w:pStyle w:val="RevisionNummerierungStufe1"/>
        <w:numPr>
          <w:ilvl w:val="3"/>
          <w:numId w:val="1"/>
        </w:numPr>
        <w:tabs>
          <w:tab w:val="clear" w:pos="425"/>
          <w:tab w:val="num" w:pos="850"/>
          <w:tab w:val="num" w:pos="1133"/>
          <w:tab w:val="left" w:pos="1275"/>
        </w:tabs>
        <w:ind w:left="850"/>
      </w:pPr>
      <w:r>
        <w:t xml:space="preserve">annually, starting with the reporting year of 2021, the survey characteristics of sewage sludge by quantity produced, received and delivered, treatment, nature, location and recovery, and the area on or in which the sewage sludge was applied or incorporated, by size and, in addition, starting with reporting year of 2022, the area by location including geo coordinates. </w:t>
      </w:r>
    </w:p>
    <w:p w:rsidR="00A353F5" w:rsidRPr="00AE0058" w:rsidRDefault="00A353F5" w:rsidP="003F5274">
      <w:pPr>
        <w:pStyle w:val="RevisionJuristischerAbsatz"/>
        <w:keepNext/>
        <w:numPr>
          <w:ilvl w:val="2"/>
          <w:numId w:val="2"/>
        </w:numPr>
        <w:tabs>
          <w:tab w:val="clear" w:pos="850"/>
          <w:tab w:val="num" w:pos="1275"/>
        </w:tabs>
        <w:ind w:left="425"/>
        <w:rPr>
          <w:rStyle w:val="Marker"/>
          <w:color w:val="800000"/>
        </w:rPr>
      </w:pPr>
      <w:r>
        <w:rPr>
          <w:rStyle w:val="Marker"/>
          <w:color w:val="800000"/>
        </w:rPr>
        <w:t>The survey shall record the following survey characteristics every 3 years, starting with the reporting year of 2022, for the municipalities responsible for public water supply and for the municipalities or third parties responsible for public wastewater disposal, insofar as these tasks have been transferred to them or they have been commissioned to perform the tasks:</w:t>
      </w:r>
    </w:p>
    <w:p w:rsidR="00A353F5" w:rsidRPr="00AE0058" w:rsidRDefault="00A353F5" w:rsidP="00F803E4">
      <w:pPr>
        <w:pStyle w:val="RevisionNummerierungStufe1"/>
        <w:numPr>
          <w:ilvl w:val="3"/>
          <w:numId w:val="1"/>
        </w:numPr>
        <w:tabs>
          <w:tab w:val="clear" w:pos="425"/>
          <w:tab w:val="num" w:pos="850"/>
          <w:tab w:val="left" w:pos="1275"/>
        </w:tabs>
        <w:ind w:left="850"/>
      </w:pPr>
      <w:r>
        <w:t>Number of inhabitants not connected to the public water supply as of 31 December of the calendar year preceding the reporting year,</w:t>
      </w:r>
    </w:p>
    <w:p w:rsidR="00A353F5" w:rsidRPr="00AE0058" w:rsidRDefault="00A353F5" w:rsidP="00F803E4">
      <w:pPr>
        <w:pStyle w:val="RevisionNummerierungStufe1"/>
        <w:numPr>
          <w:ilvl w:val="3"/>
          <w:numId w:val="1"/>
        </w:numPr>
        <w:tabs>
          <w:tab w:val="clear" w:pos="425"/>
          <w:tab w:val="num" w:pos="850"/>
          <w:tab w:val="left" w:pos="1275"/>
        </w:tabs>
        <w:ind w:left="850"/>
      </w:pPr>
      <w:r>
        <w:t>Number of inhabitants not connected to public sewage systems as of 31 December of the calendar year preceding the reporting year,</w:t>
      </w:r>
    </w:p>
    <w:p w:rsidR="00A353F5" w:rsidRPr="00AE0058" w:rsidRDefault="00A353F5" w:rsidP="00F803E4">
      <w:pPr>
        <w:pStyle w:val="RevisionNummerierungStufe1"/>
        <w:numPr>
          <w:ilvl w:val="3"/>
          <w:numId w:val="1"/>
        </w:numPr>
        <w:tabs>
          <w:tab w:val="clear" w:pos="425"/>
          <w:tab w:val="num" w:pos="850"/>
          <w:tab w:val="left" w:pos="1275"/>
        </w:tabs>
        <w:ind w:left="850"/>
      </w:pPr>
      <w:r>
        <w:t>Type of wastewater treatment and location of wastewater from residents not connected to the public wastewater disposal system.</w:t>
      </w:r>
    </w:p>
    <w:p w:rsidR="00A353F5" w:rsidRPr="00AE0058" w:rsidRDefault="00A353F5" w:rsidP="00F803E4">
      <w:pPr>
        <w:pStyle w:val="RevisionJuristischerAbsatz"/>
        <w:numPr>
          <w:ilvl w:val="2"/>
          <w:numId w:val="2"/>
        </w:numPr>
        <w:tabs>
          <w:tab w:val="clear" w:pos="850"/>
          <w:tab w:val="num" w:pos="1275"/>
        </w:tabs>
        <w:ind w:left="425"/>
        <w:rPr>
          <w:rStyle w:val="Marker"/>
          <w:color w:val="800000"/>
        </w:rPr>
      </w:pPr>
      <w:r>
        <w:rPr>
          <w:rStyle w:val="Marker"/>
          <w:color w:val="800000"/>
        </w:rPr>
        <w:t>If the water supply and sanitation services span several federal states, the survey characteristics referred to in paragraphs 1 to 3 shall be collected separately for each federal state.</w:t>
      </w:r>
    </w:p>
    <w:p w:rsidR="00660365" w:rsidRPr="0021276C" w:rsidRDefault="00660365" w:rsidP="00F803E4">
      <w:pPr>
        <w:pStyle w:val="RevisionParagraphBezeichnermanuell"/>
        <w:ind w:left="425"/>
        <w:rPr>
          <w:rStyle w:val="Marker"/>
          <w:color w:val="800000"/>
        </w:rPr>
      </w:pPr>
      <w:r>
        <w:rPr>
          <w:rStyle w:val="Marker"/>
          <w:color w:val="800000"/>
        </w:rPr>
        <w:t>§ 8</w:t>
      </w:r>
    </w:p>
    <w:p w:rsidR="00660365" w:rsidRPr="00AE0058" w:rsidRDefault="00660365" w:rsidP="00F803E4">
      <w:pPr>
        <w:pStyle w:val="RevisionParagraphberschrift"/>
        <w:ind w:left="425"/>
      </w:pPr>
      <w:r>
        <w:rPr>
          <w:rStyle w:val="Marker"/>
          <w:color w:val="800000"/>
        </w:rPr>
        <w:t>Survey of the non-public water supply and non-public wastewater disposal</w:t>
      </w:r>
    </w:p>
    <w:p w:rsidR="00A22057" w:rsidRPr="00AE0058" w:rsidRDefault="00A605FA" w:rsidP="003F5274">
      <w:pPr>
        <w:pStyle w:val="RevisionJuristischerAbsatzmanuell"/>
        <w:keepNext/>
        <w:tabs>
          <w:tab w:val="clear" w:pos="850"/>
          <w:tab w:val="left" w:pos="1275"/>
        </w:tabs>
        <w:ind w:left="425"/>
        <w:rPr>
          <w:rStyle w:val="Marker"/>
          <w:color w:val="800000"/>
        </w:rPr>
      </w:pPr>
      <w:r>
        <w:t>The survey shall cover non-public establishments producing at least 2 000 cubic metres of water per year or drawing at least 10 000 cubic metres of water per year from other establishments or discharging at least 2 000 cubic metres of water or wastewater per year into bodies of waters. The survey shall record</w:t>
      </w:r>
    </w:p>
    <w:p w:rsidR="00A605FA" w:rsidRPr="00AE0058" w:rsidRDefault="00A605FA" w:rsidP="003F5274">
      <w:pPr>
        <w:pStyle w:val="RevisionNummerierungStufe1"/>
        <w:keepNext/>
        <w:numPr>
          <w:ilvl w:val="3"/>
          <w:numId w:val="1"/>
        </w:numPr>
        <w:tabs>
          <w:tab w:val="clear" w:pos="425"/>
          <w:tab w:val="num" w:pos="850"/>
          <w:tab w:val="num" w:pos="1133"/>
          <w:tab w:val="left" w:pos="1275"/>
        </w:tabs>
        <w:ind w:left="850"/>
      </w:pPr>
      <w:r>
        <w:t>every 3 years, beginning with the reporting year of 2022, the following survey characteristics:</w:t>
      </w:r>
    </w:p>
    <w:p w:rsidR="00A605FA" w:rsidRPr="00AE0058" w:rsidRDefault="00A605FA" w:rsidP="00F803E4">
      <w:pPr>
        <w:pStyle w:val="RevisionNummerierungStufe2"/>
        <w:tabs>
          <w:tab w:val="clear" w:pos="850"/>
          <w:tab w:val="num" w:pos="1275"/>
        </w:tabs>
        <w:ind w:left="1275"/>
      </w:pPr>
      <w:r>
        <w:t>Extraction of water by water type as well as purchase and delivery of water, in each case by quantity,</w:t>
      </w:r>
    </w:p>
    <w:p w:rsidR="00A605FA" w:rsidRPr="00AE0058" w:rsidRDefault="00A605FA" w:rsidP="00F803E4">
      <w:pPr>
        <w:pStyle w:val="RevisionNummerierungStufe2"/>
        <w:tabs>
          <w:tab w:val="clear" w:pos="850"/>
          <w:tab w:val="num" w:pos="1275"/>
        </w:tabs>
        <w:ind w:left="1275"/>
      </w:pPr>
      <w:r>
        <w:t>Use of water, separated by application, by quantity and by single, multiple and closed cycle use,</w:t>
      </w:r>
    </w:p>
    <w:p w:rsidR="00A605FA" w:rsidRPr="00AE0058" w:rsidRDefault="00A605FA" w:rsidP="00F803E4">
      <w:pPr>
        <w:pStyle w:val="RevisionNummerierungStufe2"/>
        <w:tabs>
          <w:tab w:val="clear" w:pos="850"/>
          <w:tab w:val="num" w:pos="1275"/>
        </w:tabs>
        <w:ind w:left="1275"/>
      </w:pPr>
      <w:r>
        <w:lastRenderedPageBreak/>
        <w:t>Origin and location of unused water and wastewater by quantity and location of point of discharge with geo coordinates,</w:t>
      </w:r>
    </w:p>
    <w:p w:rsidR="00A605FA" w:rsidRPr="00AE0058" w:rsidRDefault="00A605FA" w:rsidP="00F803E4">
      <w:pPr>
        <w:pStyle w:val="RevisionNummerierungStufe2"/>
        <w:tabs>
          <w:tab w:val="clear" w:pos="850"/>
          <w:tab w:val="num" w:pos="1275"/>
        </w:tabs>
        <w:ind w:left="1275"/>
      </w:pPr>
      <w:r>
        <w:t>Type of wastewater treatment,</w:t>
      </w:r>
    </w:p>
    <w:p w:rsidR="00A605FA" w:rsidRPr="00AE0058" w:rsidRDefault="00A605FA" w:rsidP="00F803E4">
      <w:pPr>
        <w:pStyle w:val="RevisionNummerierungStufe2"/>
        <w:tabs>
          <w:tab w:val="clear" w:pos="850"/>
          <w:tab w:val="num" w:pos="1275"/>
        </w:tabs>
        <w:ind w:left="1275"/>
      </w:pPr>
      <w:r>
        <w:t>Quantity of wastewater discharged into wastewater treatment plants after treatment or discharged untreated as well as the respective concentrations and loads of pollutants and pollutant groups, in particular in accordance with the Wastewater Ordinance, by location of discharge point with geo coordinates,</w:t>
      </w:r>
    </w:p>
    <w:p w:rsidR="00A605FA" w:rsidRPr="00AE0058" w:rsidRDefault="00A605FA" w:rsidP="00F803E4">
      <w:pPr>
        <w:pStyle w:val="RevisionNummerierungStufe2"/>
        <w:tabs>
          <w:tab w:val="clear" w:pos="850"/>
          <w:tab w:val="num" w:pos="1275"/>
        </w:tabs>
        <w:ind w:left="1275"/>
      </w:pPr>
      <w:r>
        <w:t>Sewage sludge by volume, treatment and destination as of 31 December of the reporting year, and</w:t>
      </w:r>
    </w:p>
    <w:p w:rsidR="00255DB5" w:rsidRPr="00AE0058" w:rsidRDefault="00A605FA" w:rsidP="00F803E4">
      <w:pPr>
        <w:pStyle w:val="RevisionNummerierungStufe1"/>
        <w:numPr>
          <w:ilvl w:val="3"/>
          <w:numId w:val="1"/>
        </w:numPr>
        <w:tabs>
          <w:tab w:val="clear" w:pos="425"/>
          <w:tab w:val="num" w:pos="850"/>
          <w:tab w:val="num" w:pos="1133"/>
          <w:tab w:val="left" w:pos="1275"/>
        </w:tabs>
        <w:ind w:left="850"/>
      </w:pPr>
      <w:r>
        <w:t>annually, starting with the reporting year of 2022, in the case of establishments that dispose of sewage sludge for agricultural use, also the survey characteristics quality as well as the area on which the sewage sludge was applied or spread, by size, location and including geo coordinates.</w:t>
      </w:r>
    </w:p>
    <w:p w:rsidR="00660365" w:rsidRPr="00AE0058" w:rsidRDefault="00D139D3" w:rsidP="00F803E4">
      <w:pPr>
        <w:pStyle w:val="RevisionNummerierungFolgeabsatzStufe1"/>
        <w:ind w:left="850"/>
      </w:pPr>
      <w:r>
        <w:t>By way of derogation from § 2(2), the sector of activity referred to in § A – ‘Agriculture, forestry and fishing’ of Annex I to Regulation (EC) No 1893/2006 shall be excluded from the survey referred to in the sentence 2(1)(c) to (f) and sentence 2(2).’</w:t>
      </w:r>
    </w:p>
    <w:p w:rsidR="00320144" w:rsidRPr="00AE0058" w:rsidRDefault="009B22B7" w:rsidP="003F5274">
      <w:pPr>
        <w:pStyle w:val="NummerierungStufe1"/>
        <w:keepNext/>
      </w:pPr>
      <w:r>
        <w:t>§ 9 is amended as follows:</w:t>
      </w:r>
    </w:p>
    <w:p w:rsidR="009B22B7" w:rsidRPr="00AE0058" w:rsidRDefault="009B22B7" w:rsidP="003F5274">
      <w:pPr>
        <w:pStyle w:val="NummerierungStufe2"/>
        <w:keepNext/>
      </w:pPr>
      <w:r>
        <w:t>Paragraph 1 is amended as follows:</w:t>
      </w:r>
    </w:p>
    <w:p w:rsidR="00C603E0" w:rsidRPr="00AE0058" w:rsidRDefault="00C603E0" w:rsidP="009B22B7">
      <w:pPr>
        <w:pStyle w:val="NummerierungStufe3"/>
      </w:pPr>
      <w:r>
        <w:t xml:space="preserve">In the part of the sentence before subparagraph 1, the year </w:t>
      </w:r>
      <w:r>
        <w:rPr>
          <w:rStyle w:val="RevisionText"/>
        </w:rPr>
        <w:t>‘2006’</w:t>
      </w:r>
      <w:r>
        <w:t xml:space="preserve"> is replaced by the year </w:t>
      </w:r>
      <w:r>
        <w:rPr>
          <w:rStyle w:val="RevisionText"/>
        </w:rPr>
        <w:t>‘2022’</w:t>
      </w:r>
      <w:r>
        <w:t>.</w:t>
      </w:r>
    </w:p>
    <w:p w:rsidR="009B22B7" w:rsidRPr="00AE0058" w:rsidRDefault="003137FB" w:rsidP="009B22B7">
      <w:pPr>
        <w:pStyle w:val="NummerierungStufe3"/>
      </w:pPr>
      <w:r>
        <w:t xml:space="preserve">In subparagraph 1, a comma is inserted after the word </w:t>
      </w:r>
      <w:r>
        <w:rPr>
          <w:rStyle w:val="RevisionText"/>
        </w:rPr>
        <w:t>‘determination’</w:t>
      </w:r>
      <w:r>
        <w:t xml:space="preserve"> and the words </w:t>
      </w:r>
      <w:r>
        <w:rPr>
          <w:rStyle w:val="RevisionText"/>
        </w:rPr>
        <w:t>‘and the affected area specified for the assessment of the accident’</w:t>
      </w:r>
      <w:r>
        <w:t xml:space="preserve"> are added.</w:t>
      </w:r>
    </w:p>
    <w:p w:rsidR="00D95BD6" w:rsidRPr="00AE0058" w:rsidRDefault="00D95BD6" w:rsidP="00140C96">
      <w:pPr>
        <w:pStyle w:val="NummerierungStufe3"/>
      </w:pPr>
      <w:r>
        <w:t xml:space="preserve">In subparagraph 2, after the words </w:t>
      </w:r>
      <w:r>
        <w:rPr>
          <w:rStyle w:val="RevisionText"/>
        </w:rPr>
        <w:t>‘intended use’</w:t>
      </w:r>
      <w:r>
        <w:t xml:space="preserve">, the words </w:t>
      </w:r>
      <w:r>
        <w:rPr>
          <w:rStyle w:val="RevisionText"/>
        </w:rPr>
        <w:t>‘and the site conditions specified for the assessment of the accident’</w:t>
      </w:r>
      <w:r>
        <w:t xml:space="preserve"> are deleted.</w:t>
      </w:r>
    </w:p>
    <w:p w:rsidR="00D95BD6" w:rsidRPr="00AE0058" w:rsidRDefault="00D95BD6" w:rsidP="009B22B7">
      <w:pPr>
        <w:pStyle w:val="NummerierungStufe3"/>
      </w:pPr>
      <w:r>
        <w:t xml:space="preserve">In subparagraph 4, the word </w:t>
      </w:r>
      <w:r>
        <w:rPr>
          <w:rStyle w:val="RevisionText"/>
        </w:rPr>
        <w:t>‘emitted’</w:t>
      </w:r>
      <w:r>
        <w:t xml:space="preserve"> is replaced by the word </w:t>
      </w:r>
      <w:r>
        <w:rPr>
          <w:rStyle w:val="RevisionText"/>
        </w:rPr>
        <w:t>‘released’</w:t>
      </w:r>
      <w:r>
        <w:t>.</w:t>
      </w:r>
    </w:p>
    <w:p w:rsidR="00D95BD6" w:rsidRPr="00AE0058" w:rsidRDefault="00D95BD6" w:rsidP="003F5274">
      <w:pPr>
        <w:pStyle w:val="NummerierungStufe2"/>
        <w:keepNext/>
      </w:pPr>
      <w:r>
        <w:t>Paragraph 2 is amended as follows:</w:t>
      </w:r>
    </w:p>
    <w:p w:rsidR="00C603E0" w:rsidRPr="00AE0058" w:rsidRDefault="00774308" w:rsidP="0000316B">
      <w:pPr>
        <w:pStyle w:val="NummerierungStufe3"/>
      </w:pPr>
      <w:r>
        <w:t xml:space="preserve">In the part of the sentence before subparagraph 1, after the word </w:t>
      </w:r>
      <w:r>
        <w:rPr>
          <w:rStyle w:val="RevisionText"/>
        </w:rPr>
        <w:t>‘authorities’</w:t>
      </w:r>
      <w:r>
        <w:t xml:space="preserve"> the words </w:t>
      </w:r>
      <w:r>
        <w:rPr>
          <w:rStyle w:val="RevisionText"/>
        </w:rPr>
        <w:t>‘or at third parties insofar as they have been assigned the task of receiving notifications on accidents during the transfer of substances that are hazardous to water and insofar as they are responsible for remedying the consequences of accidents,’</w:t>
      </w:r>
      <w:r>
        <w:t xml:space="preserve"> are inserted and the year </w:t>
      </w:r>
      <w:r>
        <w:rPr>
          <w:rStyle w:val="RevisionText"/>
        </w:rPr>
        <w:t>‘2006’</w:t>
      </w:r>
      <w:r>
        <w:t xml:space="preserve"> is replaced by the year </w:t>
      </w:r>
      <w:r>
        <w:rPr>
          <w:rStyle w:val="RevisionText"/>
        </w:rPr>
        <w:t>‘2022’</w:t>
      </w:r>
      <w:r>
        <w:t>.</w:t>
      </w:r>
    </w:p>
    <w:p w:rsidR="00D95BD6" w:rsidRPr="00AE0058" w:rsidRDefault="005D7F81" w:rsidP="008A59DC">
      <w:pPr>
        <w:pStyle w:val="NummerierungStufe3"/>
      </w:pPr>
      <w:r>
        <w:t xml:space="preserve">In subparagraph 2, a comma is inserted after the word </w:t>
      </w:r>
      <w:r>
        <w:rPr>
          <w:rStyle w:val="RevisionText"/>
        </w:rPr>
        <w:t>‘determination’</w:t>
      </w:r>
      <w:r>
        <w:t xml:space="preserve"> and the words </w:t>
      </w:r>
      <w:r>
        <w:rPr>
          <w:rStyle w:val="RevisionText"/>
        </w:rPr>
        <w:t>‘and the affected area specified for the assessment of the accident’</w:t>
      </w:r>
      <w:r>
        <w:t xml:space="preserve"> are added.</w:t>
      </w:r>
    </w:p>
    <w:p w:rsidR="008A59DC" w:rsidRPr="00AE0058" w:rsidRDefault="008A59DC" w:rsidP="008A59DC">
      <w:pPr>
        <w:pStyle w:val="NummerierungStufe3"/>
      </w:pPr>
      <w:r>
        <w:t xml:space="preserve">In subparagraph 4, the word </w:t>
      </w:r>
      <w:r>
        <w:rPr>
          <w:rStyle w:val="RevisionText"/>
        </w:rPr>
        <w:t>‘emitted’</w:t>
      </w:r>
      <w:r>
        <w:t xml:space="preserve"> is replaced by the word </w:t>
      </w:r>
      <w:r>
        <w:rPr>
          <w:rStyle w:val="RevisionText"/>
        </w:rPr>
        <w:t>‘released’</w:t>
      </w:r>
      <w:r>
        <w:t>.</w:t>
      </w:r>
    </w:p>
    <w:p w:rsidR="006D53E6" w:rsidRPr="00AE0058" w:rsidRDefault="000E379E" w:rsidP="003F5274">
      <w:pPr>
        <w:pStyle w:val="NummerierungStufe1"/>
        <w:keepNext/>
      </w:pPr>
      <w:r>
        <w:lastRenderedPageBreak/>
        <w:t>§ 10 is amended as follows:</w:t>
      </w:r>
    </w:p>
    <w:p w:rsidR="000E379E" w:rsidRPr="00AE0058" w:rsidRDefault="00F009DD" w:rsidP="003F5274">
      <w:pPr>
        <w:pStyle w:val="NummerierungStufe2"/>
        <w:keepNext/>
      </w:pPr>
      <w:r>
        <w:t>In paragraph 1, the part of the sentence preceding subparagraph 1 is worded as follows:</w:t>
      </w:r>
    </w:p>
    <w:p w:rsidR="003E6EC6" w:rsidRPr="00AE0058" w:rsidRDefault="003E6EC6" w:rsidP="00F803E4">
      <w:pPr>
        <w:pStyle w:val="RevisionNummerierungFolgeabsatzStufe1"/>
        <w:ind w:left="850"/>
      </w:pPr>
      <w:r>
        <w:t>‘For businesses, the survey records the halogen derivatives of aliphatic hydrocarbons containing up to ten carbon atoms and the fluorine derivatives of cyclic hydrocarbons containing up to ten carbon atoms’</w:t>
      </w:r>
    </w:p>
    <w:p w:rsidR="000E379E" w:rsidRPr="00AE0058" w:rsidRDefault="004E4D4B" w:rsidP="003F5274">
      <w:pPr>
        <w:pStyle w:val="NummerierungStufe2"/>
        <w:keepNext/>
      </w:pPr>
      <w:r>
        <w:t>Paragraph 1a is amended as follows:</w:t>
      </w:r>
    </w:p>
    <w:p w:rsidR="002A46EC" w:rsidRPr="00AE0058" w:rsidRDefault="002A46EC" w:rsidP="002A46EC">
      <w:pPr>
        <w:pStyle w:val="NummerierungStufe3"/>
      </w:pPr>
      <w:r>
        <w:t xml:space="preserve">In subparagraph 1, the word </w:t>
      </w:r>
      <w:r>
        <w:rPr>
          <w:rStyle w:val="RevisionText"/>
        </w:rPr>
        <w:t>‘and’</w:t>
      </w:r>
      <w:r>
        <w:rPr>
          <w:color w:val="800000"/>
        </w:rPr>
        <w:t xml:space="preserve"> </w:t>
      </w:r>
      <w:r>
        <w:t>is replaced by a comma.</w:t>
      </w:r>
    </w:p>
    <w:p w:rsidR="004E4D4B" w:rsidRPr="00AE0058" w:rsidRDefault="004E4D4B" w:rsidP="004E4D4B">
      <w:pPr>
        <w:pStyle w:val="NummerierungStufe3"/>
      </w:pPr>
      <w:r>
        <w:t xml:space="preserve">In subparagraph 2, the full stop at the end is replaced by the word </w:t>
      </w:r>
      <w:r>
        <w:rPr>
          <w:rStyle w:val="RevisionText"/>
        </w:rPr>
        <w:t>‘and’</w:t>
      </w:r>
      <w:r>
        <w:t>.</w:t>
      </w:r>
    </w:p>
    <w:p w:rsidR="004E4D4B" w:rsidRPr="00AE0058" w:rsidRDefault="004E4D4B" w:rsidP="003F5274">
      <w:pPr>
        <w:pStyle w:val="NummerierungStufe3"/>
        <w:keepNext/>
      </w:pPr>
      <w:r>
        <w:t>The following subparagraph 3 is added:</w:t>
      </w:r>
    </w:p>
    <w:p w:rsidR="004E4D4B" w:rsidRPr="00AE0058" w:rsidRDefault="004E4D4B" w:rsidP="00F803E4">
      <w:pPr>
        <w:pStyle w:val="RevisionNummerierungStufe1"/>
        <w:tabs>
          <w:tab w:val="clear" w:pos="425"/>
          <w:tab w:val="num" w:pos="1791"/>
        </w:tabs>
        <w:ind w:left="1791"/>
      </w:pPr>
      <w:r>
        <w:t>‘beginning with the reporting year of 2022, halogen derivatives with up to ten carbon atoms.’</w:t>
      </w:r>
    </w:p>
    <w:p w:rsidR="006D3212" w:rsidRPr="00AE0058" w:rsidRDefault="003A06B1" w:rsidP="003F5274">
      <w:pPr>
        <w:pStyle w:val="NummerierungStufe1"/>
        <w:keepNext/>
      </w:pPr>
      <w:r>
        <w:t>§ 11(1) is worded as follows:</w:t>
      </w:r>
    </w:p>
    <w:p w:rsidR="003A06B1" w:rsidRPr="00AE0058" w:rsidRDefault="00F03D61" w:rsidP="003F5274">
      <w:pPr>
        <w:pStyle w:val="RevisionJuristischerAbsatz"/>
        <w:keepNext/>
        <w:numPr>
          <w:ilvl w:val="2"/>
          <w:numId w:val="5"/>
        </w:numPr>
        <w:tabs>
          <w:tab w:val="clear" w:pos="850"/>
          <w:tab w:val="num" w:pos="1275"/>
        </w:tabs>
        <w:ind w:left="425"/>
        <w:rPr>
          <w:rStyle w:val="Marker"/>
          <w:color w:val="800000"/>
        </w:rPr>
      </w:pPr>
      <w:r w:rsidRPr="0021276C">
        <w:rPr>
          <w:rStyle w:val="Marker"/>
          <w:color w:val="800000"/>
        </w:rPr>
        <w:fldChar w:fldCharType="begin"/>
      </w:r>
      <w:r w:rsidRPr="0021276C">
        <w:rPr>
          <w:rStyle w:val="Marker"/>
          <w:color w:val="800000"/>
        </w:rPr>
        <w:instrText xml:space="preserve"> ADVANCE  \l 26  </w:instrText>
      </w:r>
      <w:r w:rsidRPr="0021276C">
        <w:rPr>
          <w:rStyle w:val="Marker"/>
          <w:color w:val="800000"/>
        </w:rPr>
        <w:fldChar w:fldCharType="end"/>
      </w:r>
      <w:r>
        <w:rPr>
          <w:rStyle w:val="Marker"/>
          <w:color w:val="800000"/>
        </w:rPr>
        <w:t>‘</w:t>
      </w:r>
      <w:r>
        <w:rPr>
          <w:rStyle w:val="Marker"/>
          <w:color w:val="800000"/>
        </w:rPr>
        <w:tab/>
        <w:t>The survey shall cover businesses and establishments of the manufacturing industry, with the exception of the construction industry, insofar as they belong to the reporting population according to § 2, § 3(A)(II), § 6(B) as well as § 6a(B) of the Law on Statistics in Industry [Gesetz über die Statistik im Produzierenden Gewerbe] in the version published on 21 March 2002 (Federal Law Gazette I p. 1181), last amended by Article 8 of the Act of 22 November 2019 Federal Law Gazette I p. 1746), in its current version,</w:t>
      </w:r>
    </w:p>
    <w:p w:rsidR="003A06B1" w:rsidRPr="00AE0058" w:rsidRDefault="003A06B1" w:rsidP="003F5274">
      <w:pPr>
        <w:pStyle w:val="RevisionNummerierungStufe1"/>
        <w:keepNext/>
        <w:numPr>
          <w:ilvl w:val="3"/>
          <w:numId w:val="3"/>
        </w:numPr>
        <w:tabs>
          <w:tab w:val="clear" w:pos="425"/>
          <w:tab w:val="num" w:pos="850"/>
        </w:tabs>
        <w:ind w:left="850"/>
        <w:rPr>
          <w:rStyle w:val="Marker"/>
          <w:color w:val="800000"/>
        </w:rPr>
      </w:pPr>
      <w:r>
        <w:rPr>
          <w:rStyle w:val="Marker"/>
          <w:color w:val="800000"/>
        </w:rPr>
        <w:t>annually, beginning with the reporting year of 2021, the following survey characteristics:</w:t>
      </w:r>
    </w:p>
    <w:p w:rsidR="003A06B1" w:rsidRPr="00AE0058" w:rsidRDefault="003A06B1" w:rsidP="00F803E4">
      <w:pPr>
        <w:pStyle w:val="RevisionNummerierungStufe2"/>
        <w:tabs>
          <w:tab w:val="clear" w:pos="850"/>
          <w:tab w:val="num" w:pos="1275"/>
        </w:tabs>
        <w:ind w:left="1275"/>
        <w:rPr>
          <w:rStyle w:val="Marker"/>
          <w:color w:val="800000"/>
        </w:rPr>
      </w:pPr>
      <w:r>
        <w:rPr>
          <w:rStyle w:val="Marker"/>
          <w:color w:val="800000"/>
        </w:rPr>
        <w:t>Investments in property, plant and equipment,</w:t>
      </w:r>
    </w:p>
    <w:p w:rsidR="006D06A6" w:rsidRPr="00AE0058" w:rsidRDefault="006D06A6" w:rsidP="00F803E4">
      <w:pPr>
        <w:pStyle w:val="RevisionNummerierungStufe2"/>
        <w:tabs>
          <w:tab w:val="clear" w:pos="850"/>
          <w:tab w:val="num" w:pos="1275"/>
        </w:tabs>
        <w:ind w:left="1275"/>
        <w:rPr>
          <w:rStyle w:val="Marker"/>
          <w:color w:val="800000"/>
        </w:rPr>
      </w:pPr>
      <w:r>
        <w:rPr>
          <w:rStyle w:val="Marker"/>
          <w:color w:val="800000"/>
        </w:rPr>
        <w:t>Value of new property, plant and equipment rented and leased for the first time,</w:t>
      </w:r>
    </w:p>
    <w:p w:rsidR="00CF5E43" w:rsidRPr="00AE0058" w:rsidRDefault="002E570B" w:rsidP="00F803E4">
      <w:pPr>
        <w:pStyle w:val="RevisionNummerierungStufe2"/>
        <w:tabs>
          <w:tab w:val="clear" w:pos="850"/>
          <w:tab w:val="num" w:pos="1275"/>
        </w:tabs>
        <w:ind w:left="1275"/>
        <w:rPr>
          <w:rStyle w:val="Marker"/>
          <w:color w:val="800000"/>
        </w:rPr>
      </w:pPr>
      <w:r>
        <w:rPr>
          <w:rStyle w:val="Marker"/>
          <w:color w:val="800000"/>
        </w:rPr>
        <w:t>Investments in intangible assets</w:t>
      </w:r>
    </w:p>
    <w:p w:rsidR="004D7B48" w:rsidRPr="00AE0058" w:rsidRDefault="006D06A6" w:rsidP="00F803E4">
      <w:pPr>
        <w:pStyle w:val="RevisionNummerierungFolgeabsatzStufe1"/>
        <w:ind w:left="850"/>
        <w:rPr>
          <w:rStyle w:val="Marker"/>
          <w:color w:val="800000"/>
        </w:rPr>
      </w:pPr>
      <w:r>
        <w:rPr>
          <w:rStyle w:val="Marker"/>
          <w:color w:val="800000"/>
        </w:rPr>
        <w:t>that serve exclusively or predominantly to protect the environment, each broken down by type of investment and tangible fixed asset, as well as cumulative and integrated environmental protection measures,</w:t>
      </w:r>
    </w:p>
    <w:p w:rsidR="003A06B1" w:rsidRPr="00AE0058" w:rsidRDefault="004C4040" w:rsidP="00F803E4">
      <w:pPr>
        <w:pStyle w:val="RevisionNummerierungStufe1"/>
        <w:tabs>
          <w:tab w:val="clear" w:pos="425"/>
          <w:tab w:val="num" w:pos="850"/>
          <w:tab w:val="num" w:pos="1558"/>
        </w:tabs>
        <w:ind w:left="850"/>
        <w:rPr>
          <w:rStyle w:val="Marker"/>
          <w:color w:val="800000"/>
        </w:rPr>
      </w:pPr>
      <w:r>
        <w:rPr>
          <w:rStyle w:val="Marker"/>
          <w:color w:val="800000"/>
        </w:rPr>
        <w:t>every 3 years, starting with the reporting year of 2022, for 10 000 survey units, the survey characteristic of running costs for activities that are exclusively or mainly intended to protect the environment, by type of cost.</w:t>
      </w:r>
    </w:p>
    <w:p w:rsidR="00910BD2" w:rsidRPr="00AE0058" w:rsidRDefault="00290C43" w:rsidP="00F803E4">
      <w:pPr>
        <w:pStyle w:val="RevisionJuristischerAbsatzFolgeabsatz"/>
        <w:ind w:left="425"/>
      </w:pPr>
      <w:r>
        <w:t xml:space="preserve">The survey of establishments according to § 2 of the Law on Statistics in Industry may be replaced by the survey of associated enterprises in the breakdown of survey characteristics by federal state. The survey characteristics shall be broken down by environmental measures as well as by environmental domains as defined in Annex IV of Regulation (EU) No 691/2011 of the European Parliament and of the Council of 6 July 2011 on European environmental economic accounts (EEA). L 192, 22.7.2011, p 1), as last amended by Regulation (EU) No 538/2014 (OJ L 158, 27.5.2014, p 113), in its current version. In the area of climate protection, these survey characteristics are also recorded separately for measures regarding greenhouse gas emissions, renewable energies and energy efficiency. The survey in accordance with </w:t>
      </w:r>
      <w:r>
        <w:lastRenderedPageBreak/>
        <w:t>sentence 1(2) shall be carried out by the Federal Statistical Office. Environmental measures are all measures and activities that have the prevention, reduction and elimination of pollution and any other form of nuisance to the environment or that permit a more sustainable use of resources as their primary objective.’</w:t>
      </w:r>
    </w:p>
    <w:p w:rsidR="006D3212" w:rsidRPr="00AE0058" w:rsidRDefault="006159C7" w:rsidP="003F5274">
      <w:pPr>
        <w:pStyle w:val="NummerierungStufe1"/>
        <w:keepNext/>
      </w:pPr>
      <w:r>
        <w:t>§ 12 is amended as follows:</w:t>
      </w:r>
    </w:p>
    <w:p w:rsidR="006159C7" w:rsidRPr="00AE0058" w:rsidRDefault="006159C7" w:rsidP="003F5274">
      <w:pPr>
        <w:pStyle w:val="NummerierungStufe2"/>
        <w:keepNext/>
      </w:pPr>
      <w:r>
        <w:t>Paragraph 1 is amended as follows:</w:t>
      </w:r>
    </w:p>
    <w:p w:rsidR="00AB2F4C" w:rsidRPr="00AE0058" w:rsidRDefault="00AB2F4C" w:rsidP="003F5274">
      <w:pPr>
        <w:pStyle w:val="NummerierungStufe3"/>
        <w:keepNext/>
      </w:pPr>
      <w:r>
        <w:t>Sentence 1 is amended as follows:</w:t>
      </w:r>
    </w:p>
    <w:p w:rsidR="00FF52C2" w:rsidRPr="00AE0058" w:rsidRDefault="00FF52C2" w:rsidP="00AB2F4C">
      <w:pPr>
        <w:pStyle w:val="NummerierungStufe4"/>
      </w:pPr>
      <w:r>
        <w:t xml:space="preserve">In the part of the sentence before subparagraph 1, the year </w:t>
      </w:r>
      <w:r>
        <w:rPr>
          <w:rStyle w:val="RevisionText"/>
        </w:rPr>
        <w:t>‘2016’</w:t>
      </w:r>
      <w:r>
        <w:t xml:space="preserve"> is replaced by the year </w:t>
      </w:r>
      <w:r>
        <w:rPr>
          <w:rStyle w:val="RevisionText"/>
        </w:rPr>
        <w:t>‘2021’</w:t>
      </w:r>
      <w:r>
        <w:t>.</w:t>
      </w:r>
    </w:p>
    <w:p w:rsidR="001C24B6" w:rsidRPr="00AE0058" w:rsidRDefault="001C24B6" w:rsidP="00AB2F4C">
      <w:pPr>
        <w:pStyle w:val="NummerierungStufe4"/>
      </w:pPr>
      <w:r>
        <w:t xml:space="preserve">In subparagraph 1, before the word </w:t>
      </w:r>
      <w:r>
        <w:rPr>
          <w:rStyle w:val="RevisionText"/>
        </w:rPr>
        <w:t>‘domestic’</w:t>
      </w:r>
      <w:r>
        <w:t xml:space="preserve">, the words </w:t>
      </w:r>
      <w:r>
        <w:rPr>
          <w:rStyle w:val="RevisionText"/>
        </w:rPr>
        <w:t>‘environmental domains as well as’</w:t>
      </w:r>
      <w:r>
        <w:t xml:space="preserve"> are deleted.</w:t>
      </w:r>
    </w:p>
    <w:p w:rsidR="001C24B6" w:rsidRPr="00AE0058" w:rsidRDefault="001C24B6" w:rsidP="001C24B6">
      <w:pPr>
        <w:pStyle w:val="NummerierungStufe3"/>
      </w:pPr>
      <w:r>
        <w:t>Sentence 2 is worded as follows:</w:t>
      </w:r>
    </w:p>
    <w:p w:rsidR="00A17FAB" w:rsidRPr="00AE0058" w:rsidRDefault="006D06A6" w:rsidP="00A17FAB">
      <w:pPr>
        <w:pStyle w:val="NummerierungFolgeabsatzStufe2"/>
        <w:rPr>
          <w:rStyle w:val="RevisionText"/>
        </w:rPr>
      </w:pPr>
      <w:r>
        <w:rPr>
          <w:rStyle w:val="RevisionText"/>
        </w:rPr>
        <w:t>‘The survey characteristics referred to in sentence 1(1) shall be recorded in accordance with the environmental measures and environmental domains under Annex V to Regulation (EU) No 691/2011.’</w:t>
      </w:r>
    </w:p>
    <w:p w:rsidR="00D342FF" w:rsidRPr="00AE0058" w:rsidRDefault="00D342FF" w:rsidP="003F5274">
      <w:pPr>
        <w:pStyle w:val="NummerierungStufe2"/>
        <w:keepNext/>
      </w:pPr>
      <w:r>
        <w:t>Paragraph 2(4) is worded as follows:</w:t>
      </w:r>
    </w:p>
    <w:p w:rsidR="006159C7" w:rsidRPr="00AE0058" w:rsidRDefault="00255DB5" w:rsidP="00F803E4">
      <w:pPr>
        <w:pStyle w:val="RevisionNummerierungStufe1"/>
        <w:numPr>
          <w:ilvl w:val="3"/>
          <w:numId w:val="11"/>
        </w:numPr>
        <w:tabs>
          <w:tab w:val="clear" w:pos="425"/>
          <w:tab w:val="num" w:pos="1365"/>
        </w:tabs>
        <w:ind w:left="1365"/>
      </w:pPr>
      <w:r>
        <w:t>‘that are classified in the service sector and where the turnover of the business to which each of these establishments and entities belongs is less than EUR 1 million per year.’</w:t>
      </w:r>
    </w:p>
    <w:p w:rsidR="0088607F" w:rsidRPr="00AE0058" w:rsidRDefault="0088607F" w:rsidP="003F5274">
      <w:pPr>
        <w:pStyle w:val="NummerierungStufe1"/>
        <w:keepNext/>
      </w:pPr>
      <w:r>
        <w:t>§ 13 is amended as follows:</w:t>
      </w:r>
    </w:p>
    <w:p w:rsidR="0088607F" w:rsidRPr="00AE0058" w:rsidRDefault="0088607F" w:rsidP="003F5274">
      <w:pPr>
        <w:pStyle w:val="NummerierungStufe2"/>
        <w:keepNext/>
      </w:pPr>
      <w:r>
        <w:t>Paragraph 1 is amended as follows:</w:t>
      </w:r>
    </w:p>
    <w:p w:rsidR="00CE00A8" w:rsidRPr="00AE0058" w:rsidRDefault="00CE00A8" w:rsidP="00CE00A8">
      <w:pPr>
        <w:pStyle w:val="NummerierungStufe3"/>
      </w:pPr>
      <w:r>
        <w:t>In subparagraph 2, the words</w:t>
      </w:r>
      <w:r>
        <w:rPr>
          <w:color w:val="800000"/>
        </w:rPr>
        <w:t xml:space="preserve"> </w:t>
      </w:r>
      <w:r>
        <w:rPr>
          <w:rStyle w:val="RevisionText"/>
        </w:rPr>
        <w:t>‘telephone numbers or addresses for electronic mail’</w:t>
      </w:r>
      <w:r>
        <w:t xml:space="preserve"> are replaced by the words </w:t>
      </w:r>
      <w:r>
        <w:rPr>
          <w:rStyle w:val="RevisionText"/>
        </w:rPr>
        <w:t>‘contact details’</w:t>
      </w:r>
      <w:r>
        <w:t>.</w:t>
      </w:r>
    </w:p>
    <w:p w:rsidR="0088607F" w:rsidRPr="00AE0058" w:rsidRDefault="007F08AC" w:rsidP="0088607F">
      <w:pPr>
        <w:pStyle w:val="NummerierungStufe3"/>
      </w:pPr>
      <w:r>
        <w:t xml:space="preserve">In subparagraph 4, the words </w:t>
      </w:r>
      <w:r>
        <w:rPr>
          <w:rStyle w:val="RevisionText"/>
        </w:rPr>
        <w:t>‘external procurement’</w:t>
      </w:r>
      <w:r>
        <w:t xml:space="preserve"> are replaced by the word </w:t>
      </w:r>
      <w:r>
        <w:rPr>
          <w:rStyle w:val="RevisionText"/>
        </w:rPr>
        <w:t>‘procurement’</w:t>
      </w:r>
      <w:r>
        <w:t xml:space="preserve"> and the words </w:t>
      </w:r>
      <w:r>
        <w:rPr>
          <w:rStyle w:val="RevisionText"/>
        </w:rPr>
        <w:t>‘within a federal state’</w:t>
      </w:r>
      <w:r>
        <w:t xml:space="preserve"> are replaced by the words </w:t>
      </w:r>
      <w:r>
        <w:rPr>
          <w:rStyle w:val="RevisionText"/>
        </w:rPr>
        <w:t>‘of water’</w:t>
      </w:r>
      <w:r>
        <w:t xml:space="preserve"> after the word </w:t>
      </w:r>
      <w:r>
        <w:rPr>
          <w:rStyle w:val="RevisionText"/>
        </w:rPr>
        <w:t>‘transfer’</w:t>
      </w:r>
      <w:r>
        <w:t>.</w:t>
      </w:r>
    </w:p>
    <w:p w:rsidR="00F009DD" w:rsidRPr="00AE0058" w:rsidRDefault="00F009DD" w:rsidP="00F009DD">
      <w:pPr>
        <w:pStyle w:val="NummerierungStufe3"/>
      </w:pPr>
      <w:r>
        <w:t xml:space="preserve">In subparagraph 6, the full stop at the end is replaced by a comma. </w:t>
      </w:r>
    </w:p>
    <w:p w:rsidR="00D56FDD" w:rsidRPr="00AE0058" w:rsidRDefault="00D56FDD" w:rsidP="003F5274">
      <w:pPr>
        <w:pStyle w:val="NummerierungStufe3"/>
        <w:keepNext/>
      </w:pPr>
      <w:r>
        <w:t>The following subparagraph is added:</w:t>
      </w:r>
    </w:p>
    <w:p w:rsidR="00D56FDD" w:rsidRPr="00AE0058" w:rsidRDefault="00034D4D" w:rsidP="00F803E4">
      <w:pPr>
        <w:pStyle w:val="RevisionNummerierungStufe1manuell"/>
        <w:tabs>
          <w:tab w:val="clear" w:pos="425"/>
          <w:tab w:val="left" w:pos="1776"/>
        </w:tabs>
        <w:ind w:left="1776" w:hanging="500"/>
      </w:pPr>
      <w:r>
        <w:t>‘7.</w:t>
      </w:r>
      <w:r>
        <w:tab/>
        <w:t>for the surveys under § 5a(2), the name and address of the participating manufacturers of the reusable packaging in addition.</w:t>
      </w:r>
    </w:p>
    <w:p w:rsidR="00DE41FA" w:rsidRPr="00AE0058" w:rsidRDefault="00DE41FA" w:rsidP="003F5274">
      <w:pPr>
        <w:pStyle w:val="NummerierungStufe2"/>
        <w:keepNext/>
      </w:pPr>
      <w:r>
        <w:t>The following paragraph 3 is added:</w:t>
      </w:r>
    </w:p>
    <w:p w:rsidR="00DE41FA" w:rsidRPr="00AE0058" w:rsidRDefault="00CD6A93" w:rsidP="00F803E4">
      <w:pPr>
        <w:pStyle w:val="RevisionJuristischerAbsatz"/>
        <w:tabs>
          <w:tab w:val="clear" w:pos="850"/>
          <w:tab w:val="num" w:pos="1700"/>
        </w:tabs>
        <w:ind w:left="850"/>
      </w:pPr>
      <w:r w:rsidRPr="00AE0058">
        <w:fldChar w:fldCharType="begin"/>
      </w:r>
      <w:r w:rsidRPr="00AE0058">
        <w:instrText xml:space="preserve"> ADVANCE  \l 26  </w:instrText>
      </w:r>
      <w:r w:rsidRPr="00AE0058">
        <w:fldChar w:fldCharType="end"/>
      </w:r>
      <w:r>
        <w:t>‘</w:t>
      </w:r>
      <w:r>
        <w:tab/>
        <w:t xml:space="preserve">The input characteristics referred to in paragraph 1(4) may be used to combine the survey characteristics referred to in § 7 and § 8.’ </w:t>
      </w:r>
    </w:p>
    <w:p w:rsidR="0059024C" w:rsidRPr="00AE0058" w:rsidRDefault="0059024C" w:rsidP="003F5274">
      <w:pPr>
        <w:pStyle w:val="NummerierungStufe1"/>
        <w:keepNext/>
      </w:pPr>
      <w:r>
        <w:t>§ 14 is amended as follows:</w:t>
      </w:r>
    </w:p>
    <w:p w:rsidR="0059024C" w:rsidRPr="00AE0058" w:rsidRDefault="0059024C" w:rsidP="003F5274">
      <w:pPr>
        <w:pStyle w:val="NummerierungStufe2"/>
        <w:keepNext/>
      </w:pPr>
      <w:r>
        <w:t>Paragraph 2 is amended as follows:</w:t>
      </w:r>
    </w:p>
    <w:p w:rsidR="00423C1D" w:rsidRPr="00AE0058" w:rsidRDefault="00D43CAA" w:rsidP="00D43CAA">
      <w:pPr>
        <w:pStyle w:val="NummerierungStufe3"/>
      </w:pPr>
      <w:r>
        <w:t xml:space="preserve">In subparagraph 3(a), the words </w:t>
      </w:r>
      <w:r>
        <w:rPr>
          <w:rStyle w:val="RevisionText"/>
        </w:rPr>
        <w:t>‘or users’</w:t>
      </w:r>
      <w:r>
        <w:t xml:space="preserve"> are inserted after the word </w:t>
      </w:r>
      <w:r>
        <w:rPr>
          <w:rStyle w:val="RevisionText"/>
        </w:rPr>
        <w:t>‘lines’</w:t>
      </w:r>
      <w:r>
        <w:t>.</w:t>
      </w:r>
    </w:p>
    <w:p w:rsidR="0059024C" w:rsidRPr="00AE0058" w:rsidRDefault="0059024C" w:rsidP="003F5274">
      <w:pPr>
        <w:pStyle w:val="NummerierungStufe3"/>
        <w:keepNext/>
      </w:pPr>
      <w:r>
        <w:lastRenderedPageBreak/>
        <w:t>The following subparagraph 4 is inserted after subparagraph 3:</w:t>
      </w:r>
    </w:p>
    <w:p w:rsidR="00173ACC" w:rsidRPr="00AE0058" w:rsidRDefault="00173ACC" w:rsidP="003F5274">
      <w:pPr>
        <w:pStyle w:val="RevisionNummerierungStufe1manuell"/>
        <w:keepNext/>
        <w:tabs>
          <w:tab w:val="clear" w:pos="425"/>
          <w:tab w:val="left" w:pos="1776"/>
        </w:tabs>
        <w:ind w:left="1776" w:hanging="500"/>
      </w:pPr>
      <w:r>
        <w:t>‘4.</w:t>
      </w:r>
      <w:r>
        <w:tab/>
        <w:t>§ 5a</w:t>
      </w:r>
    </w:p>
    <w:p w:rsidR="00173ACC" w:rsidRPr="00AE0058" w:rsidRDefault="00173ACC" w:rsidP="003F5274">
      <w:pPr>
        <w:pStyle w:val="RevisionNummerierungStufe2"/>
        <w:keepNext/>
        <w:tabs>
          <w:tab w:val="clear" w:pos="850"/>
          <w:tab w:val="num" w:pos="2201"/>
        </w:tabs>
        <w:ind w:left="2201"/>
      </w:pPr>
      <w:r>
        <w:t>in the case referred to in paragraph 1</w:t>
      </w:r>
    </w:p>
    <w:p w:rsidR="00173ACC" w:rsidRPr="00AE0058" w:rsidRDefault="0010567E" w:rsidP="00F803E4">
      <w:pPr>
        <w:pStyle w:val="RevisionNummerierungFolgeabsatzStufe2"/>
        <w:ind w:left="2201"/>
      </w:pPr>
      <w:r>
        <w:t>the Central Authority in accordance with § 3(18) of the Packaging Act,</w:t>
      </w:r>
    </w:p>
    <w:p w:rsidR="0010567E" w:rsidRPr="00AE0058" w:rsidRDefault="0010567E" w:rsidP="003F5274">
      <w:pPr>
        <w:pStyle w:val="RevisionNummerierungStufe2"/>
        <w:keepNext/>
        <w:tabs>
          <w:tab w:val="clear" w:pos="850"/>
          <w:tab w:val="num" w:pos="2201"/>
        </w:tabs>
        <w:ind w:left="2201"/>
      </w:pPr>
      <w:r>
        <w:t xml:space="preserve">in the case of paragraphs 2 to 5 </w:t>
      </w:r>
    </w:p>
    <w:p w:rsidR="006B0FF0" w:rsidRPr="00AE0058" w:rsidRDefault="0010567E" w:rsidP="00F803E4">
      <w:pPr>
        <w:pStyle w:val="RevisionNummerierungFolgeabsatzStufe2"/>
        <w:ind w:left="2201"/>
      </w:pPr>
      <w:r>
        <w:t>the owners or managers of the said establishments and businesses,</w:t>
      </w:r>
    </w:p>
    <w:p w:rsidR="0010567E" w:rsidRPr="00AE0058" w:rsidRDefault="006B0FF0" w:rsidP="003F5274">
      <w:pPr>
        <w:pStyle w:val="RevisionNummerierungStufe2"/>
        <w:keepNext/>
        <w:tabs>
          <w:tab w:val="clear" w:pos="850"/>
          <w:tab w:val="num" w:pos="2201"/>
        </w:tabs>
        <w:ind w:left="2201"/>
      </w:pPr>
      <w:r>
        <w:t>in the case of paragraphs 6 and 7</w:t>
      </w:r>
    </w:p>
    <w:p w:rsidR="009F2F72" w:rsidRPr="00AE0058" w:rsidRDefault="005D5506" w:rsidP="00F803E4">
      <w:pPr>
        <w:pStyle w:val="RevisionNummerierungFolgeabsatzStufe2"/>
        <w:ind w:left="2201"/>
      </w:pPr>
      <w:r>
        <w:t>the owners or managers of the said businesses, bodies, entities or agencies,’</w:t>
      </w:r>
    </w:p>
    <w:p w:rsidR="00962C62" w:rsidRPr="00AE0058" w:rsidRDefault="007F08AC" w:rsidP="003F5274">
      <w:pPr>
        <w:pStyle w:val="NummerierungStufe3"/>
        <w:keepNext/>
      </w:pPr>
      <w:r>
        <w:t>The previous subparagraph 4 becomes subparagraph 5 and is worded as follows:</w:t>
      </w:r>
    </w:p>
    <w:p w:rsidR="00FE7CE7" w:rsidRPr="00AE0058" w:rsidRDefault="00FE7CE7" w:rsidP="003F5274">
      <w:pPr>
        <w:pStyle w:val="RevisionNummerierungStufe1"/>
        <w:keepNext/>
        <w:numPr>
          <w:ilvl w:val="3"/>
          <w:numId w:val="4"/>
        </w:numPr>
        <w:tabs>
          <w:tab w:val="clear" w:pos="425"/>
          <w:tab w:val="num" w:pos="1791"/>
        </w:tabs>
        <w:ind w:left="1791"/>
      </w:pPr>
      <w:r w:rsidRPr="00AE0058">
        <w:fldChar w:fldCharType="begin"/>
      </w:r>
      <w:r w:rsidRPr="00AE0058">
        <w:instrText xml:space="preserve"> ADVANCE  \l 26  </w:instrText>
      </w:r>
      <w:r w:rsidRPr="00AE0058">
        <w:fldChar w:fldCharType="end"/>
      </w:r>
      <w:r>
        <w:t>‘</w:t>
      </w:r>
      <w:r>
        <w:tab/>
        <w:t xml:space="preserve">§ 7 </w:t>
      </w:r>
    </w:p>
    <w:p w:rsidR="007F08AC" w:rsidRPr="00AE0058" w:rsidRDefault="007F08AC" w:rsidP="003F5274">
      <w:pPr>
        <w:pStyle w:val="RevisionNummerierungStufe2"/>
        <w:keepNext/>
        <w:tabs>
          <w:tab w:val="clear" w:pos="850"/>
          <w:tab w:val="num" w:pos="2216"/>
        </w:tabs>
        <w:ind w:left="2216"/>
      </w:pPr>
      <w:r>
        <w:t xml:space="preserve">in the case of paragraphs 1 and 2 </w:t>
      </w:r>
    </w:p>
    <w:p w:rsidR="007F08AC" w:rsidRPr="00AE0058" w:rsidRDefault="007F08AC" w:rsidP="00F803E4">
      <w:pPr>
        <w:pStyle w:val="RevisionNummerierungFolgeabsatzStufe1"/>
        <w:ind w:left="1791"/>
      </w:pPr>
      <w:r>
        <w:t>the owners or managers of the said facilities,</w:t>
      </w:r>
    </w:p>
    <w:p w:rsidR="007F08AC" w:rsidRPr="00AE0058" w:rsidRDefault="00904282" w:rsidP="003F5274">
      <w:pPr>
        <w:pStyle w:val="RevisionNummerierungStufe2"/>
        <w:keepNext/>
        <w:tabs>
          <w:tab w:val="clear" w:pos="850"/>
          <w:tab w:val="num" w:pos="2216"/>
        </w:tabs>
        <w:ind w:left="2216"/>
      </w:pPr>
      <w:r>
        <w:t>in the case referred to in paragraph 3</w:t>
      </w:r>
    </w:p>
    <w:p w:rsidR="007F08AC" w:rsidRPr="00AE0058" w:rsidRDefault="007F08AC" w:rsidP="00F803E4">
      <w:pPr>
        <w:pStyle w:val="RevisionNummerierungFolgeabsatzStufe1"/>
        <w:ind w:left="1791"/>
      </w:pPr>
      <w:r>
        <w:t>the municipalities responsible for the public water supply and the public sewage disposal or third parties, insofar as the tasks of the public water supply and the public sewage disposal have been assigned to them or insofar as they have been entrusted with the performance of these tasks,’</w:t>
      </w:r>
    </w:p>
    <w:p w:rsidR="007F08AC" w:rsidRPr="00AE0058" w:rsidRDefault="007F08AC" w:rsidP="007F08AC">
      <w:pPr>
        <w:pStyle w:val="NummerierungStufe3"/>
      </w:pPr>
      <w:r>
        <w:t>The previous subparagraph 5 becomes subparagraph 6.</w:t>
      </w:r>
    </w:p>
    <w:p w:rsidR="007F08AC" w:rsidRPr="00AE0058" w:rsidRDefault="007F08AC" w:rsidP="003F5274">
      <w:pPr>
        <w:pStyle w:val="NummerierungStufe3"/>
        <w:keepNext/>
      </w:pPr>
      <w:r>
        <w:t>The previous subparagraph 6 becomes subparagraph 7 and point (b) is worded as follows:</w:t>
      </w:r>
    </w:p>
    <w:p w:rsidR="007F08AC" w:rsidRPr="00AE0058" w:rsidRDefault="007F08AC" w:rsidP="003F5274">
      <w:pPr>
        <w:pStyle w:val="RevisionNummerierungStufe2manuell"/>
        <w:keepNext/>
        <w:tabs>
          <w:tab w:val="clear" w:pos="850"/>
          <w:tab w:val="left" w:pos="1776"/>
        </w:tabs>
        <w:ind w:left="1776" w:hanging="500"/>
        <w:rPr>
          <w:rStyle w:val="Marker"/>
        </w:rPr>
      </w:pPr>
      <w:r>
        <w:t xml:space="preserve">‘b) </w:t>
      </w:r>
      <w:r>
        <w:tab/>
        <w:t>in the case referred to in paragraph 2</w:t>
      </w:r>
    </w:p>
    <w:p w:rsidR="007F08AC" w:rsidRPr="00AE0058" w:rsidRDefault="007F08AC" w:rsidP="00F803E4">
      <w:pPr>
        <w:pStyle w:val="RevisionNummerierungFolgeabsatzStufe2"/>
        <w:ind w:left="1776"/>
      </w:pPr>
      <w:r>
        <w:t>the authorities that, under federal state law, are responsible for receiving notifications on accidents involving the transport of substances that are hazardous to water and for eliminating the consequences of accidents, or third parties, insofar as they have been assigned the task of receiving notifications on accidents involving the transport of substances that are hazardous to water and insofar as they are responsible for eliminating the consequences of accidents</w:t>
      </w:r>
      <w:r>
        <w:rPr>
          <w:color w:val="auto"/>
        </w:rPr>
        <w:t>,</w:t>
      </w:r>
      <w:r>
        <w:t>’</w:t>
      </w:r>
    </w:p>
    <w:p w:rsidR="007F08AC" w:rsidRPr="00AE0058" w:rsidRDefault="007F08AC" w:rsidP="007F08AC">
      <w:pPr>
        <w:pStyle w:val="NummerierungStufe3"/>
      </w:pPr>
      <w:r>
        <w:t xml:space="preserve">The previous subparagraph 7 becomes subparagraph 8. </w:t>
      </w:r>
    </w:p>
    <w:p w:rsidR="007F08AC" w:rsidRPr="00AE0058" w:rsidRDefault="007F08AC" w:rsidP="007F08AC">
      <w:pPr>
        <w:pStyle w:val="NummerierungStufe3"/>
      </w:pPr>
      <w:r>
        <w:t xml:space="preserve">The previous subparagraph 8 becomes 9 and in point (b) the word </w:t>
      </w:r>
      <w:r>
        <w:rPr>
          <w:rStyle w:val="RevisionText"/>
        </w:rPr>
        <w:t>‘and’</w:t>
      </w:r>
      <w:r>
        <w:t xml:space="preserve"> is replaced by the word </w:t>
      </w:r>
      <w:r>
        <w:rPr>
          <w:rStyle w:val="RevisionText"/>
        </w:rPr>
        <w:t>‘or’</w:t>
      </w:r>
      <w:r>
        <w:t>.</w:t>
      </w:r>
    </w:p>
    <w:p w:rsidR="00F80BF4" w:rsidRPr="00AE0058" w:rsidRDefault="007F08AC" w:rsidP="007F08AC">
      <w:pPr>
        <w:pStyle w:val="NummerierungStufe3"/>
      </w:pPr>
      <w:r>
        <w:t xml:space="preserve">Subparagraph 9 becomes subparagraph 10 and the word </w:t>
      </w:r>
      <w:r>
        <w:rPr>
          <w:rStyle w:val="RevisionText"/>
        </w:rPr>
        <w:t>‘places’</w:t>
      </w:r>
      <w:r>
        <w:t xml:space="preserve"> is replaced by the word </w:t>
      </w:r>
      <w:r>
        <w:rPr>
          <w:rStyle w:val="RevisionText"/>
        </w:rPr>
        <w:t>‘entities’</w:t>
      </w:r>
      <w:r>
        <w:t>.</w:t>
      </w:r>
    </w:p>
    <w:p w:rsidR="008332C6" w:rsidRPr="00AE0058" w:rsidRDefault="008332C6" w:rsidP="00E21F09">
      <w:pPr>
        <w:pStyle w:val="NummerierungStufe2"/>
      </w:pPr>
      <w:r>
        <w:lastRenderedPageBreak/>
        <w:t xml:space="preserve">In paragraph 4 the words </w:t>
      </w:r>
      <w:r>
        <w:rPr>
          <w:rStyle w:val="RevisionText"/>
        </w:rPr>
        <w:t>‘establishments and entities’</w:t>
      </w:r>
      <w:r>
        <w:t xml:space="preserve"> are added after the word </w:t>
      </w:r>
      <w:r>
        <w:rPr>
          <w:rStyle w:val="RevisionText"/>
        </w:rPr>
        <w:t>‘businesses’</w:t>
      </w:r>
      <w:r>
        <w:t>.</w:t>
      </w:r>
    </w:p>
    <w:p w:rsidR="008332C6" w:rsidRPr="00AE0058" w:rsidRDefault="008332C6" w:rsidP="003F5274">
      <w:pPr>
        <w:pStyle w:val="NummerierungStufe1"/>
        <w:keepNext/>
        <w:ind w:hanging="432"/>
      </w:pPr>
      <w:r>
        <w:t>§ 15 is amended as follows:</w:t>
      </w:r>
    </w:p>
    <w:p w:rsidR="00466F95" w:rsidRPr="00AE0058" w:rsidRDefault="00466F95" w:rsidP="003F5274">
      <w:pPr>
        <w:pStyle w:val="NummerierungStufe2"/>
        <w:keepNext/>
        <w:ind w:hanging="432"/>
      </w:pPr>
      <w:r>
        <w:t>Paragraph 2 is worded as follows:</w:t>
      </w:r>
    </w:p>
    <w:p w:rsidR="00140C96" w:rsidRPr="00AE0058" w:rsidRDefault="00C63345" w:rsidP="00F803E4">
      <w:pPr>
        <w:pStyle w:val="RevisionJuristischerAbsatzmanuell"/>
        <w:tabs>
          <w:tab w:val="clear" w:pos="850"/>
          <w:tab w:val="left" w:pos="1700"/>
        </w:tabs>
        <w:ind w:left="850" w:firstLine="350"/>
      </w:pPr>
      <w:r>
        <w:rPr>
          <w:rStyle w:val="RevisionText"/>
        </w:rPr>
        <w:t>‘(2) The Central Office in accordance with § 3(18) of the Packaging Act, the legal entity in charge of the settlement of deposit refund claims under § 31(1) sentence 4 of the Packaging Act and the authorities competent under federal state law shall, upon request, provide the statistical offices of the federal states with the names and addresses of the producers under § 3 and § 14 of the Packaging Act and of the businesses concerned by the surveys under § 5a(2) to (6), to the extent that these data are available to them.’</w:t>
      </w:r>
    </w:p>
    <w:p w:rsidR="00466F95" w:rsidRPr="00AE0058" w:rsidRDefault="001102BD" w:rsidP="00466F95">
      <w:pPr>
        <w:pStyle w:val="NummerierungStufe2"/>
      </w:pPr>
      <w:r>
        <w:t xml:space="preserve">In paragraph 3, the words </w:t>
      </w:r>
      <w:r>
        <w:rPr>
          <w:rStyle w:val="RevisionText"/>
        </w:rPr>
        <w:t>‘The authorities responsible for authorising the extraction of water and the discharge of wastewater into bodies of water’</w:t>
      </w:r>
      <w:r>
        <w:t xml:space="preserve"> are replaced by the words </w:t>
      </w:r>
      <w:r>
        <w:rPr>
          <w:rStyle w:val="RevisionText"/>
        </w:rPr>
        <w:t>‘The bodies of the federal states responsible for implementing legislation on environmental protection’</w:t>
      </w:r>
      <w:r>
        <w:t>.</w:t>
      </w:r>
    </w:p>
    <w:p w:rsidR="00884BDD" w:rsidRPr="00AE0058" w:rsidRDefault="00884BDD" w:rsidP="003F5274">
      <w:pPr>
        <w:pStyle w:val="NummerierungStufe1"/>
        <w:keepNext/>
        <w:ind w:hanging="432"/>
      </w:pPr>
      <w:r>
        <w:t>§ 16 is amended as follows:</w:t>
      </w:r>
    </w:p>
    <w:p w:rsidR="00884BDD" w:rsidRPr="00AE0058" w:rsidRDefault="00884BDD" w:rsidP="00884BDD">
      <w:pPr>
        <w:pStyle w:val="NummerierungStufe2"/>
      </w:pPr>
      <w:r>
        <w:t xml:space="preserve">In paragraph 2, the words </w:t>
      </w:r>
      <w:r>
        <w:rPr>
          <w:rStyle w:val="RevisionText"/>
        </w:rPr>
        <w:t>‘the Federal Government and’</w:t>
      </w:r>
      <w:r>
        <w:t xml:space="preserve"> are added after the word </w:t>
      </w:r>
      <w:r>
        <w:rPr>
          <w:rStyle w:val="RevisionText"/>
        </w:rPr>
        <w:t>‘authorities’</w:t>
      </w:r>
      <w:r>
        <w:t xml:space="preserve">. </w:t>
      </w:r>
    </w:p>
    <w:p w:rsidR="00884BDD" w:rsidRPr="00AE0058" w:rsidRDefault="00884BDD" w:rsidP="00884BDD">
      <w:pPr>
        <w:pStyle w:val="NummerierungStufe2"/>
      </w:pPr>
      <w:r>
        <w:t xml:space="preserve">In paragraph 3, the reference </w:t>
      </w:r>
      <w:r>
        <w:rPr>
          <w:rStyle w:val="RevisionText"/>
        </w:rPr>
        <w:t>‘paragraph 1(1)(1)’</w:t>
      </w:r>
      <w:r>
        <w:t xml:space="preserve"> is inserted after the reference </w:t>
      </w:r>
      <w:r>
        <w:rPr>
          <w:rStyle w:val="RevisionText"/>
        </w:rPr>
        <w:t>‘11’</w:t>
      </w:r>
      <w:r>
        <w:t>.</w:t>
      </w:r>
    </w:p>
    <w:p w:rsidR="00EC16E9" w:rsidRPr="00AE0058" w:rsidRDefault="007201CE" w:rsidP="00884BDD">
      <w:pPr>
        <w:pStyle w:val="NummerierungStufe2"/>
      </w:pPr>
      <w:r>
        <w:t xml:space="preserve">In paragraph 5, the commas after the word </w:t>
      </w:r>
      <w:r>
        <w:rPr>
          <w:rStyle w:val="RevisionText"/>
        </w:rPr>
        <w:t>‘collected’</w:t>
      </w:r>
      <w:r>
        <w:t xml:space="preserve"> and the word </w:t>
      </w:r>
      <w:r>
        <w:rPr>
          <w:rStyle w:val="RevisionText"/>
        </w:rPr>
        <w:t>‘anonymised’</w:t>
      </w:r>
      <w:r>
        <w:t xml:space="preserve"> are deleted.</w:t>
      </w:r>
    </w:p>
    <w:p w:rsidR="00DA1981" w:rsidRPr="00AE0058" w:rsidRDefault="00EC16E9" w:rsidP="003F5274">
      <w:pPr>
        <w:pStyle w:val="NummerierungStufe2"/>
        <w:keepNext/>
        <w:ind w:hanging="432"/>
      </w:pPr>
      <w:r>
        <w:t>Paragraph 6 is worded as follows:</w:t>
      </w:r>
    </w:p>
    <w:p w:rsidR="00EC16E9" w:rsidRPr="00AE0058" w:rsidRDefault="00DA1981" w:rsidP="00F803E4">
      <w:pPr>
        <w:pStyle w:val="RevisionJuristischerAbsatz"/>
        <w:numPr>
          <w:ilvl w:val="2"/>
          <w:numId w:val="10"/>
        </w:numPr>
        <w:tabs>
          <w:tab w:val="clear" w:pos="850"/>
          <w:tab w:val="num" w:pos="1700"/>
        </w:tabs>
        <w:ind w:left="850"/>
      </w:pPr>
      <w:r>
        <w:t>‘The Federal Statistical Office and the statistical offices of the federal states shall transfer tables with statistical results free of charge to the Federal Environment Agency for their own statistical evaluations, in particular for the fulfilment of obligations of the Federal Republic of Germany under European and international law, but not for the settlement of individual cases, even if table fields show only a single case. The tables may only be stored and used by the organisational units of the Federal Environment Agency responsible for this task and may not be passed on to other bodies. The organisational units under sentence 2 must be separated with regard to physical location, organisation and personnel from the organisational units of the Federal Environment Agency concerned with enforcement tasks.’</w:t>
      </w:r>
    </w:p>
    <w:p w:rsidR="00B9584A" w:rsidRPr="00AE0058" w:rsidRDefault="00B9584A" w:rsidP="00B9584A">
      <w:pPr>
        <w:pStyle w:val="NummerierungStufe1"/>
      </w:pPr>
      <w:r>
        <w:t xml:space="preserve">In § 17(c), the word </w:t>
      </w:r>
      <w:r>
        <w:rPr>
          <w:color w:val="800000"/>
        </w:rPr>
        <w:t>’Community’</w:t>
      </w:r>
      <w:r>
        <w:t xml:space="preserve"> is replaced by the word </w:t>
      </w:r>
      <w:r>
        <w:rPr>
          <w:color w:val="800000"/>
        </w:rPr>
        <w:t>‘Union’</w:t>
      </w:r>
      <w:r>
        <w:t>.</w:t>
      </w:r>
    </w:p>
    <w:p w:rsidR="004B7234" w:rsidRPr="00AE0058" w:rsidRDefault="006C07FA" w:rsidP="006C07FA">
      <w:pPr>
        <w:pStyle w:val="ArtikelBezeichner"/>
        <w:numPr>
          <w:ilvl w:val="0"/>
          <w:numId w:val="0"/>
        </w:numPr>
      </w:pPr>
      <w:r>
        <w:t>Article 2</w:t>
      </w:r>
    </w:p>
    <w:p w:rsidR="004B7234" w:rsidRPr="00AE0058" w:rsidRDefault="004B7234" w:rsidP="004B7234">
      <w:pPr>
        <w:pStyle w:val="Artikelberschrift"/>
      </w:pPr>
      <w:r>
        <w:rPr>
          <w:rStyle w:val="Marker"/>
        </w:rPr>
        <w:t>Amendment to the Packaging Act</w:t>
      </w:r>
    </w:p>
    <w:p w:rsidR="00F76632" w:rsidRPr="00AE0058" w:rsidRDefault="00F76632" w:rsidP="00F76632">
      <w:pPr>
        <w:pStyle w:val="JuristischerAbsatznichtnummeriert"/>
        <w:rPr>
          <w:rStyle w:val="Marker"/>
          <w:color w:val="000000" w:themeColor="text1"/>
        </w:rPr>
      </w:pPr>
      <w:r>
        <w:rPr>
          <w:rStyle w:val="Marker"/>
          <w:color w:val="000000" w:themeColor="text1"/>
        </w:rPr>
        <w:t>§ 26(1) sentence 2 of the Packaging Act of 5 July 2017 (Federal Law Gazette I p. 2234), last amended by Article 3 of the Act of 23 October 2020 (Federal Law Gazette I p. 2232), is amended as follows:</w:t>
      </w:r>
    </w:p>
    <w:p w:rsidR="004B7234" w:rsidRPr="00AE0058" w:rsidRDefault="004B7234" w:rsidP="003F5274">
      <w:pPr>
        <w:pStyle w:val="NummerierungStufe1"/>
        <w:keepNext/>
        <w:ind w:hanging="432"/>
      </w:pPr>
      <w:r>
        <w:lastRenderedPageBreak/>
        <w:t>Subparagraph 29 is worded as follows:</w:t>
      </w:r>
    </w:p>
    <w:p w:rsidR="00695556" w:rsidRPr="00AE0058" w:rsidRDefault="00695556" w:rsidP="00F803E4">
      <w:pPr>
        <w:pStyle w:val="RevisionNummerierungStufe1"/>
        <w:numPr>
          <w:ilvl w:val="3"/>
          <w:numId w:val="9"/>
        </w:numPr>
        <w:tabs>
          <w:tab w:val="clear" w:pos="425"/>
          <w:tab w:val="num" w:pos="940"/>
        </w:tabs>
        <w:ind w:left="940"/>
      </w:pPr>
      <w:r>
        <w:t>‘transferred under § 15(2) of the Environmental Statistics Act of 16 August 2005 (Federal Law Gazette I p. 2446), most recently amended by Article 1 of the Act of [insert: date of issue and reference of this Act], the statistical offices of the federal states and the Federal Statistical Office, upon request, the names, addresses and e-mail addresses of the bodies included in these surveys, as required for the survey in accordance with § 5a(2) to (6) of the Environmental Statistics Act.’</w:t>
      </w:r>
    </w:p>
    <w:p w:rsidR="004B7234" w:rsidRPr="00AE0058" w:rsidRDefault="004B7234" w:rsidP="003F5274">
      <w:pPr>
        <w:pStyle w:val="NummerierungStufe1"/>
        <w:keepNext/>
        <w:ind w:hanging="432"/>
      </w:pPr>
      <w:r>
        <w:t>The following subparagraph 29a is inserted after subparagraph 29:</w:t>
      </w:r>
    </w:p>
    <w:p w:rsidR="00695556" w:rsidRPr="00AE0058" w:rsidRDefault="00695556" w:rsidP="003F5274">
      <w:pPr>
        <w:pStyle w:val="RevisionNummerierungStufe1manuell"/>
        <w:tabs>
          <w:tab w:val="clear" w:pos="425"/>
        </w:tabs>
        <w:ind w:left="990" w:hanging="565"/>
        <w:rPr>
          <w:rStyle w:val="Marker"/>
        </w:rPr>
      </w:pPr>
      <w:r>
        <w:t>‘29a.</w:t>
      </w:r>
      <w:r>
        <w:tab/>
        <w:t>shall, in accordance with § 14(2)(4)(a) of the Environmental Statistics Act, transfer to the statistical offices of the federal states and to the Federal Statistical Office, upon request, the data required for the survey under § 5a of the Environmental Statistics Act, insofar as such data are available to the central agency by virtue of its duties under this Act’. and’.</w:t>
      </w:r>
    </w:p>
    <w:p w:rsidR="004705E2" w:rsidRPr="00AE0058" w:rsidRDefault="006C07FA" w:rsidP="006C07FA">
      <w:pPr>
        <w:pStyle w:val="ArtikelBezeichner"/>
        <w:numPr>
          <w:ilvl w:val="0"/>
          <w:numId w:val="0"/>
        </w:numPr>
      </w:pPr>
      <w:r>
        <w:t>Article 3</w:t>
      </w:r>
    </w:p>
    <w:p w:rsidR="004705E2" w:rsidRPr="00AE0058" w:rsidRDefault="004705E2">
      <w:pPr>
        <w:pStyle w:val="Artikelberschrift"/>
      </w:pPr>
      <w:r>
        <w:rPr>
          <w:rStyle w:val="Marker"/>
        </w:rPr>
        <w:t>Entry into force</w:t>
      </w:r>
    </w:p>
    <w:p w:rsidR="004705E2" w:rsidRPr="00AE0058" w:rsidRDefault="009A5500">
      <w:pPr>
        <w:pStyle w:val="JuristischerAbsatznichtnummeriert"/>
      </w:pPr>
      <w:r>
        <w:t>Article 1(2) shall enter into force on the day following promulgation. In other respects, this Act shall come into force on 1 January 2022.</w:t>
      </w:r>
    </w:p>
    <w:p w:rsidR="004705E2" w:rsidRPr="00AE0058" w:rsidRDefault="004705E2" w:rsidP="004705E2">
      <w:pPr>
        <w:sectPr w:rsidR="004705E2" w:rsidRPr="00AE0058" w:rsidSect="001F550D">
          <w:pgSz w:w="11907" w:h="16839"/>
          <w:pgMar w:top="1134" w:right="1417" w:bottom="1134" w:left="1701" w:header="709" w:footer="709" w:gutter="0"/>
          <w:cols w:space="708"/>
          <w:docGrid w:linePitch="360"/>
        </w:sectPr>
      </w:pPr>
    </w:p>
    <w:p w:rsidR="004705E2" w:rsidRPr="00AE0058" w:rsidRDefault="004705E2">
      <w:pPr>
        <w:pStyle w:val="BegrndungTitel"/>
      </w:pPr>
      <w:r>
        <w:lastRenderedPageBreak/>
        <w:t>Explanatory notes</w:t>
      </w:r>
    </w:p>
    <w:p w:rsidR="004705E2" w:rsidRPr="00AE0058" w:rsidRDefault="004705E2">
      <w:pPr>
        <w:pStyle w:val="BegrndungAllgemeinerTeil"/>
      </w:pPr>
      <w:r>
        <w:t>A. General part</w:t>
      </w:r>
    </w:p>
    <w:p w:rsidR="004705E2" w:rsidRPr="00AE0058" w:rsidRDefault="004705E2">
      <w:pPr>
        <w:pStyle w:val="berschriftrmischBegrndung"/>
      </w:pPr>
      <w:r>
        <w:t>Objective of and need for the provisions</w:t>
      </w:r>
    </w:p>
    <w:p w:rsidR="00125DF7" w:rsidRPr="00AE0058" w:rsidRDefault="009E7FC8" w:rsidP="00125DF7">
      <w:pPr>
        <w:pStyle w:val="Text"/>
      </w:pPr>
      <w:r>
        <w:t xml:space="preserve">The current version of the Environmental Statistics Act (UStatG) dates from 2017. Numerous developments in the economy and in society require an amendment to the existing statistical reporting regulations. </w:t>
      </w:r>
    </w:p>
    <w:p w:rsidR="004705E2" w:rsidRPr="00AE0058" w:rsidRDefault="00125DF7" w:rsidP="00125DF7">
      <w:pPr>
        <w:pStyle w:val="Text"/>
      </w:pPr>
      <w:r>
        <w:t>In addition, new or amended legal bases – particularly in the area of waste statistics – have come into force as a result of the EU, which require amended data deliveries with, to a certain degree, new characteristics. In order to be able to meet these new data requirements, the corresponding surveys must be arranged in the UStatG for the first time or in an amended form.</w:t>
      </w:r>
    </w:p>
    <w:p w:rsidR="00125DF7" w:rsidRPr="00AE0058" w:rsidRDefault="00125DF7" w:rsidP="009B400F">
      <w:pPr>
        <w:pStyle w:val="Text"/>
        <w:keepNext/>
        <w:rPr>
          <w:b/>
        </w:rPr>
      </w:pPr>
      <w:r>
        <w:rPr>
          <w:b/>
        </w:rPr>
        <w:t>Waste statistics</w:t>
      </w:r>
    </w:p>
    <w:p w:rsidR="002673BA" w:rsidRPr="00AE0058" w:rsidRDefault="00EC1BFA" w:rsidP="009B400F">
      <w:pPr>
        <w:pStyle w:val="Text"/>
        <w:keepNext/>
      </w:pPr>
      <w:r>
        <w:t>In order to promote waste prevention, reuse and closed cycle waste management, the so-called EU Waste Package was adopted. This EU Waste Package includes</w:t>
      </w:r>
    </w:p>
    <w:p w:rsidR="002673BA" w:rsidRPr="00AE0058" w:rsidRDefault="002673BA" w:rsidP="002673BA">
      <w:pPr>
        <w:pStyle w:val="Text"/>
      </w:pPr>
      <w:r>
        <w:t>- EU Waste Framework Directive – WFD – (Directive 2008/98/EC of the European Parliament and of the Council of 19 November 2008 on waste and repealing certain directives (OJ L 312 of 22.11.2008, p. 3), last amended by Directive (EU) 2018/851 (OJ L 150 of 14.6.2018, p. 109),</w:t>
      </w:r>
    </w:p>
    <w:p w:rsidR="002673BA" w:rsidRPr="00AE0058" w:rsidRDefault="002673BA" w:rsidP="002673BA">
      <w:pPr>
        <w:pStyle w:val="Text"/>
      </w:pPr>
      <w:r>
        <w:t>- The EU Packaging Directive (Directive 94/62/EC of the European Parliament and of the Council of 20 December 1994 on packaging and packaging waste (OJ L 365 of 31.12.1994, p 10), last amended by Directive (EU) 2018/852 (OJ L 150 of 14.6.2018, p 141) and</w:t>
      </w:r>
    </w:p>
    <w:p w:rsidR="002673BA" w:rsidRPr="00AE0058" w:rsidRDefault="002673BA" w:rsidP="002673BA">
      <w:pPr>
        <w:pStyle w:val="Text"/>
      </w:pPr>
      <w:r>
        <w:t>- The EU Landfill Directive (Directive 1999/31/EC of the European Parliament and of the Council of 26 April 1999 on the landfill of waste (OJ L 182 of 16.7.1999, p 1), last amended by Directive (EU) 2018/850 (OJ L 150 of 14.6.2018, p 100).</w:t>
      </w:r>
    </w:p>
    <w:p w:rsidR="00125DF7" w:rsidRPr="00AE0058" w:rsidRDefault="00125DF7" w:rsidP="00125DF7">
      <w:pPr>
        <w:pStyle w:val="Text"/>
      </w:pPr>
      <w:r>
        <w:t>The amendment of the WFD by Directive (EU) 2018/851 contains numerous changes and additions. Article 11a was newly inserted, which regulates the provisions for the calculation of the achievement of the targets of Article 11 of the WFD. Implementing directives have also been issued by the European Commission or are still being negotiated. These include, inter alia, Commission Implementing Decision (EU) 2019/1004 of 7 June 2019 laying down rules for the calculation, verification and reporting of data on waste in accordance with Directive 2008/98/EC of the European Parliament and of the Council and repealing Implementing Decision C (2012) 2384 of the Commission (OJ L 163, 20.6.2019, p. 66). According to this, in the future, municipal organic waste separated and recycled at the waste generation point (households, properties, other objects) may also be included in the calculation of the recycling quota; this refers to self-composting. There is still a data gap in this area. For this reason, the present draft Act requires a survey of the number of waste generation points where separate collection of organic waste is carried out by means of organic waste bins, the number of waste generation points which, in addition to organic waste bins, also carry out self-composting, the number of waste generation points that are exempted from using organic waste bins and the number of waste generation points where there is no obligation to connect to main services for organic waste bins. The aim is to calculate estimate ratios for the possible self-composted quantities per waste generation point and to transfer these quantities to the number of waste generation points that carry out self-composting.</w:t>
      </w:r>
    </w:p>
    <w:p w:rsidR="00125DF7" w:rsidRPr="00AE0058" w:rsidRDefault="00125DF7" w:rsidP="00125DF7">
      <w:pPr>
        <w:pStyle w:val="Text"/>
      </w:pPr>
      <w:r>
        <w:lastRenderedPageBreak/>
        <w:t>Up to now, the Federal Environment Agency (UBA) has fulfilled the reporting obligations of the EU Packaging Directive by using, inter alia, data from the study ‘Generation and Recovery of Packaging Waste in Germany in the Year x’ [Aufkommen und Verwertung von Verpackungsabfällen in Deutschland im Jahr x], which is prepared annually by the Gesellschaft für Verpackungsmarkforschung mbH (GVM). The results of the survey on the collection of transport packaging and secondary packaging (TUV) and the survey on returned sales packaging (VV) have so far been included in the GVM study as comparative figures.</w:t>
      </w:r>
    </w:p>
    <w:p w:rsidR="00125DF7" w:rsidRPr="00AE0058" w:rsidRDefault="00E61EB8" w:rsidP="00125DF7">
      <w:pPr>
        <w:pStyle w:val="Text"/>
      </w:pPr>
      <w:r>
        <w:t>Article 8a of the WFD requires Member States to set up a reporting system for products subject to extended producer responsibility. In the long run, this may not be a private enterprise. Therefore, data on packaging will have to be collected by official statistics in the future. In addition, there are new EU reporting requirements on single-use plastic products.</w:t>
      </w:r>
    </w:p>
    <w:p w:rsidR="00125DF7" w:rsidRPr="00AE0058" w:rsidRDefault="00125DF7" w:rsidP="00125DF7">
      <w:pPr>
        <w:pStyle w:val="Text"/>
      </w:pPr>
      <w:r>
        <w:t xml:space="preserve">Data on packaging subject to system participation that is placed on the market for the first time and on packaging waste taken back from private end consumers by the systems and by the industry solutions are reported to the Central Packaging Register Office (ZSVR). In the future, official statistics should be able to access these data. </w:t>
      </w:r>
    </w:p>
    <w:p w:rsidR="00462AD7" w:rsidRPr="00AE0058" w:rsidRDefault="00125DF7" w:rsidP="00125DF7">
      <w:pPr>
        <w:pStyle w:val="Text"/>
      </w:pPr>
      <w:r>
        <w:t>The main legal bases requiring an amendment to the UStatG are Directive (EU) 2018/852 of the European Parliament and of the Council of 30 May 2018 amending Directive 94/62/EC on packaging and packaging waste (OJ L 150, 14.6.2018, p 141) and Commission Implementing Decision (EU) 2019/665 of 17 April 2019 amending Decision 2005/270/EC establishing the formats relating to the database system pursuant to Directive 94/62/EC of the European Parliament and of the Council on packaging and packaging waste (OJ. L 112, 26.4.2019, p 26), the new Single-Use Plastics Directive (Directive (EU) 2019/904 of the European Parliament and of the Council of 5 June 2019 on the reduction of the impact of certain plastic products on the environment (OJ L 155, 12.6.2019, p 1) and the Port Reception Facilities Directive (Directive (EU) 2019/883 of the European Parliament and of the Council of 17 April 2019 on port reception facilities for the delivery of waste from ships, amending Directive 2010/65/EU and repealing Directive 2000/59/EC (OJ L 151, 7.6.2019, p 116).</w:t>
      </w:r>
    </w:p>
    <w:p w:rsidR="00125DF7" w:rsidRPr="00AE0058" w:rsidRDefault="00125DF7" w:rsidP="00125DF7">
      <w:pPr>
        <w:pStyle w:val="Text"/>
      </w:pPr>
      <w:r>
        <w:t>A further need for amendment of the UStatG has arisen due to the fact that the UBA is required to use data from the survey on the initial treatment of WEEE in order to fulfil the reporting obligation under Article 16(4) of the WEEE Directive (Directive 2012/19/EU of the European Parliament and of the Council of 4 July 2012 on waste electrical and electronic equipment (WEEE) (OJ L 197, 24.7.2012, p 38)). Until now, there has been a legal loophole here.</w:t>
      </w:r>
    </w:p>
    <w:p w:rsidR="00125DF7" w:rsidRPr="00AE0058" w:rsidRDefault="00173A26" w:rsidP="009B400F">
      <w:pPr>
        <w:pStyle w:val="Text"/>
        <w:keepNext/>
        <w:rPr>
          <w:b/>
        </w:rPr>
      </w:pPr>
      <w:r>
        <w:rPr>
          <w:b/>
        </w:rPr>
        <w:t>Statistics on water management and climate-relevant substances</w:t>
      </w:r>
    </w:p>
    <w:p w:rsidR="00F92F83" w:rsidRPr="00AE0058" w:rsidRDefault="00F92F83" w:rsidP="00F92F83">
      <w:pPr>
        <w:pStyle w:val="Text"/>
      </w:pPr>
      <w:r>
        <w:t>Due to the amendment of the Council Directive of 12 June 1986 on the protection of the environment, and in particular of the soil, when sewage sludge is used in agriculture – Sewage Sludge Directive (86/278/EEC) by Regulation (EU) 2019/1010 of the European Parliament and of the Council of 5 June 2019 (OJ L 170, 25.6.2019, p 115), the transmission of geodata on areas where sewage sludge is applied or deposited to the EU Commission is required. The future collection of these geodata as part of the sewage sludge statistics will create the necessary data basis for the fulfilment of this delivery obligation.</w:t>
      </w:r>
    </w:p>
    <w:p w:rsidR="00376FAB" w:rsidRPr="00AE0058" w:rsidRDefault="00376FAB" w:rsidP="00376FAB">
      <w:pPr>
        <w:pStyle w:val="Text"/>
      </w:pPr>
      <w:r>
        <w:t xml:space="preserve">The EU F Gases Regulation regulates, inter alia, the ban on the use of certain highly climate-relevant substances in stages up to 2028. Substitutes will be developed for the substances that are to be banned in the future and will have to be included in the reporting. Their chemical composition may differ from that of substances used to date, so that an adjustment of the specifications on the statistical recording of climate-relevant substances is required. The amendments to § 10 UStatG aim to extend the scope of the chemical composition of substances whose production, import, export and use must be reported to </w:t>
      </w:r>
      <w:r>
        <w:lastRenderedPageBreak/>
        <w:t>include halogen derivatives. This will allow substances in which these elements occur to be included in the statistical report. This information is used to prevent environmental damage and can be used for the reporting of international greenhouse gas during the National Inventory Report.</w:t>
      </w:r>
    </w:p>
    <w:p w:rsidR="007B13EC" w:rsidRPr="00AE0058" w:rsidRDefault="007B13EC" w:rsidP="007B13EC">
      <w:pPr>
        <w:pStyle w:val="Text"/>
      </w:pPr>
      <w:r>
        <w:t>In accordance with Regulation (EU) No 525/2013, the Union and its Member States under the UNFCCC are required, using comparable methodologies as agreed upon by the parties to the conference, to establish national inventories of anthropogenic emissions by sources and removals by sinks of all greenhouse gases not controlled by the parties to the Vienna Convention for the Montreal Protocol (1987) on Substances that Deplete the Ozone Layer (3) (‘the Montreal Protocol’), and to update, publish and submit these inventories to the parties to the conference on a regular basis.</w:t>
      </w:r>
    </w:p>
    <w:p w:rsidR="007B13EC" w:rsidRPr="00AE0058" w:rsidRDefault="007B13EC" w:rsidP="007B13EC">
      <w:pPr>
        <w:pStyle w:val="Text"/>
      </w:pPr>
      <w:r>
        <w:t>The halogen derivatives of aliphatic hydrocarbons, which are also included through the amendment, are counted as greenhouse gases. The additional substances to be included by those obliged to inform during the existing survey thus far only include the substances trifluoriodomethane (R 13I1), trans-1-chloro-3,3,3-trifluoroprop-1-ene (HCFC-1233zd (E)) and cis-1-chloro-2,3,3,3-tetrafluoroprop-1-ene (HCFC-1224yd (Z)). Regulation 525/2013 requires consistency ‘with the current UNFCCC guidelines on reporting greenhouse gas’ (UNFCCC Reporting Guidelines 2014 (FCCC/CP/2013/10/Add.3, Decision 24/CP.19, item 33). Germany reports the emissions of other F gases based on this target. The data according to UStatG are required for their collection, as these data are not available from other sources.</w:t>
      </w:r>
    </w:p>
    <w:p w:rsidR="00391B62" w:rsidRPr="00AE0058" w:rsidRDefault="00391B62" w:rsidP="009B400F">
      <w:pPr>
        <w:pStyle w:val="Text"/>
        <w:keepNext/>
        <w:rPr>
          <w:b/>
        </w:rPr>
      </w:pPr>
      <w:r>
        <w:rPr>
          <w:b/>
        </w:rPr>
        <w:t>Environmental-economic statistics</w:t>
      </w:r>
    </w:p>
    <w:p w:rsidR="00391B62" w:rsidRPr="00AE0058" w:rsidRDefault="00391B62" w:rsidP="00391B62">
      <w:pPr>
        <w:pStyle w:val="Text"/>
      </w:pPr>
      <w:r>
        <w:t>Particular attention should be paid to the impact of both European and national environmental and energy policies on businesses. The political goals, e.g. of a CO</w:t>
      </w:r>
      <w:r>
        <w:rPr>
          <w:vertAlign w:val="subscript"/>
        </w:rPr>
        <w:t>2</w:t>
      </w:r>
      <w:r>
        <w:t>-free economy by the year 2050, are only possible if businesses undertake appropriate environmental measures. It is important to show the financial effort of such measures as well as the positive incentives in the form of environment-specific production and employment.</w:t>
      </w:r>
    </w:p>
    <w:p w:rsidR="00391B62" w:rsidRPr="00AE0058" w:rsidRDefault="00391B62" w:rsidP="00391B62">
      <w:pPr>
        <w:pStyle w:val="Text"/>
      </w:pPr>
      <w:r>
        <w:t>Policymakers need a comprehensive and valid database to achieve efficient management of measures to build a sustainable economy. Environmental-economic statistics measure how companies are meeting their environmental responsibilities to improve the state of the environment and to use resources in ways that will meet the needs of future generations. The environmental statistics provide information on the various environmental domains (waste management, wastewater management, noise control, air pollution control, protection of species and the landscape, protection and remediation of soil, groundwater and surface water, and climate protection) and individual environmental measures.</w:t>
      </w:r>
    </w:p>
    <w:p w:rsidR="00391B62" w:rsidRPr="00AE0058" w:rsidRDefault="00391B62" w:rsidP="00391B62">
      <w:pPr>
        <w:pStyle w:val="Text"/>
      </w:pPr>
      <w:r>
        <w:t>Firstly, the investments made by businesses in environmental plants and facilities as well as the current costs to be borne due to the operation of environmental plants and the use of environmental protection services are recorded. Environmental protection includes measures, in particular technologies and facilities, that avoid, eliminate or reduce emissions, as well as measures that conserve resources. These data are mandatory for the construction of the European environmental economic accounts (Regulation (EU) No 691/2011 of the European Parliament and of the Council of 6 July 2011 on European environmental economic accounts (OJ L 192, 22.7.2011, p 1)), as amended by Regulation (EU) No 538/2014 (OJ L 158, 27.5.2014, p 113), to provide the Environmental Protection Expenditure Accounts (EPEA; replacing Regulation (EC) No 295/2008) module. The statistical results allow company-level analyses of the structure and extent of expenditure on environmental protection, particularly by environmental domains. It is also possible to make statements on the type of environmental plant, i.e. facilities and plants associated with clean technologies (so-called ‘integrated technology’) or facilities and plants that help improve emission control (so-called ‘end-of-</w:t>
      </w:r>
      <w:r>
        <w:lastRenderedPageBreak/>
        <w:t>pipe technologies’). Integrated environmental technologies are of particular interest because they have a preventive character and avoid emissions or produce emissions on a very small scale in comparison.</w:t>
      </w:r>
    </w:p>
    <w:p w:rsidR="00391B62" w:rsidRPr="00AE0058" w:rsidRDefault="00391B62" w:rsidP="00391B62">
      <w:pPr>
        <w:pStyle w:val="Text"/>
      </w:pPr>
      <w:r>
        <w:t>In addition, official data are collected on the structure of the so-called environmental protection industry in Germany. The growing demand for environmental measures has led to the development of a cross-sectoral industry in Europe that provides environmental goods and services. Alongside digitalisation, environmental protection is one of the key issues of the day, which is why this sector is considered to be highly competitive and to have high potential in terms of generating new employment opportunities. The statistics on goods, works and services for environmental protection record the turnover and exports generated in Germany with environmental protection goods and services as well as the impact on employment generated along with them (so-called ‘green jobs’). These data are also to be provided for compliance with Regulation (EU) No 691/2011 (Environmental Goods and Services Sector (EGSS) module).</w:t>
      </w:r>
    </w:p>
    <w:p w:rsidR="004705E2" w:rsidRPr="00AE0058" w:rsidRDefault="004705E2">
      <w:pPr>
        <w:pStyle w:val="berschriftrmischBegrndung"/>
      </w:pPr>
      <w:r>
        <w:t>Main content of the draft</w:t>
      </w:r>
    </w:p>
    <w:p w:rsidR="004705E2" w:rsidRPr="00AE0058" w:rsidRDefault="00E4217E" w:rsidP="009B400F">
      <w:pPr>
        <w:pStyle w:val="Text"/>
        <w:keepNext/>
        <w:rPr>
          <w:b/>
        </w:rPr>
      </w:pPr>
      <w:r>
        <w:rPr>
          <w:b/>
        </w:rPr>
        <w:t>Waste statistics</w:t>
      </w:r>
    </w:p>
    <w:p w:rsidR="00E4217E" w:rsidRPr="00AE0058" w:rsidRDefault="00E4217E" w:rsidP="00E4217E">
      <w:pPr>
        <w:pStyle w:val="Text"/>
      </w:pPr>
      <w:r>
        <w:t>In order to fulfil the obligations to notify to the EU Commission, this Act adds characteristics for self-composting and rearranges a whole series of characteristics for different packaging and packaging waste. The massive expansion of the packaging surveys is to be seen in particular against the background that, due to the Waste Directive, a reporting system must be set up for this area in the future. That means that the UBA data deliveries based on data from the study prepared by a private company (Gesellschaft für Verpackungsmarktforschung – GVM) will no longer be accepted by the EU Commission.</w:t>
      </w:r>
    </w:p>
    <w:p w:rsidR="00462AD7" w:rsidRPr="00AE0058" w:rsidRDefault="00345232" w:rsidP="00E4217E">
      <w:pPr>
        <w:pStyle w:val="Text"/>
      </w:pPr>
      <w:r>
        <w:t>Due to new delivery obligations to the EU Commission, various features on single-use plastic products and passively fished waste have also been arranged.</w:t>
      </w:r>
    </w:p>
    <w:p w:rsidR="00E4217E" w:rsidRPr="00AE0058" w:rsidRDefault="00E4217E" w:rsidP="00E4217E">
      <w:pPr>
        <w:pStyle w:val="Text"/>
      </w:pPr>
      <w:r>
        <w:t>Finally, a legal loophole has been closed so that the UBA can use data from the statistical offices of the Federation and the federal states for its reporting on WEEE to Eurostat in the future, even if table fields only show a single case.</w:t>
      </w:r>
    </w:p>
    <w:p w:rsidR="00E4217E" w:rsidRPr="00AE0058" w:rsidRDefault="00173A26" w:rsidP="00274D4E">
      <w:pPr>
        <w:pStyle w:val="Text"/>
        <w:keepNext/>
        <w:rPr>
          <w:b/>
        </w:rPr>
      </w:pPr>
      <w:r>
        <w:rPr>
          <w:b/>
        </w:rPr>
        <w:t>Statistics on water management and climate-relevant substances</w:t>
      </w:r>
    </w:p>
    <w:p w:rsidR="00EC5750" w:rsidRPr="00AE0058" w:rsidRDefault="00EC5750" w:rsidP="00E4217E">
      <w:pPr>
        <w:pStyle w:val="Text"/>
      </w:pPr>
      <w:r>
        <w:t>Due to the amendment of the Sewage Sludge Directive (86/278/EEC) by Regulation (EU) 2019/1010, the transfer of geodata on areas where sewage sludge is applied or deposited to the EU Commission is required. The future collection of these geodata as part of the sewage sludge statistics will create the necessary data basis for the fulfilment of this delivery obligation.</w:t>
      </w:r>
    </w:p>
    <w:p w:rsidR="00E4217E" w:rsidRPr="00AE0058" w:rsidRDefault="00173A26" w:rsidP="00E4217E">
      <w:pPr>
        <w:pStyle w:val="Text"/>
      </w:pPr>
      <w:r>
        <w:t xml:space="preserve">Due to the ongoing implementation of Regulation (EU) No 517/2014 (EU F Gases Regulation), it has become necessary to adjust the substance groups to be surveyed. This </w:t>
      </w:r>
      <w:r>
        <w:rPr>
          <w:color w:val="800000"/>
        </w:rPr>
        <w:t xml:space="preserve">adds </w:t>
      </w:r>
      <w:r>
        <w:t>data on production, import and export, and use of</w:t>
      </w:r>
      <w:r>
        <w:rPr>
          <w:color w:val="800000"/>
        </w:rPr>
        <w:t xml:space="preserve"> halogen derivatives of aliphatic hydrocarbons </w:t>
      </w:r>
      <w:r>
        <w:t>for international reporting.</w:t>
      </w:r>
    </w:p>
    <w:p w:rsidR="00E4217E" w:rsidRPr="00AE0058" w:rsidRDefault="00E4217E" w:rsidP="009B400F">
      <w:pPr>
        <w:pStyle w:val="Text"/>
        <w:keepNext/>
        <w:rPr>
          <w:b/>
        </w:rPr>
      </w:pPr>
      <w:r>
        <w:rPr>
          <w:b/>
        </w:rPr>
        <w:t>Environmental-economic statistics</w:t>
      </w:r>
    </w:p>
    <w:p w:rsidR="00310DAC" w:rsidRPr="00AE0058" w:rsidRDefault="00310DAC" w:rsidP="00310DAC">
      <w:pPr>
        <w:pStyle w:val="Text"/>
      </w:pPr>
      <w:r>
        <w:t xml:space="preserve">Policymakers need a comprehensive and valid database to achieve efficient management of measures to build a sustainable economy. Official data for monetary valuation are not currently available for all climate and environmental measures, i.e. goods, technologies and services that serve to eliminate environmental issues and to enhance resource conservation, in order to meet the European delivery obligation under Regulation (EU) No 691/2011 of the European Parliament and of the Council of 6 July 2011 on European environmental economic accounts (OJ L 192, 22.7.2011, p 1), as amended </w:t>
      </w:r>
      <w:r>
        <w:lastRenderedPageBreak/>
        <w:t>by Regulation (EU) No 538/2014 (OJ L 158, 27.5.2014, p 113), or in order to serve policy objectives such as the European Green Deal. For example, there is a lack of data on electromobility or on measures to conserve finite resources. In addition, the climate and environmental measures to be taken into account are subject to highly dynamic circumstances due to technological progress and changing political priorities, which require constant adjustment of climate and environmental measures to be taken into account in the statistics. As the largest information service provider in Germany, official statistics must be able to adjust the survey and the programmes on which it is based in a correspondingly timely manner in order to meet the European delivery obligations, in particular under Regulation (EU) No 691/2011, i.e. to close data gaps and to offer data on the monitoring of politically and ecologically relevant climate and environmental measures more quickly and comprehensively. This requires an amendment of § 11 and § 12 UStatG, allowing for a flexible design of environmental economic statistics with regard to climate and environmental measures to be taken into account by law as well as new political priorities in this area. A general definition of climate and environmental measures is given in conjunction with a reference to the existing Classification of Environmental Protection Expenditures (CEPA) and Classification of Resource Management Activities (CReMA). Accordingly, any measure that meets the definition of an environmental measure and can be classified in one of the environmental domains listed in the CEPA and CReMA environmental classifications can be surveyed within the framework of environmental economic statistics. It is therefore no longer necessary to first amend the Environmental Statistics Act in order to map further climate and environmental measures.</w:t>
      </w:r>
    </w:p>
    <w:p w:rsidR="00E4217E" w:rsidRPr="00AE0058" w:rsidRDefault="00310DAC" w:rsidP="00310DAC">
      <w:pPr>
        <w:pStyle w:val="Text"/>
      </w:pPr>
      <w:r>
        <w:t>In order to fulfil the delivery obligations towards Eurostat and to ensure a uniform subdivision of the environmental domains in all environmental-economic statistics according to § 11 and § 12 UStatG, the politically significant environmental domain of climate protection is also differentiated according to the sub-domains ‘climate-relevant substances’, ‘renewable energies’ and ‘energy efficiency’ within the framework of the statistics on current costs for environmental protection (§ 11(1)(1)(2) UStatG).</w:t>
      </w:r>
    </w:p>
    <w:p w:rsidR="00E00E7B" w:rsidRPr="00AE0058" w:rsidRDefault="00E00E7B" w:rsidP="00E00E7B">
      <w:pPr>
        <w:pStyle w:val="Text"/>
      </w:pPr>
      <w:r>
        <w:t>The statistics on investment for environmental protection (§ 11(1)(1)(1) UStatG) are carried out without any restriction on the number of survey units. The amendment ensures that reliable data can be provided for Germany for the manufacturing sector, excluding construction, for the European environmental economic accounts (Regulation (EU) No 691/2011, EPEA module replacing Regulation (EC) No 295/2008). Due to environmental and energy policy measures of the EU and Germany, e.g. implementation of a CO</w:t>
      </w:r>
      <w:r>
        <w:rPr>
          <w:vertAlign w:val="subscript"/>
        </w:rPr>
        <w:t>2</w:t>
      </w:r>
      <w:r>
        <w:t>-free economy by the year 2050, but also due to economic considerations concerning companies investing in environmental protection, it is to be expected that the number of cases, which is already close to 10 000, will continue to rise. Since there is no scientifically justified procedure for selecting reports in such a way that the upper limit is complied with and stratification criteria are lacking for a possible alternative to the sampling procedure, the upper limit should be removed from the Environmental Statistics Act for methodological reasons.</w:t>
      </w:r>
    </w:p>
    <w:p w:rsidR="00E00E7B" w:rsidRPr="00AE0058" w:rsidRDefault="00E00E7B" w:rsidP="00E00E7B">
      <w:pPr>
        <w:pStyle w:val="Text"/>
      </w:pPr>
      <w:r>
        <w:t>Another change concerns the compilation of the reporting population for statistics on goods and services for environmental protection (§ 12 UStatG). The cut-off in the services sector is adjusted to the data basis: As only turnover data at the company level are available for the services sector, the cut-off refers to companies with a total turnover of at least EUR 1 million. The amendment ensures a clear definition of the cut-off point and thus an accurate compilation of the reporting population.</w:t>
      </w:r>
    </w:p>
    <w:p w:rsidR="00E00E7B" w:rsidRPr="00AE0058" w:rsidRDefault="00E00E7B" w:rsidP="00E00E7B">
      <w:pPr>
        <w:pStyle w:val="Text"/>
      </w:pPr>
      <w:r>
        <w:t>Further amendments concerning the statistics on § 11 and § 12 UStatG are of an editorial nature.</w:t>
      </w:r>
    </w:p>
    <w:p w:rsidR="004705E2" w:rsidRPr="00AE0058" w:rsidRDefault="004705E2">
      <w:pPr>
        <w:pStyle w:val="berschriftrmischBegrndung"/>
      </w:pPr>
      <w:r>
        <w:lastRenderedPageBreak/>
        <w:t>Alternatives</w:t>
      </w:r>
    </w:p>
    <w:p w:rsidR="00486F92" w:rsidRPr="00AE0058" w:rsidRDefault="00486F92" w:rsidP="00486F92">
      <w:pPr>
        <w:pStyle w:val="Text"/>
      </w:pPr>
      <w:r>
        <w:t>None</w:t>
      </w:r>
    </w:p>
    <w:p w:rsidR="004705E2" w:rsidRPr="00AE0058" w:rsidRDefault="004705E2">
      <w:pPr>
        <w:pStyle w:val="berschriftrmischBegrndung"/>
      </w:pPr>
      <w:r>
        <w:t>Legislative powers</w:t>
      </w:r>
    </w:p>
    <w:p w:rsidR="00486F92" w:rsidRPr="00AE0058" w:rsidRDefault="00486F92" w:rsidP="00486F92">
      <w:pPr>
        <w:pStyle w:val="Text"/>
      </w:pPr>
      <w:r>
        <w:t>The exclusive legislative powers of the Federal Government for the UStatG are derived from Article 73(1)(11) of the Basic Law.</w:t>
      </w:r>
    </w:p>
    <w:p w:rsidR="004705E2" w:rsidRPr="00AE0058" w:rsidRDefault="004705E2">
      <w:pPr>
        <w:pStyle w:val="berschriftrmischBegrndung"/>
      </w:pPr>
      <w:r>
        <w:t>Compatibility with European Union law and international treaties</w:t>
      </w:r>
    </w:p>
    <w:p w:rsidR="00486F92" w:rsidRPr="00AE0058" w:rsidRDefault="00486F92" w:rsidP="00486F92">
      <w:pPr>
        <w:pStyle w:val="Text"/>
      </w:pPr>
      <w:r>
        <w:t>The draft Act is compatible with the laws of the European Union and with international treaties.</w:t>
      </w:r>
    </w:p>
    <w:p w:rsidR="004705E2" w:rsidRPr="00AE0058" w:rsidRDefault="004705E2">
      <w:pPr>
        <w:pStyle w:val="berschriftrmischBegrndung"/>
      </w:pPr>
      <w:r>
        <w:t>Legal consequences</w:t>
      </w:r>
    </w:p>
    <w:p w:rsidR="004705E2" w:rsidRPr="00AE0058" w:rsidRDefault="004705E2">
      <w:pPr>
        <w:pStyle w:val="berschriftarabischBegrndung"/>
      </w:pPr>
      <w:r>
        <w:t>Legal and administrative simplification</w:t>
      </w:r>
    </w:p>
    <w:p w:rsidR="004705E2" w:rsidRPr="00AE0058" w:rsidRDefault="00FA1FE1" w:rsidP="009B400F">
      <w:pPr>
        <w:pStyle w:val="Text"/>
        <w:keepNext/>
        <w:rPr>
          <w:b/>
        </w:rPr>
      </w:pPr>
      <w:r>
        <w:rPr>
          <w:b/>
        </w:rPr>
        <w:t>Statistics on water management and climate-relevant substances</w:t>
      </w:r>
    </w:p>
    <w:p w:rsidR="00D83627" w:rsidRPr="00AE0058" w:rsidRDefault="00D54C52" w:rsidP="009B400F">
      <w:pPr>
        <w:pStyle w:val="Text"/>
        <w:keepNext/>
        <w:rPr>
          <w:b/>
        </w:rPr>
      </w:pPr>
      <w:r>
        <w:rPr>
          <w:b/>
        </w:rPr>
        <w:t>Environmental-economic statistics</w:t>
      </w:r>
    </w:p>
    <w:p w:rsidR="00D54C52" w:rsidRPr="00AE0058" w:rsidRDefault="00D54C52">
      <w:pPr>
        <w:pStyle w:val="Text"/>
      </w:pPr>
      <w:r>
        <w:t>The more flexible wording for taking into account new environmental measures in the context of environmental economic statistics ensures a legal simplification in such a way that no amendment to the UStatG is required in the case of new policy priorities. At the same time, users, including policymakers and public administrations, will receive more accurate and, in the interests of flexibility, more up-to-date data on changing policy priorities in the field of environmental protection.</w:t>
      </w:r>
    </w:p>
    <w:p w:rsidR="004705E2" w:rsidRPr="00AE0058" w:rsidRDefault="004705E2">
      <w:pPr>
        <w:pStyle w:val="berschriftarabischBegrndung"/>
      </w:pPr>
      <w:r>
        <w:t>Sustainability aspects</w:t>
      </w:r>
    </w:p>
    <w:p w:rsidR="00360398" w:rsidRPr="00AE0058" w:rsidRDefault="00360398" w:rsidP="00360398">
      <w:pPr>
        <w:pStyle w:val="Text"/>
      </w:pPr>
      <w:r>
        <w:t>The draft Act is in keeping with the basic ideas of the Federal [German] Government regarding sustainable development in the context of the sustainability strategy. The preventive protection of ground, surface or coastal waters against any harmful impact, for example by limiting inputs of substances hazardous to water in view of the zero-emission strategy of the European Green Deal, is one of the central principles of a sustainable water policy. The statistical collection of data on sewage sludge disposal provides essential basic information in this respect.</w:t>
      </w:r>
    </w:p>
    <w:p w:rsidR="004705E2" w:rsidRPr="00AE0058" w:rsidRDefault="00360398" w:rsidP="00360398">
      <w:pPr>
        <w:pStyle w:val="Text"/>
      </w:pPr>
      <w:r>
        <w:t>Other sustainability aspects are not affected by the Act.</w:t>
      </w:r>
    </w:p>
    <w:p w:rsidR="004705E2" w:rsidRPr="00AE0058" w:rsidRDefault="004705E2">
      <w:pPr>
        <w:pStyle w:val="berschriftarabischBegrndung"/>
      </w:pPr>
      <w:r>
        <w:t>Budgetary expenditures exclusive of compliance costs</w:t>
      </w:r>
    </w:p>
    <w:p w:rsidR="0088029F" w:rsidRPr="00AE0058" w:rsidRDefault="0088029F" w:rsidP="0088029F">
      <w:pPr>
        <w:pStyle w:val="Text"/>
      </w:pPr>
      <w:r>
        <w:t>According to a cost calculation by the Federal Statistical Office, the implementation of EU law will result in an additional annual expenditure of 8 posts (3 × E14, 2 × E11, 3 ×E10) with annual compliance costs of EUR 646 672. For the area of environmental economics, additional annual material costs of EUR 24 000 will be incurred. For the conversion costs, the legal amendment will result in one-off material costs of EUR 329 908.</w:t>
      </w:r>
    </w:p>
    <w:p w:rsidR="000B2F65" w:rsidRPr="00AE0058" w:rsidRDefault="0088029F" w:rsidP="0088029F">
      <w:pPr>
        <w:pStyle w:val="Text"/>
      </w:pPr>
      <w:r>
        <w:t xml:space="preserve">Any additional material and staffing requirements will be compensated for in individual plan 06 in terms of funds and jobs. </w:t>
      </w:r>
    </w:p>
    <w:p w:rsidR="004705E2" w:rsidRPr="00AE0058" w:rsidRDefault="00942B1E" w:rsidP="0099569F">
      <w:pPr>
        <w:pStyle w:val="Text"/>
      </w:pPr>
      <w:r>
        <w:t>According to a preliminary cost calculation by the statistical offices of the federal states, additional annual costs of EUR 956 900 and one-off conversion costs of EUR 2 351 million will be incurred.</w:t>
      </w:r>
    </w:p>
    <w:p w:rsidR="000B2F65" w:rsidRPr="00AE0058" w:rsidRDefault="000B2F65" w:rsidP="00632288">
      <w:pPr>
        <w:pStyle w:val="Heading2"/>
        <w:numPr>
          <w:ilvl w:val="1"/>
          <w:numId w:val="7"/>
        </w:numPr>
        <w:rPr>
          <w:rFonts w:eastAsiaTheme="minorHAnsi"/>
          <w:bCs w:val="0"/>
          <w:i w:val="0"/>
          <w:color w:val="000000" w:themeColor="text1"/>
          <w:szCs w:val="22"/>
        </w:rPr>
      </w:pPr>
      <w:r>
        <w:rPr>
          <w:bCs w:val="0"/>
          <w:i w:val="0"/>
          <w:color w:val="000000" w:themeColor="text1"/>
          <w:szCs w:val="22"/>
        </w:rPr>
        <w:lastRenderedPageBreak/>
        <w:t>E.1 Citizens</w:t>
      </w:r>
    </w:p>
    <w:p w:rsidR="000B2F65" w:rsidRPr="00AE0058" w:rsidRDefault="000B2F65" w:rsidP="000B2F65">
      <w:pPr>
        <w:rPr>
          <w:color w:val="000000" w:themeColor="text1"/>
        </w:rPr>
      </w:pPr>
      <w:r>
        <w:rPr>
          <w:color w:val="000000" w:themeColor="text1"/>
        </w:rPr>
        <w:t>There will not be any compliance costs for citizens.</w:t>
      </w:r>
    </w:p>
    <w:p w:rsidR="000B2F65" w:rsidRPr="00AE0058" w:rsidRDefault="000B2F65" w:rsidP="00632288">
      <w:pPr>
        <w:pStyle w:val="Heading2"/>
        <w:numPr>
          <w:ilvl w:val="1"/>
          <w:numId w:val="7"/>
        </w:numPr>
        <w:rPr>
          <w:rFonts w:eastAsiaTheme="minorHAnsi"/>
          <w:bCs w:val="0"/>
          <w:i w:val="0"/>
          <w:color w:val="000000" w:themeColor="text1"/>
          <w:szCs w:val="22"/>
        </w:rPr>
      </w:pPr>
      <w:r>
        <w:rPr>
          <w:bCs w:val="0"/>
          <w:i w:val="0"/>
          <w:color w:val="000000" w:themeColor="text1"/>
          <w:szCs w:val="22"/>
        </w:rPr>
        <w:t>E.2 Businesses</w:t>
      </w:r>
    </w:p>
    <w:p w:rsidR="00744EBB" w:rsidRPr="00AE0058" w:rsidRDefault="009B6488" w:rsidP="0004027E">
      <w:r>
        <w:rPr>
          <w:color w:val="000000" w:themeColor="text1"/>
        </w:rPr>
        <w:t xml:space="preserve">Businesses will incur additional compliance costs amounting to approximately EUR 858 000. These are entirely attributable to bureaucratic costs arising from obligations to inform. </w:t>
      </w:r>
      <w:r>
        <w:t>This effort is due to the full implementation of EU legislation (Packaging Directive (Directive 94/62 EC), Single-Use Plastics Directive (Directive (EU) 2019/904), Waste Framework Directive (Directive 2008/98/EC)) and Port Reception Facilities Directive (Directive (EU) 2019/883)).</w:t>
      </w:r>
    </w:p>
    <w:p w:rsidR="00581AB6" w:rsidRPr="00AE0058" w:rsidRDefault="00581AB6" w:rsidP="00581AB6">
      <w:pPr>
        <w:pStyle w:val="Text"/>
        <w:rPr>
          <w:color w:val="000000" w:themeColor="text1"/>
        </w:rPr>
      </w:pPr>
      <w:r>
        <w:t>The draft Act fully transposes EU requirements into national law. As such, no scenario in which the ‘one-in, one-out’ rule is applied to the Federal Government’s planned regulatory arrangement is justified (refer to the cabinet decision of 25 March 2015).</w:t>
      </w:r>
    </w:p>
    <w:p w:rsidR="00581AB6" w:rsidRPr="00AE0058" w:rsidRDefault="00581AB6" w:rsidP="00581AB6">
      <w:r>
        <w:t>In keeping with the Guidelines on accounting for the needs of SMEs in regulatory impact assessment (SME test) of 30 December 2015, it was examined whether less burdensome alternative forms of regulation or support measures are also possible. In drafting the newly created § 5a, particular account was taken of the concerns of small and medium-sized enterprises (SMEs). In addition, the provisions of the draft Act are predominantly linked to the individual company structure and enable the addressees to find suitable solutions for their respective companies.</w:t>
      </w:r>
    </w:p>
    <w:p w:rsidR="00581AB6" w:rsidRPr="00AE0058" w:rsidRDefault="00581AB6" w:rsidP="00581AB6">
      <w:r>
        <w:t>In addition, it should be noted that in § 5a(1) UStatG (new), the survey on system-participating packaging is attached to the Central Packaging Register Office. This will significantly reduce the costs for business participants as compared to the current legal situation in § 5(2). In addition, § 5a(2) UStatG (new) stipulates that the survey is to be conducted among operators of reusable pools. The purpose of this is to relieve the costs for businesses involved in an ecologically particularly advantageous reusable system to the greatest extent possible by collecting as much information as possible from the operators of pool systems. The survey under § 5a(5), (6) and (7) UStatG (new) implements reporting obligations under Article 13(1) of the Single-Use Plastics Directive 2019/904 and the Port Reception Facilities Directive (EU) 2019/883. In particular, data on single-use plastic products and fishing gear placed on the market and on the waste generated from these products will be collected – in order to reduce the costs for economic operators, the collection will be based on public authorities where the data required by EU law are available. Furthermore, new and changed characteristics are added to the data delivery to meet the data requirements and reporting obligations resulting from EU legislation.</w:t>
      </w:r>
    </w:p>
    <w:p w:rsidR="00581AB6" w:rsidRPr="00AE0058" w:rsidRDefault="00581AB6" w:rsidP="00581AB6">
      <w:pPr>
        <w:rPr>
          <w:color w:val="000000" w:themeColor="text1"/>
        </w:rPr>
      </w:pPr>
      <w:r>
        <w:t>Adequate consideration has thereby been given to the interests of small and medium-sized enterprises.</w:t>
      </w:r>
    </w:p>
    <w:p w:rsidR="00744EBB" w:rsidRPr="00AE0058" w:rsidRDefault="00744EBB" w:rsidP="000B2F65">
      <w:pPr>
        <w:pStyle w:val="Text"/>
        <w:rPr>
          <w:color w:val="000000" w:themeColor="text1"/>
        </w:rPr>
      </w:pPr>
      <w:r>
        <w:rPr>
          <w:color w:val="000000" w:themeColor="text1"/>
        </w:rPr>
        <w:t>The amendment covers three statistical areas (waste statistics, water statistics and environmental-economic statistics), which are divided into the case groups below.</w:t>
      </w:r>
    </w:p>
    <w:p w:rsidR="00744EBB" w:rsidRPr="00AE0058" w:rsidRDefault="00744EBB" w:rsidP="009B400F">
      <w:pPr>
        <w:pStyle w:val="Text"/>
        <w:keepNext/>
        <w:rPr>
          <w:rFonts w:ascii="MetaNormalLF-Roman" w:hAnsi="MetaNormalLF-Roman"/>
          <w:i/>
          <w:color w:val="000000" w:themeColor="text1"/>
          <w:u w:val="single"/>
        </w:rPr>
      </w:pPr>
      <w:r>
        <w:rPr>
          <w:rFonts w:ascii="MetaNormalLF-Roman" w:hAnsi="MetaNormalLF-Roman"/>
          <w:i/>
          <w:color w:val="000000" w:themeColor="text1"/>
          <w:u w:val="single"/>
        </w:rPr>
        <w:t>Case group A: Waste statistics</w:t>
      </w:r>
    </w:p>
    <w:p w:rsidR="00744EBB" w:rsidRPr="00AE0058" w:rsidRDefault="00744EBB" w:rsidP="00744EBB">
      <w:pPr>
        <w:pStyle w:val="Text"/>
      </w:pPr>
      <w:r>
        <w:t>Changes to the waste statistics will change the annual compliance costs by around EUR 806 000.</w:t>
      </w:r>
      <w:r>
        <w:rPr>
          <w:color w:val="000000" w:themeColor="text1"/>
        </w:rPr>
        <w:t xml:space="preserve"> </w:t>
      </w:r>
      <w:r>
        <w:t>Case group A – Waste statistics is presented below for the business addressees of the standard for each individual requirement.</w:t>
      </w:r>
    </w:p>
    <w:p w:rsidR="00FB2F0D" w:rsidRPr="00AE0058" w:rsidRDefault="00FB2F0D" w:rsidP="009B400F">
      <w:pPr>
        <w:pStyle w:val="Caption"/>
        <w:keepNext/>
        <w:rPr>
          <w:b/>
          <w:color w:val="000000" w:themeColor="text1"/>
        </w:rPr>
      </w:pPr>
      <w:r>
        <w:rPr>
          <w:b/>
          <w:color w:val="000000" w:themeColor="text1"/>
        </w:rPr>
        <w:lastRenderedPageBreak/>
        <w:t xml:space="preserve">Table </w:t>
      </w:r>
      <w:r w:rsidRPr="00AE0058">
        <w:rPr>
          <w:b/>
          <w:color w:val="000000" w:themeColor="text1"/>
        </w:rPr>
        <w:fldChar w:fldCharType="begin"/>
      </w:r>
      <w:r w:rsidRPr="00AE0058">
        <w:rPr>
          <w:b/>
          <w:color w:val="000000" w:themeColor="text1"/>
        </w:rPr>
        <w:instrText xml:space="preserve"> SEQ Tabelle \* ARABIC </w:instrText>
      </w:r>
      <w:r w:rsidRPr="00AE0058">
        <w:rPr>
          <w:b/>
          <w:color w:val="000000" w:themeColor="text1"/>
        </w:rPr>
        <w:fldChar w:fldCharType="separate"/>
      </w:r>
      <w:r w:rsidR="00D43E96">
        <w:rPr>
          <w:b/>
          <w:noProof/>
          <w:color w:val="000000" w:themeColor="text1"/>
        </w:rPr>
        <w:t>1</w:t>
      </w:r>
      <w:r w:rsidRPr="00AE0058">
        <w:rPr>
          <w:b/>
          <w:color w:val="000000" w:themeColor="text1"/>
        </w:rPr>
        <w:fldChar w:fldCharType="end"/>
      </w:r>
      <w:r>
        <w:rPr>
          <w:b/>
          <w:color w:val="000000" w:themeColor="text1"/>
        </w:rPr>
        <w:t xml:space="preserve"> – Case group A – Waste statistics; annual compliance costs for businesses</w:t>
      </w:r>
    </w:p>
    <w:tbl>
      <w:tblPr>
        <w:tblStyle w:val="TableGrid"/>
        <w:tblW w:w="4938" w:type="pct"/>
        <w:tblInd w:w="57" w:type="dxa"/>
        <w:tblLayout w:type="fixed"/>
        <w:tblCellMar>
          <w:left w:w="57" w:type="dxa"/>
          <w:right w:w="57" w:type="dxa"/>
        </w:tblCellMar>
        <w:tblLook w:val="04A0" w:firstRow="1" w:lastRow="0" w:firstColumn="1" w:lastColumn="0" w:noHBand="0" w:noVBand="1"/>
      </w:tblPr>
      <w:tblGrid>
        <w:gridCol w:w="507"/>
        <w:gridCol w:w="832"/>
        <w:gridCol w:w="2037"/>
        <w:gridCol w:w="822"/>
        <w:gridCol w:w="817"/>
        <w:gridCol w:w="825"/>
        <w:gridCol w:w="945"/>
        <w:gridCol w:w="1885"/>
      </w:tblGrid>
      <w:tr w:rsidR="009B48F6" w:rsidRPr="00AE0058" w:rsidTr="006C07FA">
        <w:tc>
          <w:tcPr>
            <w:tcW w:w="292" w:type="pct"/>
            <w:shd w:val="clear" w:color="auto" w:fill="D9D9D9" w:themeFill="background1" w:themeFillShade="D9"/>
            <w:vAlign w:val="center"/>
          </w:tcPr>
          <w:p w:rsidR="009B48F6" w:rsidRPr="00AE0058" w:rsidRDefault="009B48F6" w:rsidP="009B400F">
            <w:pPr>
              <w:keepNext/>
              <w:rPr>
                <w:b/>
                <w:color w:val="000000" w:themeColor="text1"/>
                <w:sz w:val="16"/>
                <w:szCs w:val="16"/>
              </w:rPr>
            </w:pPr>
          </w:p>
        </w:tc>
        <w:tc>
          <w:tcPr>
            <w:tcW w:w="480" w:type="pct"/>
            <w:shd w:val="clear" w:color="auto" w:fill="D9D9D9" w:themeFill="background1" w:themeFillShade="D9"/>
            <w:vAlign w:val="center"/>
          </w:tcPr>
          <w:p w:rsidR="009B48F6" w:rsidRPr="00AE0058" w:rsidRDefault="009B48F6" w:rsidP="009B400F">
            <w:pPr>
              <w:keepNext/>
              <w:rPr>
                <w:b/>
                <w:color w:val="000000" w:themeColor="text1"/>
                <w:sz w:val="16"/>
                <w:szCs w:val="16"/>
              </w:rPr>
            </w:pPr>
          </w:p>
        </w:tc>
        <w:tc>
          <w:tcPr>
            <w:tcW w:w="1175" w:type="pct"/>
            <w:shd w:val="clear" w:color="auto" w:fill="D9D9D9" w:themeFill="background1" w:themeFillShade="D9"/>
            <w:vAlign w:val="center"/>
          </w:tcPr>
          <w:p w:rsidR="009B48F6" w:rsidRPr="00AE0058" w:rsidRDefault="009B48F6" w:rsidP="009B400F">
            <w:pPr>
              <w:keepNext/>
              <w:rPr>
                <w:b/>
                <w:color w:val="000000" w:themeColor="text1"/>
                <w:sz w:val="16"/>
                <w:szCs w:val="16"/>
              </w:rPr>
            </w:pPr>
          </w:p>
        </w:tc>
        <w:tc>
          <w:tcPr>
            <w:tcW w:w="945" w:type="pct"/>
            <w:gridSpan w:val="2"/>
            <w:shd w:val="clear" w:color="auto" w:fill="D9D9D9" w:themeFill="background1" w:themeFillShade="D9"/>
            <w:vAlign w:val="center"/>
          </w:tcPr>
          <w:p w:rsidR="009B48F6" w:rsidRPr="00AE0058" w:rsidRDefault="009B48F6" w:rsidP="009B400F">
            <w:pPr>
              <w:keepNext/>
              <w:rPr>
                <w:b/>
                <w:color w:val="000000" w:themeColor="text1"/>
                <w:sz w:val="16"/>
                <w:szCs w:val="16"/>
              </w:rPr>
            </w:pPr>
            <w:r>
              <w:rPr>
                <w:b/>
                <w:color w:val="000000" w:themeColor="text1"/>
                <w:sz w:val="16"/>
                <w:szCs w:val="16"/>
              </w:rPr>
              <w:t>Annual additional costs (in thousands of EUR)</w:t>
            </w:r>
          </w:p>
        </w:tc>
        <w:tc>
          <w:tcPr>
            <w:tcW w:w="1021" w:type="pct"/>
            <w:gridSpan w:val="2"/>
            <w:tcBorders>
              <w:right w:val="single" w:sz="12" w:space="0" w:color="auto"/>
            </w:tcBorders>
            <w:shd w:val="clear" w:color="auto" w:fill="D9D9D9" w:themeFill="background1" w:themeFillShade="D9"/>
            <w:vAlign w:val="center"/>
          </w:tcPr>
          <w:p w:rsidR="009B48F6" w:rsidRPr="00AE0058" w:rsidRDefault="009B48F6" w:rsidP="009B400F">
            <w:pPr>
              <w:keepNext/>
              <w:rPr>
                <w:b/>
                <w:color w:val="000000" w:themeColor="text1"/>
                <w:sz w:val="16"/>
                <w:szCs w:val="16"/>
              </w:rPr>
            </w:pPr>
            <w:r>
              <w:rPr>
                <w:b/>
                <w:color w:val="000000" w:themeColor="text1"/>
                <w:sz w:val="16"/>
                <w:szCs w:val="16"/>
              </w:rPr>
              <w:t>Annual reduction in costs (in thousands of EUR)</w:t>
            </w:r>
          </w:p>
        </w:tc>
        <w:tc>
          <w:tcPr>
            <w:tcW w:w="1087" w:type="pct"/>
            <w:tcBorders>
              <w:left w:val="single" w:sz="12" w:space="0" w:color="auto"/>
            </w:tcBorders>
            <w:shd w:val="clear" w:color="auto" w:fill="D9D9D9" w:themeFill="background1" w:themeFillShade="D9"/>
            <w:vAlign w:val="center"/>
          </w:tcPr>
          <w:p w:rsidR="009B48F6" w:rsidRPr="00AE0058" w:rsidRDefault="009B48F6" w:rsidP="009B400F">
            <w:pPr>
              <w:keepNext/>
              <w:rPr>
                <w:b/>
                <w:color w:val="000000" w:themeColor="text1"/>
                <w:sz w:val="16"/>
              </w:rPr>
            </w:pPr>
            <w:r>
              <w:rPr>
                <w:b/>
                <w:color w:val="000000" w:themeColor="text1"/>
                <w:sz w:val="16"/>
                <w:szCs w:val="16"/>
              </w:rPr>
              <w:t>Change in</w:t>
            </w:r>
            <w:r>
              <w:rPr>
                <w:b/>
                <w:color w:val="000000" w:themeColor="text1"/>
                <w:sz w:val="16"/>
              </w:rPr>
              <w:t xml:space="preserve"> the annual compliance costs</w:t>
            </w:r>
          </w:p>
        </w:tc>
      </w:tr>
      <w:tr w:rsidR="009B48F6" w:rsidRPr="00AE0058" w:rsidTr="006C07FA">
        <w:tc>
          <w:tcPr>
            <w:tcW w:w="292" w:type="pct"/>
            <w:shd w:val="clear" w:color="auto" w:fill="D9D9D9" w:themeFill="background1" w:themeFillShade="D9"/>
            <w:vAlign w:val="center"/>
          </w:tcPr>
          <w:p w:rsidR="009B48F6" w:rsidRPr="00AE0058" w:rsidRDefault="009B48F6" w:rsidP="009B400F">
            <w:pPr>
              <w:keepNext/>
              <w:rPr>
                <w:b/>
                <w:color w:val="000000" w:themeColor="text1"/>
                <w:sz w:val="16"/>
                <w:szCs w:val="16"/>
              </w:rPr>
            </w:pPr>
            <w:r>
              <w:rPr>
                <w:b/>
                <w:color w:val="000000" w:themeColor="text1"/>
                <w:sz w:val="16"/>
                <w:szCs w:val="16"/>
              </w:rPr>
              <w:t>Target</w:t>
            </w:r>
          </w:p>
        </w:tc>
        <w:tc>
          <w:tcPr>
            <w:tcW w:w="480" w:type="pct"/>
            <w:shd w:val="clear" w:color="auto" w:fill="D9D9D9" w:themeFill="background1" w:themeFillShade="D9"/>
            <w:vAlign w:val="center"/>
          </w:tcPr>
          <w:p w:rsidR="009B48F6" w:rsidRPr="00AE0058" w:rsidRDefault="009B48F6" w:rsidP="009B400F">
            <w:pPr>
              <w:keepNext/>
              <w:rPr>
                <w:b/>
                <w:color w:val="000000" w:themeColor="text1"/>
                <w:sz w:val="16"/>
                <w:szCs w:val="16"/>
              </w:rPr>
            </w:pPr>
            <w:r>
              <w:rPr>
                <w:b/>
                <w:color w:val="000000" w:themeColor="text1"/>
                <w:sz w:val="16"/>
                <w:szCs w:val="16"/>
              </w:rPr>
              <w:t>Paragraph</w:t>
            </w:r>
          </w:p>
        </w:tc>
        <w:tc>
          <w:tcPr>
            <w:tcW w:w="1175" w:type="pct"/>
            <w:shd w:val="clear" w:color="auto" w:fill="D9D9D9" w:themeFill="background1" w:themeFillShade="D9"/>
            <w:vAlign w:val="center"/>
          </w:tcPr>
          <w:p w:rsidR="009B48F6" w:rsidRPr="00AE0058" w:rsidRDefault="009B48F6" w:rsidP="009B400F">
            <w:pPr>
              <w:keepNext/>
              <w:rPr>
                <w:b/>
                <w:color w:val="000000" w:themeColor="text1"/>
                <w:sz w:val="16"/>
                <w:szCs w:val="16"/>
              </w:rPr>
            </w:pPr>
            <w:r>
              <w:rPr>
                <w:b/>
                <w:color w:val="000000" w:themeColor="text1"/>
                <w:sz w:val="16"/>
                <w:szCs w:val="16"/>
              </w:rPr>
              <w:t>Target description</w:t>
            </w:r>
          </w:p>
        </w:tc>
        <w:tc>
          <w:tcPr>
            <w:tcW w:w="474" w:type="pct"/>
            <w:shd w:val="clear" w:color="auto" w:fill="D9D9D9" w:themeFill="background1" w:themeFillShade="D9"/>
            <w:vAlign w:val="center"/>
          </w:tcPr>
          <w:p w:rsidR="009B48F6" w:rsidRPr="00AE0058" w:rsidRDefault="009B48F6" w:rsidP="009B400F">
            <w:pPr>
              <w:keepNext/>
              <w:rPr>
                <w:b/>
                <w:color w:val="000000" w:themeColor="text1"/>
                <w:sz w:val="16"/>
                <w:szCs w:val="16"/>
              </w:rPr>
            </w:pPr>
            <w:r>
              <w:rPr>
                <w:b/>
                <w:color w:val="000000" w:themeColor="text1"/>
                <w:sz w:val="16"/>
                <w:szCs w:val="16"/>
              </w:rPr>
              <w:t>Personnel costs</w:t>
            </w:r>
          </w:p>
        </w:tc>
        <w:tc>
          <w:tcPr>
            <w:tcW w:w="471" w:type="pct"/>
            <w:shd w:val="clear" w:color="auto" w:fill="D9D9D9" w:themeFill="background1" w:themeFillShade="D9"/>
            <w:vAlign w:val="center"/>
          </w:tcPr>
          <w:p w:rsidR="009B48F6" w:rsidRPr="00AE0058" w:rsidRDefault="009B48F6" w:rsidP="009B400F">
            <w:pPr>
              <w:keepNext/>
              <w:rPr>
                <w:b/>
                <w:color w:val="000000" w:themeColor="text1"/>
                <w:sz w:val="16"/>
                <w:szCs w:val="16"/>
              </w:rPr>
            </w:pPr>
            <w:r>
              <w:rPr>
                <w:b/>
                <w:color w:val="000000" w:themeColor="text1"/>
                <w:sz w:val="16"/>
                <w:szCs w:val="16"/>
              </w:rPr>
              <w:t>Material costs</w:t>
            </w:r>
          </w:p>
        </w:tc>
        <w:tc>
          <w:tcPr>
            <w:tcW w:w="476" w:type="pct"/>
            <w:shd w:val="clear" w:color="auto" w:fill="D9D9D9" w:themeFill="background1" w:themeFillShade="D9"/>
            <w:vAlign w:val="center"/>
          </w:tcPr>
          <w:p w:rsidR="009B48F6" w:rsidRPr="00AE0058" w:rsidRDefault="009B48F6" w:rsidP="009B400F">
            <w:pPr>
              <w:keepNext/>
              <w:rPr>
                <w:b/>
                <w:color w:val="000000" w:themeColor="text1"/>
                <w:sz w:val="16"/>
                <w:szCs w:val="16"/>
              </w:rPr>
            </w:pPr>
            <w:r>
              <w:rPr>
                <w:b/>
                <w:color w:val="000000" w:themeColor="text1"/>
                <w:sz w:val="16"/>
                <w:szCs w:val="16"/>
              </w:rPr>
              <w:t>Personnel costs</w:t>
            </w:r>
          </w:p>
        </w:tc>
        <w:tc>
          <w:tcPr>
            <w:tcW w:w="545" w:type="pct"/>
            <w:tcBorders>
              <w:right w:val="single" w:sz="12" w:space="0" w:color="auto"/>
            </w:tcBorders>
            <w:shd w:val="clear" w:color="auto" w:fill="D9D9D9" w:themeFill="background1" w:themeFillShade="D9"/>
            <w:vAlign w:val="center"/>
          </w:tcPr>
          <w:p w:rsidR="009B48F6" w:rsidRPr="00AE0058" w:rsidRDefault="009B48F6" w:rsidP="009B400F">
            <w:pPr>
              <w:keepNext/>
              <w:rPr>
                <w:b/>
                <w:color w:val="000000" w:themeColor="text1"/>
                <w:sz w:val="16"/>
                <w:szCs w:val="16"/>
              </w:rPr>
            </w:pPr>
            <w:r>
              <w:rPr>
                <w:b/>
                <w:color w:val="000000" w:themeColor="text1"/>
                <w:sz w:val="16"/>
                <w:szCs w:val="16"/>
              </w:rPr>
              <w:t>Material costs</w:t>
            </w:r>
          </w:p>
        </w:tc>
        <w:tc>
          <w:tcPr>
            <w:tcW w:w="1087" w:type="pct"/>
            <w:tcBorders>
              <w:left w:val="single" w:sz="12" w:space="0" w:color="auto"/>
            </w:tcBorders>
            <w:shd w:val="clear" w:color="auto" w:fill="D9D9D9" w:themeFill="background1" w:themeFillShade="D9"/>
            <w:vAlign w:val="center"/>
          </w:tcPr>
          <w:p w:rsidR="009B48F6" w:rsidRPr="00AE0058" w:rsidRDefault="009B48F6" w:rsidP="009B400F">
            <w:pPr>
              <w:keepNext/>
              <w:rPr>
                <w:b/>
                <w:color w:val="000000" w:themeColor="text1"/>
                <w:sz w:val="16"/>
                <w:szCs w:val="16"/>
              </w:rPr>
            </w:pPr>
            <w:r>
              <w:rPr>
                <w:b/>
                <w:color w:val="000000" w:themeColor="text1"/>
                <w:sz w:val="16"/>
                <w:szCs w:val="16"/>
              </w:rPr>
              <w:t>Total costs</w:t>
            </w:r>
          </w:p>
        </w:tc>
      </w:tr>
      <w:tr w:rsidR="009B48F6" w:rsidRPr="00AE0058" w:rsidTr="006C07FA">
        <w:tc>
          <w:tcPr>
            <w:tcW w:w="292" w:type="pct"/>
            <w:shd w:val="clear" w:color="auto" w:fill="D9D9D9" w:themeFill="background1" w:themeFillShade="D9"/>
            <w:vAlign w:val="center"/>
          </w:tcPr>
          <w:p w:rsidR="009B48F6" w:rsidRPr="00AE0058" w:rsidRDefault="009B48F6" w:rsidP="009B400F">
            <w:pPr>
              <w:keepNext/>
              <w:rPr>
                <w:b/>
                <w:color w:val="000000" w:themeColor="text1"/>
                <w:sz w:val="16"/>
                <w:szCs w:val="16"/>
              </w:rPr>
            </w:pPr>
          </w:p>
        </w:tc>
        <w:tc>
          <w:tcPr>
            <w:tcW w:w="480" w:type="pct"/>
            <w:shd w:val="clear" w:color="auto" w:fill="D9D9D9" w:themeFill="background1" w:themeFillShade="D9"/>
            <w:vAlign w:val="center"/>
          </w:tcPr>
          <w:p w:rsidR="009B48F6" w:rsidRPr="00AE0058" w:rsidRDefault="009B48F6" w:rsidP="009B400F">
            <w:pPr>
              <w:keepNext/>
              <w:rPr>
                <w:b/>
                <w:color w:val="000000" w:themeColor="text1"/>
                <w:sz w:val="16"/>
                <w:szCs w:val="16"/>
              </w:rPr>
            </w:pPr>
          </w:p>
        </w:tc>
        <w:tc>
          <w:tcPr>
            <w:tcW w:w="1175" w:type="pct"/>
            <w:shd w:val="clear" w:color="auto" w:fill="D9D9D9" w:themeFill="background1" w:themeFillShade="D9"/>
            <w:vAlign w:val="center"/>
          </w:tcPr>
          <w:p w:rsidR="009B48F6" w:rsidRPr="00AE0058" w:rsidRDefault="009B48F6" w:rsidP="009B400F">
            <w:pPr>
              <w:keepNext/>
              <w:rPr>
                <w:b/>
                <w:color w:val="000000" w:themeColor="text1"/>
                <w:sz w:val="16"/>
                <w:szCs w:val="16"/>
              </w:rPr>
            </w:pPr>
          </w:p>
        </w:tc>
        <w:tc>
          <w:tcPr>
            <w:tcW w:w="3053" w:type="pct"/>
            <w:gridSpan w:val="5"/>
            <w:shd w:val="clear" w:color="auto" w:fill="D9D9D9" w:themeFill="background1" w:themeFillShade="D9"/>
            <w:vAlign w:val="center"/>
          </w:tcPr>
          <w:p w:rsidR="009B48F6" w:rsidRPr="00AE0058" w:rsidRDefault="009B48F6" w:rsidP="009B400F">
            <w:pPr>
              <w:keepNext/>
              <w:jc w:val="center"/>
              <w:rPr>
                <w:b/>
                <w:color w:val="000000" w:themeColor="text1"/>
                <w:sz w:val="16"/>
              </w:rPr>
            </w:pPr>
            <w:r>
              <w:rPr>
                <w:b/>
                <w:color w:val="000000" w:themeColor="text1"/>
                <w:sz w:val="16"/>
                <w:szCs w:val="16"/>
              </w:rPr>
              <w:t xml:space="preserve">In thousands of </w:t>
            </w:r>
            <w:r>
              <w:rPr>
                <w:b/>
                <w:color w:val="000000" w:themeColor="text1"/>
                <w:sz w:val="16"/>
              </w:rPr>
              <w:t>EUR</w:t>
            </w:r>
          </w:p>
        </w:tc>
      </w:tr>
      <w:tr w:rsidR="009B48F6" w:rsidRPr="00AE0058" w:rsidTr="006C07FA">
        <w:tc>
          <w:tcPr>
            <w:tcW w:w="292" w:type="pct"/>
            <w:vAlign w:val="center"/>
          </w:tcPr>
          <w:p w:rsidR="009B48F6" w:rsidRPr="00AE0058" w:rsidRDefault="009B48F6" w:rsidP="005354E9">
            <w:pPr>
              <w:rPr>
                <w:color w:val="000000" w:themeColor="text1"/>
                <w:sz w:val="16"/>
                <w:szCs w:val="16"/>
              </w:rPr>
            </w:pPr>
            <w:r>
              <w:rPr>
                <w:color w:val="000000" w:themeColor="text1"/>
                <w:sz w:val="16"/>
                <w:szCs w:val="16"/>
              </w:rPr>
              <w:t>1</w:t>
            </w:r>
          </w:p>
        </w:tc>
        <w:tc>
          <w:tcPr>
            <w:tcW w:w="480" w:type="pct"/>
            <w:vAlign w:val="center"/>
          </w:tcPr>
          <w:p w:rsidR="009B48F6" w:rsidRPr="00AE0058" w:rsidRDefault="009B48F6" w:rsidP="005354E9">
            <w:pPr>
              <w:rPr>
                <w:color w:val="000000" w:themeColor="text1"/>
                <w:sz w:val="16"/>
                <w:szCs w:val="16"/>
              </w:rPr>
            </w:pPr>
            <w:r>
              <w:rPr>
                <w:color w:val="000000" w:themeColor="text1"/>
                <w:sz w:val="16"/>
                <w:szCs w:val="16"/>
              </w:rPr>
              <w:t>§ 5(2) UStatG</w:t>
            </w:r>
          </w:p>
        </w:tc>
        <w:tc>
          <w:tcPr>
            <w:tcW w:w="1175" w:type="pct"/>
            <w:vAlign w:val="center"/>
          </w:tcPr>
          <w:p w:rsidR="009B48F6" w:rsidRPr="00AE0058" w:rsidRDefault="009B48F6" w:rsidP="005354E9">
            <w:pPr>
              <w:rPr>
                <w:color w:val="000000" w:themeColor="text1"/>
                <w:sz w:val="16"/>
                <w:szCs w:val="16"/>
              </w:rPr>
            </w:pPr>
            <w:r>
              <w:rPr>
                <w:color w:val="000000" w:themeColor="text1"/>
                <w:sz w:val="16"/>
                <w:szCs w:val="16"/>
              </w:rPr>
              <w:t>Survey of the collection of transport packaging and secondary packaging</w:t>
            </w:r>
          </w:p>
        </w:tc>
        <w:tc>
          <w:tcPr>
            <w:tcW w:w="474" w:type="pct"/>
            <w:vAlign w:val="center"/>
          </w:tcPr>
          <w:p w:rsidR="009B48F6" w:rsidRPr="00AE0058" w:rsidRDefault="009B48F6" w:rsidP="005354E9">
            <w:pPr>
              <w:jc w:val="right"/>
              <w:rPr>
                <w:color w:val="000000" w:themeColor="text1"/>
                <w:sz w:val="16"/>
                <w:szCs w:val="16"/>
              </w:rPr>
            </w:pPr>
            <w:r>
              <w:rPr>
                <w:color w:val="000000" w:themeColor="text1"/>
                <w:sz w:val="16"/>
                <w:szCs w:val="16"/>
              </w:rPr>
              <w:t>-</w:t>
            </w:r>
          </w:p>
        </w:tc>
        <w:tc>
          <w:tcPr>
            <w:tcW w:w="471" w:type="pct"/>
            <w:vAlign w:val="center"/>
          </w:tcPr>
          <w:p w:rsidR="009B48F6" w:rsidRPr="00AE0058" w:rsidRDefault="009B48F6" w:rsidP="005354E9">
            <w:pPr>
              <w:jc w:val="right"/>
              <w:rPr>
                <w:color w:val="000000" w:themeColor="text1"/>
                <w:sz w:val="16"/>
                <w:szCs w:val="16"/>
              </w:rPr>
            </w:pPr>
            <w:r>
              <w:rPr>
                <w:color w:val="000000" w:themeColor="text1"/>
                <w:sz w:val="16"/>
                <w:szCs w:val="16"/>
              </w:rPr>
              <w:t>-</w:t>
            </w:r>
          </w:p>
        </w:tc>
        <w:tc>
          <w:tcPr>
            <w:tcW w:w="476" w:type="pct"/>
            <w:vAlign w:val="center"/>
          </w:tcPr>
          <w:p w:rsidR="009B48F6" w:rsidRPr="00AE0058" w:rsidRDefault="009B48F6" w:rsidP="005354E9">
            <w:pPr>
              <w:jc w:val="right"/>
              <w:rPr>
                <w:color w:val="000000" w:themeColor="text1"/>
                <w:sz w:val="16"/>
                <w:szCs w:val="16"/>
              </w:rPr>
            </w:pPr>
            <w:r>
              <w:rPr>
                <w:color w:val="000000" w:themeColor="text1"/>
                <w:sz w:val="16"/>
                <w:szCs w:val="16"/>
              </w:rPr>
              <w:t>61</w:t>
            </w:r>
          </w:p>
        </w:tc>
        <w:tc>
          <w:tcPr>
            <w:tcW w:w="545" w:type="pct"/>
            <w:tcBorders>
              <w:right w:val="single" w:sz="12" w:space="0" w:color="auto"/>
            </w:tcBorders>
            <w:vAlign w:val="center"/>
          </w:tcPr>
          <w:p w:rsidR="009B48F6" w:rsidRPr="00AE0058" w:rsidRDefault="009B48F6" w:rsidP="005354E9">
            <w:pPr>
              <w:jc w:val="right"/>
              <w:rPr>
                <w:color w:val="000000" w:themeColor="text1"/>
                <w:sz w:val="16"/>
                <w:szCs w:val="16"/>
              </w:rPr>
            </w:pPr>
            <w:r>
              <w:rPr>
                <w:color w:val="000000" w:themeColor="text1"/>
                <w:sz w:val="16"/>
                <w:szCs w:val="16"/>
              </w:rPr>
              <w:t>-</w:t>
            </w:r>
          </w:p>
        </w:tc>
        <w:tc>
          <w:tcPr>
            <w:tcW w:w="1087" w:type="pct"/>
            <w:tcBorders>
              <w:left w:val="single" w:sz="12" w:space="0" w:color="auto"/>
            </w:tcBorders>
            <w:vAlign w:val="center"/>
          </w:tcPr>
          <w:p w:rsidR="009B48F6" w:rsidRPr="00AE0058" w:rsidRDefault="009B48F6" w:rsidP="005354E9">
            <w:pPr>
              <w:jc w:val="right"/>
              <w:rPr>
                <w:color w:val="000000" w:themeColor="text1"/>
                <w:sz w:val="16"/>
                <w:szCs w:val="16"/>
              </w:rPr>
            </w:pPr>
            <w:r>
              <w:rPr>
                <w:color w:val="000000" w:themeColor="text1"/>
                <w:sz w:val="16"/>
                <w:szCs w:val="16"/>
              </w:rPr>
              <w:t>-61</w:t>
            </w:r>
          </w:p>
        </w:tc>
      </w:tr>
      <w:tr w:rsidR="009B48F6" w:rsidRPr="00AE0058" w:rsidTr="006C07FA">
        <w:tc>
          <w:tcPr>
            <w:tcW w:w="292" w:type="pct"/>
            <w:vAlign w:val="center"/>
          </w:tcPr>
          <w:p w:rsidR="009B48F6" w:rsidRPr="00AE0058" w:rsidRDefault="009B48F6" w:rsidP="005354E9">
            <w:pPr>
              <w:rPr>
                <w:color w:val="000000" w:themeColor="text1"/>
                <w:sz w:val="16"/>
                <w:szCs w:val="16"/>
              </w:rPr>
            </w:pPr>
            <w:r>
              <w:rPr>
                <w:color w:val="000000" w:themeColor="text1"/>
                <w:sz w:val="16"/>
                <w:szCs w:val="16"/>
              </w:rPr>
              <w:t>2</w:t>
            </w:r>
          </w:p>
        </w:tc>
        <w:tc>
          <w:tcPr>
            <w:tcW w:w="480" w:type="pct"/>
            <w:vAlign w:val="center"/>
          </w:tcPr>
          <w:p w:rsidR="009B48F6" w:rsidRPr="00AE0058" w:rsidRDefault="009B48F6" w:rsidP="005354E9">
            <w:pPr>
              <w:rPr>
                <w:color w:val="000000" w:themeColor="text1"/>
                <w:sz w:val="16"/>
                <w:szCs w:val="16"/>
              </w:rPr>
            </w:pPr>
            <w:r>
              <w:rPr>
                <w:color w:val="000000" w:themeColor="text1"/>
                <w:sz w:val="16"/>
                <w:szCs w:val="16"/>
              </w:rPr>
              <w:t>§ 5a(2) UStatG</w:t>
            </w:r>
          </w:p>
        </w:tc>
        <w:tc>
          <w:tcPr>
            <w:tcW w:w="1175" w:type="pct"/>
            <w:vAlign w:val="center"/>
          </w:tcPr>
          <w:p w:rsidR="009B48F6" w:rsidRPr="00AE0058" w:rsidRDefault="009B48F6" w:rsidP="005354E9">
            <w:pPr>
              <w:rPr>
                <w:color w:val="000000" w:themeColor="text1"/>
                <w:sz w:val="16"/>
                <w:szCs w:val="16"/>
              </w:rPr>
            </w:pPr>
            <w:r>
              <w:rPr>
                <w:color w:val="000000" w:themeColor="text1"/>
                <w:sz w:val="16"/>
                <w:szCs w:val="16"/>
              </w:rPr>
              <w:t>Survey of the placing on the market and disposal of certain products – natural persons or legal entities or partnerships</w:t>
            </w:r>
          </w:p>
        </w:tc>
        <w:tc>
          <w:tcPr>
            <w:tcW w:w="474" w:type="pct"/>
            <w:vAlign w:val="center"/>
          </w:tcPr>
          <w:p w:rsidR="009B48F6" w:rsidRPr="00AE0058" w:rsidRDefault="009B48F6" w:rsidP="005354E9">
            <w:pPr>
              <w:jc w:val="right"/>
              <w:rPr>
                <w:color w:val="000000" w:themeColor="text1"/>
                <w:sz w:val="16"/>
                <w:szCs w:val="16"/>
              </w:rPr>
            </w:pPr>
            <w:r>
              <w:rPr>
                <w:color w:val="000000" w:themeColor="text1"/>
                <w:sz w:val="16"/>
                <w:szCs w:val="16"/>
              </w:rPr>
              <w:t>35</w:t>
            </w:r>
          </w:p>
        </w:tc>
        <w:tc>
          <w:tcPr>
            <w:tcW w:w="471" w:type="pct"/>
            <w:vAlign w:val="center"/>
          </w:tcPr>
          <w:p w:rsidR="009B48F6" w:rsidRPr="00AE0058" w:rsidRDefault="009B48F6" w:rsidP="005354E9">
            <w:pPr>
              <w:jc w:val="right"/>
              <w:rPr>
                <w:color w:val="000000" w:themeColor="text1"/>
                <w:sz w:val="16"/>
                <w:szCs w:val="16"/>
              </w:rPr>
            </w:pPr>
            <w:r>
              <w:rPr>
                <w:color w:val="000000" w:themeColor="text1"/>
                <w:sz w:val="16"/>
                <w:szCs w:val="16"/>
              </w:rPr>
              <w:t>-</w:t>
            </w:r>
          </w:p>
        </w:tc>
        <w:tc>
          <w:tcPr>
            <w:tcW w:w="476" w:type="pct"/>
            <w:vAlign w:val="center"/>
          </w:tcPr>
          <w:p w:rsidR="009B48F6" w:rsidRPr="00AE0058" w:rsidRDefault="009B48F6" w:rsidP="005354E9">
            <w:pPr>
              <w:jc w:val="right"/>
              <w:rPr>
                <w:color w:val="000000" w:themeColor="text1"/>
                <w:sz w:val="16"/>
                <w:szCs w:val="16"/>
              </w:rPr>
            </w:pPr>
            <w:r>
              <w:rPr>
                <w:color w:val="000000" w:themeColor="text1"/>
                <w:sz w:val="16"/>
                <w:szCs w:val="16"/>
              </w:rPr>
              <w:t>-</w:t>
            </w:r>
          </w:p>
        </w:tc>
        <w:tc>
          <w:tcPr>
            <w:tcW w:w="545" w:type="pct"/>
            <w:tcBorders>
              <w:right w:val="single" w:sz="12" w:space="0" w:color="auto"/>
            </w:tcBorders>
            <w:vAlign w:val="center"/>
          </w:tcPr>
          <w:p w:rsidR="009B48F6" w:rsidRPr="00AE0058" w:rsidRDefault="009B48F6" w:rsidP="005354E9">
            <w:pPr>
              <w:jc w:val="right"/>
              <w:rPr>
                <w:color w:val="000000" w:themeColor="text1"/>
                <w:sz w:val="16"/>
                <w:szCs w:val="16"/>
              </w:rPr>
            </w:pPr>
            <w:r>
              <w:rPr>
                <w:color w:val="000000" w:themeColor="text1"/>
                <w:sz w:val="16"/>
                <w:szCs w:val="16"/>
              </w:rPr>
              <w:t>-</w:t>
            </w:r>
          </w:p>
        </w:tc>
        <w:tc>
          <w:tcPr>
            <w:tcW w:w="1087" w:type="pct"/>
            <w:tcBorders>
              <w:left w:val="single" w:sz="12" w:space="0" w:color="auto"/>
            </w:tcBorders>
            <w:vAlign w:val="center"/>
          </w:tcPr>
          <w:p w:rsidR="009B48F6" w:rsidRPr="00AE0058" w:rsidRDefault="009B48F6" w:rsidP="005354E9">
            <w:pPr>
              <w:jc w:val="right"/>
              <w:rPr>
                <w:color w:val="000000" w:themeColor="text1"/>
                <w:sz w:val="16"/>
                <w:szCs w:val="16"/>
              </w:rPr>
            </w:pPr>
            <w:r>
              <w:rPr>
                <w:color w:val="000000" w:themeColor="text1"/>
                <w:sz w:val="16"/>
                <w:szCs w:val="16"/>
              </w:rPr>
              <w:t>35</w:t>
            </w:r>
          </w:p>
        </w:tc>
      </w:tr>
      <w:tr w:rsidR="009B48F6" w:rsidRPr="00AE0058" w:rsidTr="006C07FA">
        <w:tc>
          <w:tcPr>
            <w:tcW w:w="292" w:type="pct"/>
            <w:vAlign w:val="center"/>
          </w:tcPr>
          <w:p w:rsidR="009B48F6" w:rsidRPr="00AE0058" w:rsidRDefault="009B48F6" w:rsidP="005354E9">
            <w:pPr>
              <w:rPr>
                <w:color w:val="000000" w:themeColor="text1"/>
                <w:sz w:val="16"/>
                <w:szCs w:val="16"/>
              </w:rPr>
            </w:pPr>
            <w:r>
              <w:rPr>
                <w:color w:val="000000" w:themeColor="text1"/>
                <w:sz w:val="16"/>
                <w:szCs w:val="16"/>
              </w:rPr>
              <w:t>3</w:t>
            </w:r>
          </w:p>
        </w:tc>
        <w:tc>
          <w:tcPr>
            <w:tcW w:w="480" w:type="pct"/>
            <w:vAlign w:val="center"/>
          </w:tcPr>
          <w:p w:rsidR="009B48F6" w:rsidRPr="00AE0058" w:rsidRDefault="009B48F6" w:rsidP="005354E9">
            <w:pPr>
              <w:rPr>
                <w:color w:val="000000" w:themeColor="text1"/>
                <w:sz w:val="16"/>
                <w:szCs w:val="16"/>
              </w:rPr>
            </w:pPr>
            <w:r>
              <w:rPr>
                <w:color w:val="000000" w:themeColor="text1"/>
                <w:sz w:val="16"/>
                <w:szCs w:val="16"/>
              </w:rPr>
              <w:t>§ 5a(3) UStatG</w:t>
            </w:r>
          </w:p>
        </w:tc>
        <w:tc>
          <w:tcPr>
            <w:tcW w:w="1175" w:type="pct"/>
            <w:vAlign w:val="center"/>
          </w:tcPr>
          <w:p w:rsidR="009B48F6" w:rsidRPr="00AE0058" w:rsidRDefault="009B48F6" w:rsidP="005354E9">
            <w:pPr>
              <w:rPr>
                <w:color w:val="000000" w:themeColor="text1"/>
                <w:sz w:val="16"/>
                <w:szCs w:val="16"/>
              </w:rPr>
            </w:pPr>
            <w:r>
              <w:rPr>
                <w:color w:val="000000" w:themeColor="text1"/>
                <w:sz w:val="16"/>
                <w:szCs w:val="16"/>
              </w:rPr>
              <w:t>Survey of the placing on the market and disposal of certain products – Producers</w:t>
            </w:r>
          </w:p>
        </w:tc>
        <w:tc>
          <w:tcPr>
            <w:tcW w:w="474" w:type="pct"/>
            <w:vAlign w:val="center"/>
          </w:tcPr>
          <w:p w:rsidR="009B48F6" w:rsidRPr="00AE0058" w:rsidRDefault="00D241FE" w:rsidP="005354E9">
            <w:pPr>
              <w:jc w:val="right"/>
              <w:rPr>
                <w:color w:val="000000" w:themeColor="text1"/>
                <w:sz w:val="16"/>
                <w:szCs w:val="16"/>
              </w:rPr>
            </w:pPr>
            <w:r>
              <w:rPr>
                <w:color w:val="000000" w:themeColor="text1"/>
                <w:sz w:val="16"/>
                <w:szCs w:val="16"/>
              </w:rPr>
              <w:t>770</w:t>
            </w:r>
          </w:p>
        </w:tc>
        <w:tc>
          <w:tcPr>
            <w:tcW w:w="471" w:type="pct"/>
            <w:vAlign w:val="center"/>
          </w:tcPr>
          <w:p w:rsidR="009B48F6" w:rsidRPr="00AE0058" w:rsidRDefault="009B48F6" w:rsidP="005354E9">
            <w:pPr>
              <w:jc w:val="right"/>
              <w:rPr>
                <w:color w:val="000000" w:themeColor="text1"/>
                <w:sz w:val="16"/>
                <w:szCs w:val="16"/>
              </w:rPr>
            </w:pPr>
            <w:r>
              <w:rPr>
                <w:color w:val="000000" w:themeColor="text1"/>
                <w:sz w:val="16"/>
                <w:szCs w:val="16"/>
              </w:rPr>
              <w:t>-</w:t>
            </w:r>
          </w:p>
        </w:tc>
        <w:tc>
          <w:tcPr>
            <w:tcW w:w="476" w:type="pct"/>
            <w:vAlign w:val="center"/>
          </w:tcPr>
          <w:p w:rsidR="009B48F6" w:rsidRPr="00AE0058" w:rsidRDefault="009B48F6" w:rsidP="005354E9">
            <w:pPr>
              <w:jc w:val="right"/>
              <w:rPr>
                <w:color w:val="000000" w:themeColor="text1"/>
                <w:sz w:val="16"/>
                <w:szCs w:val="16"/>
              </w:rPr>
            </w:pPr>
            <w:r>
              <w:rPr>
                <w:color w:val="000000" w:themeColor="text1"/>
                <w:sz w:val="16"/>
                <w:szCs w:val="16"/>
              </w:rPr>
              <w:t>-</w:t>
            </w:r>
          </w:p>
        </w:tc>
        <w:tc>
          <w:tcPr>
            <w:tcW w:w="545" w:type="pct"/>
            <w:tcBorders>
              <w:right w:val="single" w:sz="12" w:space="0" w:color="auto"/>
            </w:tcBorders>
            <w:vAlign w:val="center"/>
          </w:tcPr>
          <w:p w:rsidR="009B48F6" w:rsidRPr="00AE0058" w:rsidRDefault="009B48F6" w:rsidP="005354E9">
            <w:pPr>
              <w:jc w:val="right"/>
              <w:rPr>
                <w:color w:val="000000" w:themeColor="text1"/>
                <w:sz w:val="16"/>
                <w:szCs w:val="16"/>
              </w:rPr>
            </w:pPr>
            <w:r>
              <w:rPr>
                <w:color w:val="000000" w:themeColor="text1"/>
                <w:sz w:val="16"/>
                <w:szCs w:val="16"/>
              </w:rPr>
              <w:t>-</w:t>
            </w:r>
          </w:p>
        </w:tc>
        <w:tc>
          <w:tcPr>
            <w:tcW w:w="1087" w:type="pct"/>
            <w:tcBorders>
              <w:left w:val="single" w:sz="12" w:space="0" w:color="auto"/>
            </w:tcBorders>
            <w:vAlign w:val="center"/>
          </w:tcPr>
          <w:p w:rsidR="009B48F6" w:rsidRPr="00AE0058" w:rsidRDefault="00D241FE" w:rsidP="005354E9">
            <w:pPr>
              <w:jc w:val="right"/>
              <w:rPr>
                <w:color w:val="000000" w:themeColor="text1"/>
                <w:sz w:val="16"/>
                <w:szCs w:val="16"/>
              </w:rPr>
            </w:pPr>
            <w:r>
              <w:rPr>
                <w:color w:val="000000" w:themeColor="text1"/>
                <w:sz w:val="16"/>
                <w:szCs w:val="16"/>
              </w:rPr>
              <w:t>770</w:t>
            </w:r>
          </w:p>
        </w:tc>
      </w:tr>
      <w:tr w:rsidR="009B48F6" w:rsidRPr="00AE0058" w:rsidTr="006C07FA">
        <w:tc>
          <w:tcPr>
            <w:tcW w:w="292" w:type="pct"/>
            <w:vAlign w:val="center"/>
          </w:tcPr>
          <w:p w:rsidR="009B48F6" w:rsidRPr="00AE0058" w:rsidRDefault="009B48F6" w:rsidP="005354E9">
            <w:pPr>
              <w:rPr>
                <w:color w:val="000000" w:themeColor="text1"/>
                <w:sz w:val="16"/>
                <w:szCs w:val="16"/>
              </w:rPr>
            </w:pPr>
            <w:r>
              <w:rPr>
                <w:color w:val="000000" w:themeColor="text1"/>
                <w:sz w:val="16"/>
                <w:szCs w:val="16"/>
              </w:rPr>
              <w:t>4</w:t>
            </w:r>
          </w:p>
        </w:tc>
        <w:tc>
          <w:tcPr>
            <w:tcW w:w="480" w:type="pct"/>
            <w:vAlign w:val="center"/>
          </w:tcPr>
          <w:p w:rsidR="009B48F6" w:rsidRPr="00AE0058" w:rsidRDefault="009B48F6" w:rsidP="005354E9">
            <w:pPr>
              <w:rPr>
                <w:color w:val="000000" w:themeColor="text1"/>
                <w:sz w:val="16"/>
                <w:szCs w:val="16"/>
              </w:rPr>
            </w:pPr>
            <w:r>
              <w:rPr>
                <w:color w:val="000000" w:themeColor="text1"/>
                <w:sz w:val="16"/>
                <w:szCs w:val="16"/>
              </w:rPr>
              <w:t>§ 5a(4) UStatG</w:t>
            </w:r>
          </w:p>
        </w:tc>
        <w:tc>
          <w:tcPr>
            <w:tcW w:w="1175" w:type="pct"/>
            <w:vAlign w:val="center"/>
          </w:tcPr>
          <w:p w:rsidR="009B48F6" w:rsidRPr="00AE0058" w:rsidRDefault="00DA3B5A" w:rsidP="005354E9">
            <w:pPr>
              <w:rPr>
                <w:color w:val="000000" w:themeColor="text1"/>
                <w:sz w:val="16"/>
                <w:szCs w:val="16"/>
              </w:rPr>
            </w:pPr>
            <w:r>
              <w:rPr>
                <w:color w:val="000000" w:themeColor="text1"/>
                <w:sz w:val="16"/>
                <w:szCs w:val="16"/>
              </w:rPr>
              <w:t>Survey of the placing on the market and disposal of certain products – Companies placing very lightweight plastic carrier bags on the market for the first time</w:t>
            </w:r>
          </w:p>
        </w:tc>
        <w:tc>
          <w:tcPr>
            <w:tcW w:w="474" w:type="pct"/>
            <w:vAlign w:val="center"/>
          </w:tcPr>
          <w:p w:rsidR="009B48F6" w:rsidRPr="00AE0058" w:rsidRDefault="009B6488" w:rsidP="009B6488">
            <w:pPr>
              <w:jc w:val="right"/>
              <w:rPr>
                <w:color w:val="000000" w:themeColor="text1"/>
                <w:sz w:val="16"/>
                <w:szCs w:val="16"/>
              </w:rPr>
            </w:pPr>
            <w:r>
              <w:rPr>
                <w:color w:val="000000" w:themeColor="text1"/>
                <w:sz w:val="16"/>
                <w:szCs w:val="16"/>
              </w:rPr>
              <w:t>4</w:t>
            </w:r>
          </w:p>
        </w:tc>
        <w:tc>
          <w:tcPr>
            <w:tcW w:w="471" w:type="pct"/>
            <w:vAlign w:val="center"/>
          </w:tcPr>
          <w:p w:rsidR="009B48F6" w:rsidRPr="00AE0058" w:rsidRDefault="009B48F6" w:rsidP="005354E9">
            <w:pPr>
              <w:jc w:val="right"/>
              <w:rPr>
                <w:color w:val="000000" w:themeColor="text1"/>
                <w:sz w:val="16"/>
                <w:szCs w:val="16"/>
              </w:rPr>
            </w:pPr>
            <w:r>
              <w:rPr>
                <w:color w:val="000000" w:themeColor="text1"/>
                <w:sz w:val="16"/>
                <w:szCs w:val="16"/>
              </w:rPr>
              <w:t>-</w:t>
            </w:r>
          </w:p>
        </w:tc>
        <w:tc>
          <w:tcPr>
            <w:tcW w:w="476" w:type="pct"/>
            <w:vAlign w:val="center"/>
          </w:tcPr>
          <w:p w:rsidR="009B48F6" w:rsidRPr="00AE0058" w:rsidRDefault="009B48F6" w:rsidP="005354E9">
            <w:pPr>
              <w:jc w:val="right"/>
              <w:rPr>
                <w:color w:val="000000" w:themeColor="text1"/>
                <w:sz w:val="16"/>
                <w:szCs w:val="16"/>
              </w:rPr>
            </w:pPr>
            <w:r>
              <w:rPr>
                <w:color w:val="000000" w:themeColor="text1"/>
                <w:sz w:val="16"/>
                <w:szCs w:val="16"/>
              </w:rPr>
              <w:t>-</w:t>
            </w:r>
          </w:p>
        </w:tc>
        <w:tc>
          <w:tcPr>
            <w:tcW w:w="545" w:type="pct"/>
            <w:tcBorders>
              <w:right w:val="single" w:sz="12" w:space="0" w:color="auto"/>
            </w:tcBorders>
            <w:vAlign w:val="center"/>
          </w:tcPr>
          <w:p w:rsidR="009B48F6" w:rsidRPr="00AE0058" w:rsidRDefault="009B48F6" w:rsidP="005354E9">
            <w:pPr>
              <w:jc w:val="right"/>
              <w:rPr>
                <w:color w:val="000000" w:themeColor="text1"/>
                <w:sz w:val="16"/>
                <w:szCs w:val="16"/>
              </w:rPr>
            </w:pPr>
            <w:r>
              <w:rPr>
                <w:color w:val="000000" w:themeColor="text1"/>
                <w:sz w:val="16"/>
                <w:szCs w:val="16"/>
              </w:rPr>
              <w:t>-</w:t>
            </w:r>
          </w:p>
        </w:tc>
        <w:tc>
          <w:tcPr>
            <w:tcW w:w="1087" w:type="pct"/>
            <w:tcBorders>
              <w:left w:val="single" w:sz="12" w:space="0" w:color="auto"/>
            </w:tcBorders>
            <w:vAlign w:val="center"/>
          </w:tcPr>
          <w:p w:rsidR="009B48F6" w:rsidRPr="00AE0058" w:rsidRDefault="009B6488" w:rsidP="009B6488">
            <w:pPr>
              <w:jc w:val="right"/>
              <w:rPr>
                <w:color w:val="000000" w:themeColor="text1"/>
                <w:sz w:val="16"/>
                <w:szCs w:val="16"/>
              </w:rPr>
            </w:pPr>
            <w:r>
              <w:rPr>
                <w:color w:val="000000" w:themeColor="text1"/>
                <w:sz w:val="16"/>
                <w:szCs w:val="16"/>
              </w:rPr>
              <w:t>4</w:t>
            </w:r>
          </w:p>
        </w:tc>
      </w:tr>
      <w:tr w:rsidR="009B48F6" w:rsidRPr="00AE0058" w:rsidTr="006C07FA">
        <w:tc>
          <w:tcPr>
            <w:tcW w:w="292" w:type="pct"/>
            <w:vAlign w:val="center"/>
          </w:tcPr>
          <w:p w:rsidR="009B48F6" w:rsidRPr="00AE0058" w:rsidRDefault="009B48F6" w:rsidP="005354E9">
            <w:pPr>
              <w:rPr>
                <w:color w:val="000000" w:themeColor="text1"/>
                <w:sz w:val="16"/>
                <w:szCs w:val="16"/>
              </w:rPr>
            </w:pPr>
            <w:r>
              <w:rPr>
                <w:color w:val="000000" w:themeColor="text1"/>
                <w:sz w:val="16"/>
                <w:szCs w:val="16"/>
              </w:rPr>
              <w:t>5</w:t>
            </w:r>
          </w:p>
        </w:tc>
        <w:tc>
          <w:tcPr>
            <w:tcW w:w="480" w:type="pct"/>
            <w:vAlign w:val="center"/>
          </w:tcPr>
          <w:p w:rsidR="009B48F6" w:rsidRPr="00AE0058" w:rsidRDefault="009B48F6" w:rsidP="005354E9">
            <w:pPr>
              <w:rPr>
                <w:color w:val="000000" w:themeColor="text1"/>
                <w:sz w:val="16"/>
                <w:szCs w:val="16"/>
              </w:rPr>
            </w:pPr>
            <w:r>
              <w:rPr>
                <w:color w:val="000000" w:themeColor="text1"/>
                <w:sz w:val="16"/>
                <w:szCs w:val="16"/>
              </w:rPr>
              <w:t>§ 5a(5) UStatG</w:t>
            </w:r>
          </w:p>
        </w:tc>
        <w:tc>
          <w:tcPr>
            <w:tcW w:w="1175" w:type="pct"/>
            <w:vAlign w:val="center"/>
          </w:tcPr>
          <w:p w:rsidR="009B48F6" w:rsidRPr="00AE0058" w:rsidRDefault="009B48F6" w:rsidP="005354E9">
            <w:pPr>
              <w:rPr>
                <w:color w:val="000000" w:themeColor="text1"/>
                <w:sz w:val="16"/>
                <w:szCs w:val="16"/>
              </w:rPr>
            </w:pPr>
            <w:r>
              <w:rPr>
                <w:color w:val="000000" w:themeColor="text1"/>
                <w:sz w:val="16"/>
                <w:szCs w:val="16"/>
              </w:rPr>
              <w:t>Survey of the placing on the market and disposal of certain products</w:t>
            </w:r>
          </w:p>
          <w:p w:rsidR="009B48F6" w:rsidRPr="00AE0058" w:rsidRDefault="009B48F6" w:rsidP="005354E9">
            <w:pPr>
              <w:rPr>
                <w:color w:val="000000" w:themeColor="text1"/>
                <w:sz w:val="16"/>
              </w:rPr>
            </w:pPr>
            <w:r>
              <w:rPr>
                <w:color w:val="000000" w:themeColor="text1"/>
                <w:sz w:val="16"/>
                <w:szCs w:val="16"/>
              </w:rPr>
              <w:t>Companies placing products on the market for the first time concerning the reduction of the impact of certain plastic products on the environment</w:t>
            </w:r>
          </w:p>
        </w:tc>
        <w:tc>
          <w:tcPr>
            <w:tcW w:w="474" w:type="pct"/>
            <w:vAlign w:val="center"/>
          </w:tcPr>
          <w:p w:rsidR="009B48F6" w:rsidRPr="00AE0058" w:rsidRDefault="009B48F6" w:rsidP="005354E9">
            <w:pPr>
              <w:jc w:val="right"/>
              <w:rPr>
                <w:color w:val="000000" w:themeColor="text1"/>
                <w:sz w:val="16"/>
              </w:rPr>
            </w:pPr>
            <w:r>
              <w:rPr>
                <w:color w:val="000000" w:themeColor="text1"/>
                <w:sz w:val="16"/>
                <w:szCs w:val="16"/>
              </w:rPr>
              <w:t>53</w:t>
            </w:r>
          </w:p>
        </w:tc>
        <w:tc>
          <w:tcPr>
            <w:tcW w:w="471" w:type="pct"/>
            <w:vAlign w:val="center"/>
          </w:tcPr>
          <w:p w:rsidR="009B48F6" w:rsidRPr="00AE0058" w:rsidRDefault="009B48F6" w:rsidP="005354E9">
            <w:pPr>
              <w:jc w:val="right"/>
              <w:rPr>
                <w:color w:val="000000" w:themeColor="text1"/>
                <w:sz w:val="16"/>
                <w:szCs w:val="16"/>
              </w:rPr>
            </w:pPr>
            <w:r>
              <w:rPr>
                <w:color w:val="000000" w:themeColor="text1"/>
                <w:sz w:val="16"/>
                <w:szCs w:val="16"/>
              </w:rPr>
              <w:t>-</w:t>
            </w:r>
          </w:p>
        </w:tc>
        <w:tc>
          <w:tcPr>
            <w:tcW w:w="476" w:type="pct"/>
            <w:vAlign w:val="center"/>
          </w:tcPr>
          <w:p w:rsidR="009B48F6" w:rsidRPr="00AE0058" w:rsidRDefault="009B48F6" w:rsidP="005354E9">
            <w:pPr>
              <w:jc w:val="right"/>
              <w:rPr>
                <w:color w:val="000000" w:themeColor="text1"/>
                <w:sz w:val="16"/>
                <w:szCs w:val="16"/>
              </w:rPr>
            </w:pPr>
            <w:r>
              <w:rPr>
                <w:color w:val="000000" w:themeColor="text1"/>
                <w:sz w:val="16"/>
                <w:szCs w:val="16"/>
              </w:rPr>
              <w:t>-</w:t>
            </w:r>
          </w:p>
        </w:tc>
        <w:tc>
          <w:tcPr>
            <w:tcW w:w="545" w:type="pct"/>
            <w:tcBorders>
              <w:right w:val="single" w:sz="12" w:space="0" w:color="auto"/>
            </w:tcBorders>
            <w:vAlign w:val="center"/>
          </w:tcPr>
          <w:p w:rsidR="009B48F6" w:rsidRPr="00AE0058" w:rsidRDefault="009B48F6" w:rsidP="005354E9">
            <w:pPr>
              <w:jc w:val="right"/>
              <w:rPr>
                <w:color w:val="000000" w:themeColor="text1"/>
                <w:sz w:val="16"/>
                <w:szCs w:val="16"/>
              </w:rPr>
            </w:pPr>
            <w:r>
              <w:rPr>
                <w:color w:val="000000" w:themeColor="text1"/>
                <w:sz w:val="16"/>
                <w:szCs w:val="16"/>
              </w:rPr>
              <w:t>-</w:t>
            </w:r>
          </w:p>
        </w:tc>
        <w:tc>
          <w:tcPr>
            <w:tcW w:w="1087" w:type="pct"/>
            <w:tcBorders>
              <w:left w:val="single" w:sz="12" w:space="0" w:color="auto"/>
            </w:tcBorders>
            <w:vAlign w:val="center"/>
          </w:tcPr>
          <w:p w:rsidR="009B48F6" w:rsidRPr="00AE0058" w:rsidRDefault="009B48F6" w:rsidP="005354E9">
            <w:pPr>
              <w:jc w:val="right"/>
              <w:rPr>
                <w:color w:val="000000" w:themeColor="text1"/>
                <w:sz w:val="16"/>
                <w:szCs w:val="16"/>
              </w:rPr>
            </w:pPr>
            <w:r>
              <w:rPr>
                <w:color w:val="000000" w:themeColor="text1"/>
                <w:sz w:val="16"/>
                <w:szCs w:val="16"/>
              </w:rPr>
              <w:t>53</w:t>
            </w:r>
          </w:p>
        </w:tc>
      </w:tr>
      <w:tr w:rsidR="009B6488" w:rsidRPr="00AE0058" w:rsidTr="006C07FA">
        <w:tc>
          <w:tcPr>
            <w:tcW w:w="292" w:type="pct"/>
            <w:vAlign w:val="center"/>
          </w:tcPr>
          <w:p w:rsidR="009B6488" w:rsidRPr="00AE0058" w:rsidRDefault="009B6488" w:rsidP="009B6488">
            <w:pPr>
              <w:rPr>
                <w:color w:val="000000" w:themeColor="text1"/>
                <w:sz w:val="16"/>
                <w:szCs w:val="16"/>
              </w:rPr>
            </w:pPr>
            <w:r>
              <w:rPr>
                <w:color w:val="000000" w:themeColor="text1"/>
                <w:sz w:val="16"/>
                <w:szCs w:val="16"/>
              </w:rPr>
              <w:t>6</w:t>
            </w:r>
          </w:p>
        </w:tc>
        <w:tc>
          <w:tcPr>
            <w:tcW w:w="480" w:type="pct"/>
            <w:vAlign w:val="center"/>
          </w:tcPr>
          <w:p w:rsidR="009B6488" w:rsidRPr="00AE0058" w:rsidRDefault="009B6488" w:rsidP="009B6488">
            <w:pPr>
              <w:rPr>
                <w:color w:val="000000" w:themeColor="text1"/>
                <w:sz w:val="16"/>
                <w:szCs w:val="16"/>
              </w:rPr>
            </w:pPr>
            <w:r>
              <w:rPr>
                <w:color w:val="000000" w:themeColor="text1"/>
                <w:sz w:val="16"/>
                <w:szCs w:val="16"/>
              </w:rPr>
              <w:t>§ 5a(7) UStatG</w:t>
            </w:r>
          </w:p>
        </w:tc>
        <w:tc>
          <w:tcPr>
            <w:tcW w:w="1175" w:type="pct"/>
            <w:vAlign w:val="center"/>
          </w:tcPr>
          <w:p w:rsidR="009B6488" w:rsidRPr="00AE0058" w:rsidRDefault="009B6488" w:rsidP="009B6488">
            <w:pPr>
              <w:rPr>
                <w:color w:val="000000" w:themeColor="text1"/>
                <w:sz w:val="16"/>
                <w:szCs w:val="16"/>
              </w:rPr>
            </w:pPr>
            <w:r>
              <w:rPr>
                <w:color w:val="000000" w:themeColor="text1"/>
                <w:sz w:val="16"/>
                <w:szCs w:val="16"/>
              </w:rPr>
              <w:t>Survey of the placing on the market and disposal of certain products – Competent companies, bodies and public waste management authorities responsible for the disposal of passively fished waste</w:t>
            </w:r>
          </w:p>
        </w:tc>
        <w:tc>
          <w:tcPr>
            <w:tcW w:w="474" w:type="pct"/>
            <w:vAlign w:val="center"/>
          </w:tcPr>
          <w:p w:rsidR="009B6488" w:rsidRPr="00AE0058" w:rsidRDefault="009B6488" w:rsidP="009B6488">
            <w:pPr>
              <w:jc w:val="right"/>
              <w:rPr>
                <w:color w:val="000000" w:themeColor="text1"/>
                <w:sz w:val="16"/>
                <w:szCs w:val="16"/>
              </w:rPr>
            </w:pPr>
            <w:r>
              <w:rPr>
                <w:color w:val="000000" w:themeColor="text1"/>
                <w:sz w:val="16"/>
                <w:szCs w:val="16"/>
              </w:rPr>
              <w:t>2</w:t>
            </w:r>
          </w:p>
        </w:tc>
        <w:tc>
          <w:tcPr>
            <w:tcW w:w="471" w:type="pct"/>
            <w:vAlign w:val="center"/>
          </w:tcPr>
          <w:p w:rsidR="009B6488" w:rsidRPr="00AE0058" w:rsidRDefault="009B6488" w:rsidP="009B6488">
            <w:pPr>
              <w:jc w:val="right"/>
              <w:rPr>
                <w:color w:val="000000" w:themeColor="text1"/>
                <w:sz w:val="16"/>
                <w:szCs w:val="16"/>
              </w:rPr>
            </w:pPr>
            <w:r>
              <w:rPr>
                <w:color w:val="000000" w:themeColor="text1"/>
                <w:sz w:val="16"/>
                <w:szCs w:val="16"/>
              </w:rPr>
              <w:t>-</w:t>
            </w:r>
          </w:p>
        </w:tc>
        <w:tc>
          <w:tcPr>
            <w:tcW w:w="476" w:type="pct"/>
            <w:vAlign w:val="center"/>
          </w:tcPr>
          <w:p w:rsidR="009B6488" w:rsidRPr="00AE0058" w:rsidRDefault="009B6488" w:rsidP="009B6488">
            <w:pPr>
              <w:jc w:val="right"/>
              <w:rPr>
                <w:color w:val="000000" w:themeColor="text1"/>
                <w:sz w:val="16"/>
                <w:szCs w:val="16"/>
              </w:rPr>
            </w:pPr>
            <w:r>
              <w:rPr>
                <w:color w:val="000000" w:themeColor="text1"/>
                <w:sz w:val="16"/>
                <w:szCs w:val="16"/>
              </w:rPr>
              <w:t>-</w:t>
            </w:r>
          </w:p>
        </w:tc>
        <w:tc>
          <w:tcPr>
            <w:tcW w:w="545" w:type="pct"/>
            <w:tcBorders>
              <w:right w:val="single" w:sz="12" w:space="0" w:color="auto"/>
            </w:tcBorders>
            <w:vAlign w:val="center"/>
          </w:tcPr>
          <w:p w:rsidR="009B6488" w:rsidRPr="00AE0058" w:rsidRDefault="009B6488" w:rsidP="009B6488">
            <w:pPr>
              <w:jc w:val="right"/>
              <w:rPr>
                <w:color w:val="000000" w:themeColor="text1"/>
                <w:sz w:val="16"/>
                <w:szCs w:val="16"/>
              </w:rPr>
            </w:pPr>
            <w:r>
              <w:rPr>
                <w:color w:val="000000" w:themeColor="text1"/>
                <w:sz w:val="16"/>
                <w:szCs w:val="16"/>
              </w:rPr>
              <w:t>-</w:t>
            </w:r>
          </w:p>
        </w:tc>
        <w:tc>
          <w:tcPr>
            <w:tcW w:w="1087" w:type="pct"/>
            <w:tcBorders>
              <w:left w:val="single" w:sz="12" w:space="0" w:color="auto"/>
            </w:tcBorders>
            <w:vAlign w:val="center"/>
          </w:tcPr>
          <w:p w:rsidR="009B6488" w:rsidRPr="00AE0058" w:rsidRDefault="009B6488" w:rsidP="009B6488">
            <w:pPr>
              <w:jc w:val="right"/>
              <w:rPr>
                <w:color w:val="000000" w:themeColor="text1"/>
                <w:sz w:val="16"/>
                <w:szCs w:val="16"/>
              </w:rPr>
            </w:pPr>
            <w:r>
              <w:rPr>
                <w:color w:val="000000" w:themeColor="text1"/>
                <w:sz w:val="16"/>
                <w:szCs w:val="16"/>
              </w:rPr>
              <w:t>2</w:t>
            </w:r>
          </w:p>
        </w:tc>
      </w:tr>
      <w:tr w:rsidR="009B48F6" w:rsidRPr="00AE0058" w:rsidTr="006C07FA">
        <w:tc>
          <w:tcPr>
            <w:tcW w:w="1947" w:type="pct"/>
            <w:gridSpan w:val="3"/>
            <w:shd w:val="clear" w:color="auto" w:fill="D9D9D9" w:themeFill="background1" w:themeFillShade="D9"/>
            <w:vAlign w:val="center"/>
          </w:tcPr>
          <w:p w:rsidR="009B48F6" w:rsidRPr="00AE0058" w:rsidRDefault="009B48F6" w:rsidP="005354E9">
            <w:pPr>
              <w:rPr>
                <w:b/>
                <w:color w:val="000000" w:themeColor="text1"/>
                <w:sz w:val="16"/>
                <w:szCs w:val="16"/>
              </w:rPr>
            </w:pPr>
            <w:r>
              <w:rPr>
                <w:b/>
                <w:color w:val="000000" w:themeColor="text1"/>
                <w:sz w:val="16"/>
                <w:szCs w:val="16"/>
              </w:rPr>
              <w:t>Total</w:t>
            </w:r>
          </w:p>
        </w:tc>
        <w:tc>
          <w:tcPr>
            <w:tcW w:w="474" w:type="pct"/>
            <w:shd w:val="clear" w:color="auto" w:fill="D9D9D9" w:themeFill="background1" w:themeFillShade="D9"/>
            <w:vAlign w:val="center"/>
          </w:tcPr>
          <w:p w:rsidR="009B48F6" w:rsidRPr="00AE0058" w:rsidRDefault="00C055B1" w:rsidP="005354E9">
            <w:pPr>
              <w:jc w:val="right"/>
              <w:rPr>
                <w:b/>
                <w:bCs/>
                <w:color w:val="000000" w:themeColor="text1"/>
                <w:sz w:val="16"/>
                <w:szCs w:val="16"/>
              </w:rPr>
            </w:pPr>
            <w:r>
              <w:rPr>
                <w:b/>
                <w:bCs/>
                <w:color w:val="000000" w:themeColor="text1"/>
                <w:sz w:val="16"/>
                <w:szCs w:val="16"/>
              </w:rPr>
              <w:t>847</w:t>
            </w:r>
          </w:p>
        </w:tc>
        <w:tc>
          <w:tcPr>
            <w:tcW w:w="471" w:type="pct"/>
            <w:shd w:val="clear" w:color="auto" w:fill="D9D9D9" w:themeFill="background1" w:themeFillShade="D9"/>
            <w:vAlign w:val="center"/>
          </w:tcPr>
          <w:p w:rsidR="009B48F6" w:rsidRPr="00AE0058" w:rsidRDefault="009B48F6" w:rsidP="005354E9">
            <w:pPr>
              <w:jc w:val="right"/>
              <w:rPr>
                <w:b/>
                <w:bCs/>
                <w:color w:val="000000" w:themeColor="text1"/>
                <w:sz w:val="16"/>
                <w:szCs w:val="16"/>
              </w:rPr>
            </w:pPr>
            <w:r>
              <w:rPr>
                <w:b/>
                <w:bCs/>
                <w:color w:val="000000" w:themeColor="text1"/>
                <w:sz w:val="16"/>
                <w:szCs w:val="16"/>
              </w:rPr>
              <w:t>-</w:t>
            </w:r>
          </w:p>
        </w:tc>
        <w:tc>
          <w:tcPr>
            <w:tcW w:w="476" w:type="pct"/>
            <w:shd w:val="clear" w:color="auto" w:fill="D9D9D9" w:themeFill="background1" w:themeFillShade="D9"/>
            <w:vAlign w:val="center"/>
          </w:tcPr>
          <w:p w:rsidR="009B48F6" w:rsidRPr="00AE0058" w:rsidRDefault="009B48F6" w:rsidP="005354E9">
            <w:pPr>
              <w:jc w:val="right"/>
              <w:rPr>
                <w:b/>
                <w:bCs/>
                <w:color w:val="000000" w:themeColor="text1"/>
                <w:sz w:val="16"/>
                <w:szCs w:val="16"/>
              </w:rPr>
            </w:pPr>
            <w:r>
              <w:rPr>
                <w:b/>
                <w:bCs/>
                <w:color w:val="000000" w:themeColor="text1"/>
                <w:sz w:val="16"/>
                <w:szCs w:val="16"/>
              </w:rPr>
              <w:t>61</w:t>
            </w:r>
          </w:p>
        </w:tc>
        <w:tc>
          <w:tcPr>
            <w:tcW w:w="545" w:type="pct"/>
            <w:tcBorders>
              <w:right w:val="single" w:sz="12" w:space="0" w:color="auto"/>
            </w:tcBorders>
            <w:shd w:val="clear" w:color="auto" w:fill="D9D9D9" w:themeFill="background1" w:themeFillShade="D9"/>
            <w:vAlign w:val="center"/>
          </w:tcPr>
          <w:p w:rsidR="009B48F6" w:rsidRPr="00AE0058" w:rsidRDefault="009B48F6" w:rsidP="005354E9">
            <w:pPr>
              <w:jc w:val="right"/>
              <w:rPr>
                <w:b/>
                <w:bCs/>
                <w:color w:val="000000" w:themeColor="text1"/>
                <w:sz w:val="16"/>
                <w:szCs w:val="16"/>
              </w:rPr>
            </w:pPr>
            <w:r>
              <w:rPr>
                <w:b/>
                <w:bCs/>
                <w:color w:val="000000" w:themeColor="text1"/>
                <w:sz w:val="16"/>
                <w:szCs w:val="16"/>
              </w:rPr>
              <w:t>-</w:t>
            </w:r>
          </w:p>
        </w:tc>
        <w:tc>
          <w:tcPr>
            <w:tcW w:w="1087" w:type="pct"/>
            <w:tcBorders>
              <w:left w:val="single" w:sz="12" w:space="0" w:color="auto"/>
            </w:tcBorders>
            <w:shd w:val="clear" w:color="auto" w:fill="D9D9D9" w:themeFill="background1" w:themeFillShade="D9"/>
            <w:vAlign w:val="center"/>
          </w:tcPr>
          <w:p w:rsidR="009B48F6" w:rsidRPr="00AE0058" w:rsidRDefault="00C055B1" w:rsidP="005354E9">
            <w:pPr>
              <w:jc w:val="right"/>
              <w:rPr>
                <w:b/>
                <w:bCs/>
                <w:color w:val="000000" w:themeColor="text1"/>
                <w:sz w:val="16"/>
                <w:szCs w:val="16"/>
              </w:rPr>
            </w:pPr>
            <w:r>
              <w:rPr>
                <w:b/>
                <w:bCs/>
                <w:color w:val="000000" w:themeColor="text1"/>
                <w:sz w:val="16"/>
                <w:szCs w:val="16"/>
              </w:rPr>
              <w:t>806</w:t>
            </w:r>
          </w:p>
        </w:tc>
      </w:tr>
    </w:tbl>
    <w:p w:rsidR="009B6488" w:rsidRPr="00AE0058" w:rsidRDefault="009B6488" w:rsidP="009B6488">
      <w:pPr>
        <w:spacing w:after="0"/>
        <w:rPr>
          <w:rFonts w:ascii="MetaNormalLF-Roman" w:eastAsia="Times New Roman" w:hAnsi="MetaNormalLF-Roman" w:cs="Times New Roman"/>
          <w:b/>
          <w:color w:val="000000" w:themeColor="text1"/>
          <w:sz w:val="20"/>
          <w:lang w:eastAsia="de-DE"/>
        </w:rPr>
      </w:pPr>
    </w:p>
    <w:p w:rsidR="00744EBB" w:rsidRPr="00AE0058" w:rsidRDefault="00744EBB" w:rsidP="009B400F">
      <w:pPr>
        <w:pStyle w:val="Text"/>
        <w:keepNext/>
        <w:rPr>
          <w:rFonts w:ascii="MetaNormalLF-Roman" w:hAnsi="MetaNormalLF-Roman"/>
          <w:i/>
          <w:color w:val="000000" w:themeColor="text1"/>
          <w:u w:val="single"/>
        </w:rPr>
      </w:pPr>
      <w:r>
        <w:rPr>
          <w:rFonts w:ascii="MetaNormalLF-Roman" w:hAnsi="MetaNormalLF-Roman"/>
          <w:i/>
          <w:color w:val="000000" w:themeColor="text1"/>
          <w:u w:val="single"/>
        </w:rPr>
        <w:t xml:space="preserve">Case group B: Statistics on water management and climate-relevant substances </w:t>
      </w:r>
    </w:p>
    <w:p w:rsidR="002D10CE" w:rsidRPr="00AE0058" w:rsidRDefault="002D10CE" w:rsidP="002D10CE">
      <w:pPr>
        <w:spacing w:line="360" w:lineRule="auto"/>
        <w:rPr>
          <w:rFonts w:eastAsia="Times New Roman"/>
          <w:color w:val="000000" w:themeColor="text1"/>
        </w:rPr>
      </w:pPr>
      <w:r>
        <w:rPr>
          <w:color w:val="000000" w:themeColor="text1"/>
        </w:rPr>
        <w:t>Changes to the statistics on water management and climate-relevant substances change the annual compliance costs by around EUR 12 000. Case group B – Statistics on water management and climate-relevant substances is presented below for the business addressees of the standard for each individual requirement.</w:t>
      </w:r>
    </w:p>
    <w:p w:rsidR="002D10CE" w:rsidRPr="00AE0058" w:rsidRDefault="002D10CE" w:rsidP="009B400F">
      <w:pPr>
        <w:keepNext/>
        <w:spacing w:after="0"/>
        <w:rPr>
          <w:rFonts w:ascii="MetaNormalLF-Roman" w:eastAsia="Times New Roman" w:hAnsi="MetaNormalLF-Roman" w:cs="Times New Roman"/>
          <w:b/>
          <w:color w:val="000000" w:themeColor="text1"/>
          <w:sz w:val="20"/>
        </w:rPr>
      </w:pPr>
      <w:r>
        <w:rPr>
          <w:rFonts w:ascii="MetaNormalLF-Roman" w:hAnsi="MetaNormalLF-Roman"/>
          <w:b/>
          <w:color w:val="000000" w:themeColor="text1"/>
          <w:sz w:val="20"/>
        </w:rPr>
        <w:lastRenderedPageBreak/>
        <w:t xml:space="preserve">Table 2: Case group B – Statistics on water management and climate-relevant substances; </w:t>
      </w:r>
      <w:r>
        <w:rPr>
          <w:rFonts w:ascii="MetaNormalLF-Roman" w:hAnsi="MetaNormalLF-Roman"/>
          <w:b/>
          <w:color w:val="000000" w:themeColor="text1"/>
          <w:sz w:val="20"/>
          <w:u w:val="single"/>
        </w:rPr>
        <w:t>annual</w:t>
      </w:r>
      <w:r>
        <w:rPr>
          <w:rFonts w:ascii="MetaNormalLF-Roman" w:hAnsi="MetaNormalLF-Roman"/>
          <w:b/>
          <w:color w:val="000000" w:themeColor="text1"/>
          <w:sz w:val="20"/>
        </w:rPr>
        <w:t xml:space="preserve"> compliance costs for businesses</w:t>
      </w:r>
    </w:p>
    <w:tbl>
      <w:tblPr>
        <w:tblStyle w:val="TableGrid"/>
        <w:tblW w:w="4938" w:type="pct"/>
        <w:tblInd w:w="57" w:type="dxa"/>
        <w:tblLayout w:type="fixed"/>
        <w:tblCellMar>
          <w:left w:w="57" w:type="dxa"/>
          <w:right w:w="57" w:type="dxa"/>
        </w:tblCellMar>
        <w:tblLook w:val="04A0" w:firstRow="1" w:lastRow="0" w:firstColumn="1" w:lastColumn="0" w:noHBand="0" w:noVBand="1"/>
      </w:tblPr>
      <w:tblGrid>
        <w:gridCol w:w="507"/>
        <w:gridCol w:w="832"/>
        <w:gridCol w:w="2037"/>
        <w:gridCol w:w="810"/>
        <w:gridCol w:w="12"/>
        <w:gridCol w:w="806"/>
        <w:gridCol w:w="810"/>
        <w:gridCol w:w="16"/>
        <w:gridCol w:w="929"/>
        <w:gridCol w:w="1911"/>
      </w:tblGrid>
      <w:tr w:rsidR="002D10CE" w:rsidRPr="00AE0058" w:rsidTr="006C07FA">
        <w:tc>
          <w:tcPr>
            <w:tcW w:w="292" w:type="pct"/>
            <w:shd w:val="clear" w:color="auto" w:fill="D9D9D9" w:themeFill="background1" w:themeFillShade="D9"/>
            <w:vAlign w:val="center"/>
          </w:tcPr>
          <w:p w:rsidR="002D10CE" w:rsidRPr="00AE0058" w:rsidRDefault="002D10CE" w:rsidP="009B400F">
            <w:pPr>
              <w:keepNext/>
              <w:rPr>
                <w:b/>
                <w:color w:val="000000" w:themeColor="text1"/>
                <w:sz w:val="16"/>
                <w:szCs w:val="16"/>
              </w:rPr>
            </w:pPr>
          </w:p>
        </w:tc>
        <w:tc>
          <w:tcPr>
            <w:tcW w:w="480" w:type="pct"/>
            <w:shd w:val="clear" w:color="auto" w:fill="D9D9D9" w:themeFill="background1" w:themeFillShade="D9"/>
            <w:vAlign w:val="center"/>
          </w:tcPr>
          <w:p w:rsidR="002D10CE" w:rsidRPr="00AE0058" w:rsidRDefault="002D10CE" w:rsidP="009B400F">
            <w:pPr>
              <w:keepNext/>
              <w:rPr>
                <w:b/>
                <w:color w:val="000000" w:themeColor="text1"/>
                <w:sz w:val="16"/>
                <w:szCs w:val="16"/>
              </w:rPr>
            </w:pPr>
          </w:p>
        </w:tc>
        <w:tc>
          <w:tcPr>
            <w:tcW w:w="1175" w:type="pct"/>
            <w:shd w:val="clear" w:color="auto" w:fill="D9D9D9" w:themeFill="background1" w:themeFillShade="D9"/>
            <w:vAlign w:val="center"/>
          </w:tcPr>
          <w:p w:rsidR="002D10CE" w:rsidRPr="00AE0058" w:rsidRDefault="002D10CE" w:rsidP="009B400F">
            <w:pPr>
              <w:keepNext/>
              <w:rPr>
                <w:b/>
                <w:color w:val="000000" w:themeColor="text1"/>
                <w:sz w:val="16"/>
                <w:szCs w:val="16"/>
              </w:rPr>
            </w:pPr>
          </w:p>
        </w:tc>
        <w:tc>
          <w:tcPr>
            <w:tcW w:w="939" w:type="pct"/>
            <w:gridSpan w:val="3"/>
            <w:shd w:val="clear" w:color="auto" w:fill="D9D9D9" w:themeFill="background1" w:themeFillShade="D9"/>
            <w:vAlign w:val="center"/>
          </w:tcPr>
          <w:p w:rsidR="002D10CE" w:rsidRPr="00AE0058" w:rsidRDefault="002D10CE" w:rsidP="009B400F">
            <w:pPr>
              <w:keepNext/>
              <w:rPr>
                <w:b/>
                <w:color w:val="000000" w:themeColor="text1"/>
                <w:sz w:val="16"/>
                <w:szCs w:val="16"/>
              </w:rPr>
            </w:pPr>
            <w:r>
              <w:rPr>
                <w:b/>
                <w:color w:val="000000" w:themeColor="text1"/>
                <w:sz w:val="16"/>
                <w:szCs w:val="16"/>
              </w:rPr>
              <w:t>Annual additional costs</w:t>
            </w:r>
          </w:p>
        </w:tc>
        <w:tc>
          <w:tcPr>
            <w:tcW w:w="1012" w:type="pct"/>
            <w:gridSpan w:val="3"/>
            <w:tcBorders>
              <w:right w:val="single" w:sz="12" w:space="0" w:color="auto"/>
            </w:tcBorders>
            <w:shd w:val="clear" w:color="auto" w:fill="D9D9D9" w:themeFill="background1" w:themeFillShade="D9"/>
            <w:vAlign w:val="center"/>
          </w:tcPr>
          <w:p w:rsidR="002D10CE" w:rsidRPr="00AE0058" w:rsidRDefault="002D10CE" w:rsidP="009B400F">
            <w:pPr>
              <w:keepNext/>
              <w:rPr>
                <w:b/>
                <w:color w:val="000000" w:themeColor="text1"/>
                <w:sz w:val="16"/>
                <w:szCs w:val="16"/>
              </w:rPr>
            </w:pPr>
            <w:r>
              <w:rPr>
                <w:b/>
                <w:color w:val="000000" w:themeColor="text1"/>
                <w:sz w:val="16"/>
                <w:szCs w:val="16"/>
              </w:rPr>
              <w:t>Annual reduction in costs</w:t>
            </w:r>
          </w:p>
        </w:tc>
        <w:tc>
          <w:tcPr>
            <w:tcW w:w="1102" w:type="pct"/>
            <w:tcBorders>
              <w:left w:val="single" w:sz="12" w:space="0" w:color="auto"/>
            </w:tcBorders>
            <w:shd w:val="clear" w:color="auto" w:fill="D9D9D9" w:themeFill="background1" w:themeFillShade="D9"/>
            <w:vAlign w:val="center"/>
          </w:tcPr>
          <w:p w:rsidR="002D10CE" w:rsidRPr="00AE0058" w:rsidRDefault="002D10CE" w:rsidP="009B400F">
            <w:pPr>
              <w:keepNext/>
              <w:rPr>
                <w:b/>
                <w:color w:val="000000" w:themeColor="text1"/>
                <w:sz w:val="16"/>
                <w:szCs w:val="16"/>
              </w:rPr>
            </w:pPr>
            <w:r>
              <w:rPr>
                <w:b/>
                <w:color w:val="000000" w:themeColor="text1"/>
                <w:sz w:val="16"/>
                <w:szCs w:val="16"/>
              </w:rPr>
              <w:t>Change in the annual compliance costs</w:t>
            </w:r>
          </w:p>
        </w:tc>
      </w:tr>
      <w:tr w:rsidR="002D10CE" w:rsidRPr="00AE0058" w:rsidTr="006C07FA">
        <w:tc>
          <w:tcPr>
            <w:tcW w:w="292" w:type="pct"/>
            <w:shd w:val="clear" w:color="auto" w:fill="D9D9D9" w:themeFill="background1" w:themeFillShade="D9"/>
            <w:vAlign w:val="center"/>
          </w:tcPr>
          <w:p w:rsidR="002D10CE" w:rsidRPr="00AE0058" w:rsidRDefault="002D10CE" w:rsidP="009B400F">
            <w:pPr>
              <w:keepNext/>
              <w:rPr>
                <w:b/>
                <w:color w:val="000000" w:themeColor="text1"/>
                <w:sz w:val="16"/>
                <w:szCs w:val="16"/>
              </w:rPr>
            </w:pPr>
            <w:r>
              <w:rPr>
                <w:b/>
                <w:color w:val="000000" w:themeColor="text1"/>
                <w:sz w:val="16"/>
                <w:szCs w:val="16"/>
              </w:rPr>
              <w:t>Target</w:t>
            </w:r>
          </w:p>
        </w:tc>
        <w:tc>
          <w:tcPr>
            <w:tcW w:w="480" w:type="pct"/>
            <w:shd w:val="clear" w:color="auto" w:fill="D9D9D9" w:themeFill="background1" w:themeFillShade="D9"/>
            <w:vAlign w:val="center"/>
          </w:tcPr>
          <w:p w:rsidR="002D10CE" w:rsidRPr="00AE0058" w:rsidRDefault="002D10CE" w:rsidP="009B400F">
            <w:pPr>
              <w:keepNext/>
              <w:rPr>
                <w:b/>
                <w:color w:val="000000" w:themeColor="text1"/>
                <w:sz w:val="16"/>
                <w:szCs w:val="16"/>
              </w:rPr>
            </w:pPr>
            <w:r>
              <w:rPr>
                <w:b/>
                <w:color w:val="000000" w:themeColor="text1"/>
                <w:sz w:val="16"/>
                <w:szCs w:val="16"/>
              </w:rPr>
              <w:t>Paragraph</w:t>
            </w:r>
          </w:p>
        </w:tc>
        <w:tc>
          <w:tcPr>
            <w:tcW w:w="1175" w:type="pct"/>
            <w:shd w:val="clear" w:color="auto" w:fill="D9D9D9" w:themeFill="background1" w:themeFillShade="D9"/>
            <w:vAlign w:val="center"/>
          </w:tcPr>
          <w:p w:rsidR="002D10CE" w:rsidRPr="00AE0058" w:rsidRDefault="002D10CE" w:rsidP="009B400F">
            <w:pPr>
              <w:keepNext/>
              <w:rPr>
                <w:b/>
                <w:color w:val="000000" w:themeColor="text1"/>
                <w:sz w:val="16"/>
                <w:szCs w:val="16"/>
              </w:rPr>
            </w:pPr>
            <w:r>
              <w:rPr>
                <w:b/>
                <w:color w:val="000000" w:themeColor="text1"/>
                <w:sz w:val="16"/>
                <w:szCs w:val="16"/>
              </w:rPr>
              <w:t>Target description</w:t>
            </w:r>
          </w:p>
        </w:tc>
        <w:tc>
          <w:tcPr>
            <w:tcW w:w="467" w:type="pct"/>
            <w:shd w:val="clear" w:color="auto" w:fill="D9D9D9" w:themeFill="background1" w:themeFillShade="D9"/>
            <w:vAlign w:val="center"/>
          </w:tcPr>
          <w:p w:rsidR="002D10CE" w:rsidRPr="00AE0058" w:rsidRDefault="002D10CE" w:rsidP="009B400F">
            <w:pPr>
              <w:keepNext/>
              <w:rPr>
                <w:b/>
                <w:color w:val="000000" w:themeColor="text1"/>
                <w:sz w:val="16"/>
                <w:szCs w:val="16"/>
              </w:rPr>
            </w:pPr>
            <w:r>
              <w:rPr>
                <w:b/>
                <w:color w:val="000000" w:themeColor="text1"/>
                <w:sz w:val="16"/>
                <w:szCs w:val="16"/>
              </w:rPr>
              <w:t>Personnel costs</w:t>
            </w:r>
          </w:p>
        </w:tc>
        <w:tc>
          <w:tcPr>
            <w:tcW w:w="472" w:type="pct"/>
            <w:gridSpan w:val="2"/>
            <w:shd w:val="clear" w:color="auto" w:fill="D9D9D9" w:themeFill="background1" w:themeFillShade="D9"/>
            <w:vAlign w:val="center"/>
          </w:tcPr>
          <w:p w:rsidR="002D10CE" w:rsidRPr="00AE0058" w:rsidRDefault="002D10CE" w:rsidP="009B400F">
            <w:pPr>
              <w:keepNext/>
              <w:rPr>
                <w:b/>
                <w:color w:val="000000" w:themeColor="text1"/>
                <w:sz w:val="16"/>
                <w:szCs w:val="16"/>
              </w:rPr>
            </w:pPr>
            <w:r>
              <w:rPr>
                <w:b/>
                <w:color w:val="000000" w:themeColor="text1"/>
                <w:sz w:val="16"/>
                <w:szCs w:val="16"/>
              </w:rPr>
              <w:t>Material costs</w:t>
            </w:r>
          </w:p>
        </w:tc>
        <w:tc>
          <w:tcPr>
            <w:tcW w:w="467" w:type="pct"/>
            <w:shd w:val="clear" w:color="auto" w:fill="D9D9D9" w:themeFill="background1" w:themeFillShade="D9"/>
            <w:vAlign w:val="center"/>
          </w:tcPr>
          <w:p w:rsidR="002D10CE" w:rsidRPr="00AE0058" w:rsidRDefault="002D10CE" w:rsidP="009B400F">
            <w:pPr>
              <w:keepNext/>
              <w:rPr>
                <w:b/>
                <w:color w:val="000000" w:themeColor="text1"/>
                <w:sz w:val="16"/>
                <w:szCs w:val="16"/>
              </w:rPr>
            </w:pPr>
            <w:r>
              <w:rPr>
                <w:b/>
                <w:color w:val="000000" w:themeColor="text1"/>
                <w:sz w:val="16"/>
                <w:szCs w:val="16"/>
              </w:rPr>
              <w:t>Personnel costs</w:t>
            </w:r>
          </w:p>
        </w:tc>
        <w:tc>
          <w:tcPr>
            <w:tcW w:w="545" w:type="pct"/>
            <w:gridSpan w:val="2"/>
            <w:tcBorders>
              <w:right w:val="single" w:sz="12" w:space="0" w:color="auto"/>
            </w:tcBorders>
            <w:shd w:val="clear" w:color="auto" w:fill="D9D9D9" w:themeFill="background1" w:themeFillShade="D9"/>
            <w:vAlign w:val="center"/>
          </w:tcPr>
          <w:p w:rsidR="002D10CE" w:rsidRPr="00AE0058" w:rsidRDefault="002D10CE" w:rsidP="009B400F">
            <w:pPr>
              <w:keepNext/>
              <w:rPr>
                <w:b/>
                <w:color w:val="000000" w:themeColor="text1"/>
                <w:sz w:val="16"/>
                <w:szCs w:val="16"/>
              </w:rPr>
            </w:pPr>
            <w:r>
              <w:rPr>
                <w:b/>
                <w:color w:val="000000" w:themeColor="text1"/>
                <w:sz w:val="16"/>
                <w:szCs w:val="16"/>
              </w:rPr>
              <w:t>Material costs</w:t>
            </w:r>
          </w:p>
        </w:tc>
        <w:tc>
          <w:tcPr>
            <w:tcW w:w="1102" w:type="pct"/>
            <w:tcBorders>
              <w:left w:val="single" w:sz="12" w:space="0" w:color="auto"/>
            </w:tcBorders>
            <w:shd w:val="clear" w:color="auto" w:fill="D9D9D9" w:themeFill="background1" w:themeFillShade="D9"/>
            <w:vAlign w:val="center"/>
          </w:tcPr>
          <w:p w:rsidR="002D10CE" w:rsidRPr="00AE0058" w:rsidRDefault="002D10CE" w:rsidP="009B400F">
            <w:pPr>
              <w:keepNext/>
              <w:rPr>
                <w:b/>
                <w:color w:val="000000" w:themeColor="text1"/>
                <w:sz w:val="16"/>
                <w:szCs w:val="16"/>
              </w:rPr>
            </w:pPr>
            <w:r>
              <w:rPr>
                <w:b/>
                <w:color w:val="000000" w:themeColor="text1"/>
                <w:sz w:val="16"/>
                <w:szCs w:val="16"/>
              </w:rPr>
              <w:t>Total costs</w:t>
            </w:r>
          </w:p>
        </w:tc>
      </w:tr>
      <w:tr w:rsidR="002D10CE" w:rsidRPr="00AE0058" w:rsidTr="006C07FA">
        <w:tc>
          <w:tcPr>
            <w:tcW w:w="292" w:type="pct"/>
            <w:shd w:val="clear" w:color="auto" w:fill="D9D9D9" w:themeFill="background1" w:themeFillShade="D9"/>
            <w:vAlign w:val="center"/>
          </w:tcPr>
          <w:p w:rsidR="002D10CE" w:rsidRPr="00AE0058" w:rsidRDefault="002D10CE" w:rsidP="009B400F">
            <w:pPr>
              <w:keepNext/>
              <w:rPr>
                <w:b/>
                <w:color w:val="000000" w:themeColor="text1"/>
                <w:sz w:val="16"/>
                <w:szCs w:val="16"/>
              </w:rPr>
            </w:pPr>
          </w:p>
        </w:tc>
        <w:tc>
          <w:tcPr>
            <w:tcW w:w="480" w:type="pct"/>
            <w:shd w:val="clear" w:color="auto" w:fill="D9D9D9" w:themeFill="background1" w:themeFillShade="D9"/>
            <w:vAlign w:val="center"/>
          </w:tcPr>
          <w:p w:rsidR="002D10CE" w:rsidRPr="00AE0058" w:rsidRDefault="002D10CE" w:rsidP="009B400F">
            <w:pPr>
              <w:keepNext/>
              <w:rPr>
                <w:b/>
                <w:color w:val="000000" w:themeColor="text1"/>
                <w:sz w:val="16"/>
                <w:szCs w:val="16"/>
              </w:rPr>
            </w:pPr>
          </w:p>
        </w:tc>
        <w:tc>
          <w:tcPr>
            <w:tcW w:w="1175" w:type="pct"/>
            <w:shd w:val="clear" w:color="auto" w:fill="D9D9D9" w:themeFill="background1" w:themeFillShade="D9"/>
            <w:vAlign w:val="center"/>
          </w:tcPr>
          <w:p w:rsidR="002D10CE" w:rsidRPr="00AE0058" w:rsidRDefault="002D10CE" w:rsidP="009B400F">
            <w:pPr>
              <w:keepNext/>
              <w:rPr>
                <w:b/>
                <w:color w:val="000000" w:themeColor="text1"/>
                <w:sz w:val="16"/>
                <w:szCs w:val="16"/>
              </w:rPr>
            </w:pPr>
          </w:p>
        </w:tc>
        <w:tc>
          <w:tcPr>
            <w:tcW w:w="3053" w:type="pct"/>
            <w:gridSpan w:val="7"/>
            <w:shd w:val="clear" w:color="auto" w:fill="D9D9D9" w:themeFill="background1" w:themeFillShade="D9"/>
            <w:vAlign w:val="center"/>
          </w:tcPr>
          <w:p w:rsidR="002D10CE" w:rsidRPr="00AE0058" w:rsidRDefault="002D10CE" w:rsidP="009B400F">
            <w:pPr>
              <w:keepNext/>
              <w:jc w:val="center"/>
              <w:rPr>
                <w:b/>
                <w:color w:val="000000" w:themeColor="text1"/>
                <w:sz w:val="16"/>
                <w:szCs w:val="16"/>
              </w:rPr>
            </w:pPr>
            <w:r>
              <w:rPr>
                <w:b/>
                <w:color w:val="000000" w:themeColor="text1"/>
                <w:sz w:val="16"/>
                <w:szCs w:val="16"/>
              </w:rPr>
              <w:t>In thousands of EUR</w:t>
            </w:r>
          </w:p>
        </w:tc>
      </w:tr>
      <w:tr w:rsidR="002D10CE" w:rsidRPr="00AE0058" w:rsidTr="006C07FA">
        <w:tc>
          <w:tcPr>
            <w:tcW w:w="292" w:type="pct"/>
            <w:vAlign w:val="center"/>
          </w:tcPr>
          <w:p w:rsidR="002D10CE" w:rsidRPr="00AE0058" w:rsidRDefault="002D10CE" w:rsidP="0004027E">
            <w:pPr>
              <w:rPr>
                <w:color w:val="000000" w:themeColor="text1"/>
                <w:sz w:val="16"/>
                <w:szCs w:val="16"/>
              </w:rPr>
            </w:pPr>
            <w:r>
              <w:rPr>
                <w:color w:val="000000" w:themeColor="text1"/>
                <w:sz w:val="16"/>
                <w:szCs w:val="16"/>
              </w:rPr>
              <w:t>7</w:t>
            </w:r>
          </w:p>
        </w:tc>
        <w:tc>
          <w:tcPr>
            <w:tcW w:w="480" w:type="pct"/>
            <w:vAlign w:val="center"/>
          </w:tcPr>
          <w:p w:rsidR="002D10CE" w:rsidRPr="00AE0058" w:rsidRDefault="002D10CE" w:rsidP="0004027E">
            <w:pPr>
              <w:rPr>
                <w:color w:val="000000" w:themeColor="text1"/>
                <w:sz w:val="16"/>
                <w:szCs w:val="16"/>
              </w:rPr>
            </w:pPr>
            <w:r>
              <w:rPr>
                <w:color w:val="000000" w:themeColor="text1"/>
                <w:sz w:val="16"/>
                <w:szCs w:val="16"/>
              </w:rPr>
              <w:t>§ 10 UStatG</w:t>
            </w:r>
          </w:p>
        </w:tc>
        <w:tc>
          <w:tcPr>
            <w:tcW w:w="1175" w:type="pct"/>
            <w:vAlign w:val="center"/>
          </w:tcPr>
          <w:p w:rsidR="002D10CE" w:rsidRPr="00AE0058" w:rsidRDefault="002D10CE" w:rsidP="0004027E">
            <w:pPr>
              <w:rPr>
                <w:color w:val="000000" w:themeColor="text1"/>
                <w:sz w:val="16"/>
                <w:szCs w:val="16"/>
              </w:rPr>
            </w:pPr>
            <w:r>
              <w:rPr>
                <w:color w:val="000000" w:themeColor="text1"/>
                <w:sz w:val="16"/>
                <w:szCs w:val="16"/>
              </w:rPr>
              <w:t>Survey of certain substances that impact climate</w:t>
            </w:r>
          </w:p>
        </w:tc>
        <w:tc>
          <w:tcPr>
            <w:tcW w:w="474" w:type="pct"/>
            <w:gridSpan w:val="2"/>
            <w:vAlign w:val="center"/>
          </w:tcPr>
          <w:p w:rsidR="002D10CE" w:rsidRPr="00AE0058" w:rsidRDefault="002D10CE" w:rsidP="0004027E">
            <w:pPr>
              <w:jc w:val="right"/>
              <w:rPr>
                <w:color w:val="000000" w:themeColor="text1"/>
                <w:sz w:val="16"/>
                <w:szCs w:val="16"/>
              </w:rPr>
            </w:pPr>
            <w:r>
              <w:rPr>
                <w:color w:val="000000" w:themeColor="text1"/>
                <w:sz w:val="16"/>
                <w:szCs w:val="16"/>
              </w:rPr>
              <w:t>12</w:t>
            </w:r>
          </w:p>
        </w:tc>
        <w:tc>
          <w:tcPr>
            <w:tcW w:w="465" w:type="pct"/>
            <w:vAlign w:val="center"/>
          </w:tcPr>
          <w:p w:rsidR="002D10CE" w:rsidRPr="00AE0058" w:rsidRDefault="002D10CE" w:rsidP="0004027E">
            <w:pPr>
              <w:jc w:val="right"/>
              <w:rPr>
                <w:color w:val="000000" w:themeColor="text1"/>
                <w:sz w:val="16"/>
                <w:szCs w:val="16"/>
              </w:rPr>
            </w:pPr>
            <w:r>
              <w:rPr>
                <w:color w:val="000000" w:themeColor="text1"/>
                <w:sz w:val="16"/>
                <w:szCs w:val="16"/>
              </w:rPr>
              <w:t>-</w:t>
            </w:r>
          </w:p>
        </w:tc>
        <w:tc>
          <w:tcPr>
            <w:tcW w:w="476" w:type="pct"/>
            <w:gridSpan w:val="2"/>
            <w:vAlign w:val="center"/>
          </w:tcPr>
          <w:p w:rsidR="002D10CE" w:rsidRPr="00AE0058" w:rsidRDefault="002D10CE" w:rsidP="0004027E">
            <w:pPr>
              <w:jc w:val="right"/>
              <w:rPr>
                <w:color w:val="000000" w:themeColor="text1"/>
                <w:sz w:val="16"/>
                <w:szCs w:val="16"/>
              </w:rPr>
            </w:pPr>
            <w:r>
              <w:rPr>
                <w:color w:val="000000" w:themeColor="text1"/>
                <w:sz w:val="16"/>
                <w:szCs w:val="16"/>
              </w:rPr>
              <w:t>-</w:t>
            </w:r>
          </w:p>
        </w:tc>
        <w:tc>
          <w:tcPr>
            <w:tcW w:w="536" w:type="pct"/>
            <w:tcBorders>
              <w:right w:val="single" w:sz="12" w:space="0" w:color="auto"/>
            </w:tcBorders>
            <w:vAlign w:val="center"/>
          </w:tcPr>
          <w:p w:rsidR="002D10CE" w:rsidRPr="00AE0058" w:rsidRDefault="002D10CE" w:rsidP="0004027E">
            <w:pPr>
              <w:jc w:val="right"/>
              <w:rPr>
                <w:color w:val="000000" w:themeColor="text1"/>
                <w:sz w:val="16"/>
                <w:szCs w:val="16"/>
              </w:rPr>
            </w:pPr>
            <w:r>
              <w:rPr>
                <w:color w:val="000000" w:themeColor="text1"/>
                <w:sz w:val="16"/>
                <w:szCs w:val="16"/>
              </w:rPr>
              <w:t>-</w:t>
            </w:r>
          </w:p>
        </w:tc>
        <w:tc>
          <w:tcPr>
            <w:tcW w:w="1102" w:type="pct"/>
            <w:tcBorders>
              <w:left w:val="single" w:sz="12" w:space="0" w:color="auto"/>
            </w:tcBorders>
            <w:vAlign w:val="center"/>
          </w:tcPr>
          <w:p w:rsidR="002D10CE" w:rsidRPr="00AE0058" w:rsidRDefault="002D10CE" w:rsidP="0004027E">
            <w:pPr>
              <w:jc w:val="right"/>
              <w:rPr>
                <w:color w:val="000000" w:themeColor="text1"/>
                <w:sz w:val="16"/>
                <w:szCs w:val="16"/>
              </w:rPr>
            </w:pPr>
            <w:r>
              <w:rPr>
                <w:color w:val="000000" w:themeColor="text1"/>
                <w:sz w:val="16"/>
                <w:szCs w:val="16"/>
              </w:rPr>
              <w:t>+12</w:t>
            </w:r>
          </w:p>
        </w:tc>
      </w:tr>
      <w:tr w:rsidR="002D10CE" w:rsidRPr="00AE0058" w:rsidTr="006C07FA">
        <w:tc>
          <w:tcPr>
            <w:tcW w:w="1947" w:type="pct"/>
            <w:gridSpan w:val="3"/>
            <w:shd w:val="clear" w:color="auto" w:fill="D9D9D9" w:themeFill="background1" w:themeFillShade="D9"/>
            <w:vAlign w:val="center"/>
          </w:tcPr>
          <w:p w:rsidR="002D10CE" w:rsidRPr="00AE0058" w:rsidRDefault="002D10CE" w:rsidP="0004027E">
            <w:pPr>
              <w:rPr>
                <w:b/>
                <w:color w:val="000000" w:themeColor="text1"/>
                <w:sz w:val="16"/>
                <w:szCs w:val="16"/>
              </w:rPr>
            </w:pPr>
            <w:r>
              <w:rPr>
                <w:b/>
                <w:color w:val="000000" w:themeColor="text1"/>
                <w:sz w:val="16"/>
                <w:szCs w:val="16"/>
              </w:rPr>
              <w:t>Total</w:t>
            </w:r>
          </w:p>
        </w:tc>
        <w:tc>
          <w:tcPr>
            <w:tcW w:w="474" w:type="pct"/>
            <w:gridSpan w:val="2"/>
            <w:shd w:val="clear" w:color="auto" w:fill="D9D9D9" w:themeFill="background1" w:themeFillShade="D9"/>
            <w:vAlign w:val="center"/>
          </w:tcPr>
          <w:p w:rsidR="002D10CE" w:rsidRPr="00AE0058" w:rsidRDefault="002D10CE" w:rsidP="0004027E">
            <w:pPr>
              <w:jc w:val="right"/>
              <w:rPr>
                <w:b/>
                <w:bCs/>
                <w:color w:val="000000" w:themeColor="text1"/>
                <w:sz w:val="16"/>
                <w:szCs w:val="16"/>
              </w:rPr>
            </w:pPr>
            <w:r>
              <w:rPr>
                <w:b/>
                <w:bCs/>
                <w:color w:val="000000" w:themeColor="text1"/>
                <w:sz w:val="16"/>
                <w:szCs w:val="16"/>
              </w:rPr>
              <w:t>12</w:t>
            </w:r>
          </w:p>
        </w:tc>
        <w:tc>
          <w:tcPr>
            <w:tcW w:w="465" w:type="pct"/>
            <w:shd w:val="clear" w:color="auto" w:fill="D9D9D9" w:themeFill="background1" w:themeFillShade="D9"/>
            <w:vAlign w:val="center"/>
          </w:tcPr>
          <w:p w:rsidR="002D10CE" w:rsidRPr="00AE0058" w:rsidRDefault="002D10CE" w:rsidP="0004027E">
            <w:pPr>
              <w:jc w:val="right"/>
              <w:rPr>
                <w:b/>
                <w:bCs/>
                <w:color w:val="000000" w:themeColor="text1"/>
                <w:sz w:val="16"/>
                <w:szCs w:val="16"/>
              </w:rPr>
            </w:pPr>
            <w:r>
              <w:rPr>
                <w:b/>
                <w:bCs/>
                <w:color w:val="000000" w:themeColor="text1"/>
                <w:sz w:val="16"/>
                <w:szCs w:val="16"/>
              </w:rPr>
              <w:t>-</w:t>
            </w:r>
          </w:p>
        </w:tc>
        <w:tc>
          <w:tcPr>
            <w:tcW w:w="476" w:type="pct"/>
            <w:gridSpan w:val="2"/>
            <w:shd w:val="clear" w:color="auto" w:fill="D9D9D9" w:themeFill="background1" w:themeFillShade="D9"/>
            <w:vAlign w:val="center"/>
          </w:tcPr>
          <w:p w:rsidR="002D10CE" w:rsidRPr="00AE0058" w:rsidRDefault="002D10CE" w:rsidP="0004027E">
            <w:pPr>
              <w:jc w:val="right"/>
              <w:rPr>
                <w:b/>
                <w:bCs/>
                <w:color w:val="000000" w:themeColor="text1"/>
                <w:sz w:val="16"/>
                <w:szCs w:val="16"/>
              </w:rPr>
            </w:pPr>
          </w:p>
        </w:tc>
        <w:tc>
          <w:tcPr>
            <w:tcW w:w="536" w:type="pct"/>
            <w:tcBorders>
              <w:right w:val="single" w:sz="12" w:space="0" w:color="auto"/>
            </w:tcBorders>
            <w:shd w:val="clear" w:color="auto" w:fill="D9D9D9" w:themeFill="background1" w:themeFillShade="D9"/>
            <w:vAlign w:val="center"/>
          </w:tcPr>
          <w:p w:rsidR="002D10CE" w:rsidRPr="00AE0058" w:rsidRDefault="002D10CE" w:rsidP="0004027E">
            <w:pPr>
              <w:jc w:val="right"/>
              <w:rPr>
                <w:b/>
                <w:bCs/>
                <w:color w:val="000000" w:themeColor="text1"/>
                <w:sz w:val="16"/>
                <w:szCs w:val="16"/>
              </w:rPr>
            </w:pPr>
            <w:r>
              <w:rPr>
                <w:b/>
                <w:bCs/>
                <w:color w:val="000000" w:themeColor="text1"/>
                <w:sz w:val="16"/>
                <w:szCs w:val="16"/>
              </w:rPr>
              <w:t>-</w:t>
            </w:r>
          </w:p>
        </w:tc>
        <w:tc>
          <w:tcPr>
            <w:tcW w:w="1102" w:type="pct"/>
            <w:tcBorders>
              <w:left w:val="single" w:sz="12" w:space="0" w:color="auto"/>
            </w:tcBorders>
            <w:shd w:val="clear" w:color="auto" w:fill="D9D9D9" w:themeFill="background1" w:themeFillShade="D9"/>
            <w:vAlign w:val="center"/>
          </w:tcPr>
          <w:p w:rsidR="002D10CE" w:rsidRPr="00AE0058" w:rsidRDefault="002D10CE" w:rsidP="0004027E">
            <w:pPr>
              <w:jc w:val="right"/>
              <w:rPr>
                <w:b/>
                <w:bCs/>
                <w:color w:val="000000" w:themeColor="text1"/>
                <w:sz w:val="16"/>
                <w:szCs w:val="16"/>
              </w:rPr>
            </w:pPr>
            <w:r>
              <w:rPr>
                <w:b/>
                <w:bCs/>
                <w:color w:val="000000" w:themeColor="text1"/>
                <w:sz w:val="16"/>
                <w:szCs w:val="16"/>
              </w:rPr>
              <w:t>12</w:t>
            </w:r>
          </w:p>
        </w:tc>
      </w:tr>
    </w:tbl>
    <w:p w:rsidR="002D10CE" w:rsidRPr="00AE0058" w:rsidRDefault="002D10CE" w:rsidP="002D10CE">
      <w:pPr>
        <w:spacing w:line="360" w:lineRule="auto"/>
        <w:rPr>
          <w:b/>
          <w:color w:val="000000" w:themeColor="text1"/>
        </w:rPr>
      </w:pPr>
    </w:p>
    <w:p w:rsidR="00744EBB" w:rsidRPr="00AE0058" w:rsidRDefault="00744EBB" w:rsidP="00BA0DEB">
      <w:pPr>
        <w:pStyle w:val="Text"/>
        <w:keepNext/>
        <w:rPr>
          <w:rFonts w:ascii="MetaNormalLF-Roman" w:hAnsi="MetaNormalLF-Roman"/>
          <w:i/>
          <w:color w:val="000000" w:themeColor="text1"/>
          <w:u w:val="single"/>
        </w:rPr>
      </w:pPr>
      <w:r>
        <w:rPr>
          <w:rFonts w:ascii="MetaNormalLF-Roman" w:hAnsi="MetaNormalLF-Roman"/>
          <w:i/>
          <w:color w:val="000000" w:themeColor="text1"/>
          <w:u w:val="single"/>
        </w:rPr>
        <w:t>Case group C: Environmental-economic statistics</w:t>
      </w:r>
    </w:p>
    <w:p w:rsidR="00744EBB" w:rsidRPr="00AE0058" w:rsidRDefault="00744EBB" w:rsidP="00744EBB">
      <w:pPr>
        <w:pStyle w:val="Text"/>
      </w:pPr>
      <w:r>
        <w:t>Changes to the environmental-economic statistics will change the annual compliance costs by around EUR 41 000. Case group C – Environmental-economic statistics is presented for the business addressees for the standard for each individual requirement.</w:t>
      </w:r>
    </w:p>
    <w:p w:rsidR="00FB2F0D" w:rsidRPr="00AE0058" w:rsidRDefault="00FB2F0D" w:rsidP="00C65795">
      <w:pPr>
        <w:pStyle w:val="Caption"/>
        <w:keepNext/>
        <w:rPr>
          <w:b/>
          <w:color w:val="000000" w:themeColor="text1"/>
        </w:rPr>
      </w:pPr>
      <w:r>
        <w:rPr>
          <w:b/>
          <w:color w:val="000000" w:themeColor="text1"/>
        </w:rPr>
        <w:t>Table 3 – Case group C – Environmental-economic statistics; annual compliance costs for businesses</w:t>
      </w:r>
    </w:p>
    <w:tbl>
      <w:tblPr>
        <w:tblStyle w:val="TableGrid"/>
        <w:tblW w:w="4938" w:type="pct"/>
        <w:tblInd w:w="57" w:type="dxa"/>
        <w:tblLayout w:type="fixed"/>
        <w:tblCellMar>
          <w:left w:w="57" w:type="dxa"/>
          <w:right w:w="57" w:type="dxa"/>
        </w:tblCellMar>
        <w:tblLook w:val="04A0" w:firstRow="1" w:lastRow="0" w:firstColumn="1" w:lastColumn="0" w:noHBand="0" w:noVBand="1"/>
      </w:tblPr>
      <w:tblGrid>
        <w:gridCol w:w="506"/>
        <w:gridCol w:w="832"/>
        <w:gridCol w:w="2037"/>
        <w:gridCol w:w="810"/>
        <w:gridCol w:w="12"/>
        <w:gridCol w:w="805"/>
        <w:gridCol w:w="810"/>
        <w:gridCol w:w="16"/>
        <w:gridCol w:w="929"/>
        <w:gridCol w:w="1913"/>
      </w:tblGrid>
      <w:tr w:rsidR="00744EBB" w:rsidRPr="00AE0058" w:rsidTr="006C07FA">
        <w:tc>
          <w:tcPr>
            <w:tcW w:w="292" w:type="pct"/>
            <w:shd w:val="clear" w:color="auto" w:fill="D9D9D9" w:themeFill="background1" w:themeFillShade="D9"/>
            <w:vAlign w:val="center"/>
          </w:tcPr>
          <w:p w:rsidR="00744EBB" w:rsidRPr="00AE0058" w:rsidRDefault="00744EBB" w:rsidP="00C65795">
            <w:pPr>
              <w:keepNext/>
              <w:rPr>
                <w:b/>
                <w:color w:val="000000" w:themeColor="text1"/>
                <w:sz w:val="16"/>
                <w:szCs w:val="16"/>
              </w:rPr>
            </w:pPr>
          </w:p>
        </w:tc>
        <w:tc>
          <w:tcPr>
            <w:tcW w:w="480" w:type="pct"/>
            <w:shd w:val="clear" w:color="auto" w:fill="D9D9D9" w:themeFill="background1" w:themeFillShade="D9"/>
            <w:vAlign w:val="center"/>
          </w:tcPr>
          <w:p w:rsidR="00744EBB" w:rsidRPr="00AE0058" w:rsidRDefault="00744EBB" w:rsidP="00C65795">
            <w:pPr>
              <w:keepNext/>
              <w:rPr>
                <w:b/>
                <w:color w:val="000000" w:themeColor="text1"/>
                <w:sz w:val="16"/>
                <w:szCs w:val="16"/>
              </w:rPr>
            </w:pPr>
          </w:p>
        </w:tc>
        <w:tc>
          <w:tcPr>
            <w:tcW w:w="1175" w:type="pct"/>
            <w:shd w:val="clear" w:color="auto" w:fill="D9D9D9" w:themeFill="background1" w:themeFillShade="D9"/>
            <w:vAlign w:val="center"/>
          </w:tcPr>
          <w:p w:rsidR="00744EBB" w:rsidRPr="00AE0058" w:rsidRDefault="00744EBB" w:rsidP="00C65795">
            <w:pPr>
              <w:keepNext/>
              <w:rPr>
                <w:b/>
                <w:color w:val="000000" w:themeColor="text1"/>
                <w:sz w:val="16"/>
                <w:szCs w:val="16"/>
              </w:rPr>
            </w:pPr>
          </w:p>
        </w:tc>
        <w:tc>
          <w:tcPr>
            <w:tcW w:w="938" w:type="pct"/>
            <w:gridSpan w:val="3"/>
            <w:shd w:val="clear" w:color="auto" w:fill="D9D9D9" w:themeFill="background1" w:themeFillShade="D9"/>
            <w:vAlign w:val="center"/>
          </w:tcPr>
          <w:p w:rsidR="00744EBB" w:rsidRPr="00AE0058" w:rsidRDefault="00744EBB" w:rsidP="00C65795">
            <w:pPr>
              <w:keepNext/>
              <w:rPr>
                <w:b/>
                <w:color w:val="000000" w:themeColor="text1"/>
                <w:sz w:val="16"/>
                <w:szCs w:val="16"/>
              </w:rPr>
            </w:pPr>
            <w:r>
              <w:rPr>
                <w:b/>
                <w:color w:val="000000" w:themeColor="text1"/>
                <w:sz w:val="16"/>
                <w:szCs w:val="16"/>
              </w:rPr>
              <w:t>Annual additional costs</w:t>
            </w:r>
          </w:p>
        </w:tc>
        <w:tc>
          <w:tcPr>
            <w:tcW w:w="1012" w:type="pct"/>
            <w:gridSpan w:val="3"/>
            <w:tcBorders>
              <w:right w:val="single" w:sz="12" w:space="0" w:color="auto"/>
            </w:tcBorders>
            <w:shd w:val="clear" w:color="auto" w:fill="D9D9D9" w:themeFill="background1" w:themeFillShade="D9"/>
            <w:vAlign w:val="center"/>
          </w:tcPr>
          <w:p w:rsidR="00744EBB" w:rsidRPr="00AE0058" w:rsidRDefault="00744EBB" w:rsidP="00C65795">
            <w:pPr>
              <w:keepNext/>
              <w:rPr>
                <w:b/>
                <w:color w:val="000000" w:themeColor="text1"/>
                <w:sz w:val="16"/>
                <w:szCs w:val="16"/>
              </w:rPr>
            </w:pPr>
            <w:r>
              <w:rPr>
                <w:b/>
                <w:color w:val="000000" w:themeColor="text1"/>
                <w:sz w:val="16"/>
                <w:szCs w:val="16"/>
              </w:rPr>
              <w:t>Annual reduction in costs</w:t>
            </w:r>
          </w:p>
        </w:tc>
        <w:tc>
          <w:tcPr>
            <w:tcW w:w="1103" w:type="pct"/>
            <w:tcBorders>
              <w:left w:val="single" w:sz="12" w:space="0" w:color="auto"/>
            </w:tcBorders>
            <w:shd w:val="clear" w:color="auto" w:fill="D9D9D9" w:themeFill="background1" w:themeFillShade="D9"/>
            <w:vAlign w:val="center"/>
          </w:tcPr>
          <w:p w:rsidR="00744EBB" w:rsidRPr="00AE0058" w:rsidRDefault="00744EBB" w:rsidP="00C65795">
            <w:pPr>
              <w:keepNext/>
              <w:rPr>
                <w:b/>
                <w:color w:val="000000" w:themeColor="text1"/>
                <w:sz w:val="16"/>
                <w:szCs w:val="16"/>
              </w:rPr>
            </w:pPr>
            <w:r>
              <w:rPr>
                <w:b/>
                <w:color w:val="000000" w:themeColor="text1"/>
                <w:sz w:val="16"/>
                <w:szCs w:val="16"/>
              </w:rPr>
              <w:t>Change in the annual compliance costs</w:t>
            </w:r>
          </w:p>
        </w:tc>
      </w:tr>
      <w:tr w:rsidR="00744EBB" w:rsidRPr="00AE0058" w:rsidTr="006C07FA">
        <w:tc>
          <w:tcPr>
            <w:tcW w:w="292" w:type="pct"/>
            <w:shd w:val="clear" w:color="auto" w:fill="D9D9D9" w:themeFill="background1" w:themeFillShade="D9"/>
            <w:vAlign w:val="center"/>
          </w:tcPr>
          <w:p w:rsidR="00744EBB" w:rsidRPr="00AE0058" w:rsidRDefault="00744EBB" w:rsidP="00C65795">
            <w:pPr>
              <w:keepNext/>
              <w:rPr>
                <w:b/>
                <w:color w:val="000000" w:themeColor="text1"/>
                <w:sz w:val="16"/>
                <w:szCs w:val="16"/>
              </w:rPr>
            </w:pPr>
            <w:r>
              <w:rPr>
                <w:b/>
                <w:color w:val="000000" w:themeColor="text1"/>
                <w:sz w:val="16"/>
                <w:szCs w:val="16"/>
              </w:rPr>
              <w:t>Target</w:t>
            </w:r>
          </w:p>
        </w:tc>
        <w:tc>
          <w:tcPr>
            <w:tcW w:w="480" w:type="pct"/>
            <w:shd w:val="clear" w:color="auto" w:fill="D9D9D9" w:themeFill="background1" w:themeFillShade="D9"/>
            <w:vAlign w:val="center"/>
          </w:tcPr>
          <w:p w:rsidR="00744EBB" w:rsidRPr="00AE0058" w:rsidRDefault="00744EBB" w:rsidP="00C65795">
            <w:pPr>
              <w:keepNext/>
              <w:rPr>
                <w:b/>
                <w:color w:val="000000" w:themeColor="text1"/>
                <w:sz w:val="16"/>
                <w:szCs w:val="16"/>
              </w:rPr>
            </w:pPr>
            <w:r>
              <w:rPr>
                <w:b/>
                <w:color w:val="000000" w:themeColor="text1"/>
                <w:sz w:val="16"/>
                <w:szCs w:val="16"/>
              </w:rPr>
              <w:t>Paragraph</w:t>
            </w:r>
          </w:p>
        </w:tc>
        <w:tc>
          <w:tcPr>
            <w:tcW w:w="1175" w:type="pct"/>
            <w:shd w:val="clear" w:color="auto" w:fill="D9D9D9" w:themeFill="background1" w:themeFillShade="D9"/>
            <w:vAlign w:val="center"/>
          </w:tcPr>
          <w:p w:rsidR="00744EBB" w:rsidRPr="00AE0058" w:rsidRDefault="00744EBB" w:rsidP="00C65795">
            <w:pPr>
              <w:keepNext/>
              <w:rPr>
                <w:b/>
                <w:color w:val="000000" w:themeColor="text1"/>
                <w:sz w:val="16"/>
                <w:szCs w:val="16"/>
              </w:rPr>
            </w:pPr>
            <w:r>
              <w:rPr>
                <w:b/>
                <w:color w:val="000000" w:themeColor="text1"/>
                <w:sz w:val="16"/>
                <w:szCs w:val="16"/>
              </w:rPr>
              <w:t>Target description</w:t>
            </w:r>
          </w:p>
        </w:tc>
        <w:tc>
          <w:tcPr>
            <w:tcW w:w="467" w:type="pct"/>
            <w:shd w:val="clear" w:color="auto" w:fill="D9D9D9" w:themeFill="background1" w:themeFillShade="D9"/>
            <w:vAlign w:val="center"/>
          </w:tcPr>
          <w:p w:rsidR="00744EBB" w:rsidRPr="00AE0058" w:rsidRDefault="00744EBB" w:rsidP="00C65795">
            <w:pPr>
              <w:keepNext/>
              <w:rPr>
                <w:b/>
                <w:color w:val="000000" w:themeColor="text1"/>
                <w:sz w:val="16"/>
                <w:szCs w:val="16"/>
              </w:rPr>
            </w:pPr>
            <w:r>
              <w:rPr>
                <w:b/>
                <w:color w:val="000000" w:themeColor="text1"/>
                <w:sz w:val="16"/>
                <w:szCs w:val="16"/>
              </w:rPr>
              <w:t>Personnel costs</w:t>
            </w:r>
          </w:p>
        </w:tc>
        <w:tc>
          <w:tcPr>
            <w:tcW w:w="471" w:type="pct"/>
            <w:gridSpan w:val="2"/>
            <w:shd w:val="clear" w:color="auto" w:fill="D9D9D9" w:themeFill="background1" w:themeFillShade="D9"/>
            <w:vAlign w:val="center"/>
          </w:tcPr>
          <w:p w:rsidR="00744EBB" w:rsidRPr="00AE0058" w:rsidRDefault="00744EBB" w:rsidP="00C65795">
            <w:pPr>
              <w:keepNext/>
              <w:rPr>
                <w:b/>
                <w:color w:val="000000" w:themeColor="text1"/>
                <w:sz w:val="16"/>
                <w:szCs w:val="16"/>
              </w:rPr>
            </w:pPr>
            <w:r>
              <w:rPr>
                <w:b/>
                <w:color w:val="000000" w:themeColor="text1"/>
                <w:sz w:val="16"/>
                <w:szCs w:val="16"/>
              </w:rPr>
              <w:t>Material costs</w:t>
            </w:r>
          </w:p>
        </w:tc>
        <w:tc>
          <w:tcPr>
            <w:tcW w:w="467" w:type="pct"/>
            <w:shd w:val="clear" w:color="auto" w:fill="D9D9D9" w:themeFill="background1" w:themeFillShade="D9"/>
            <w:vAlign w:val="center"/>
          </w:tcPr>
          <w:p w:rsidR="00744EBB" w:rsidRPr="00AE0058" w:rsidRDefault="00744EBB" w:rsidP="00C65795">
            <w:pPr>
              <w:keepNext/>
              <w:rPr>
                <w:b/>
                <w:color w:val="000000" w:themeColor="text1"/>
                <w:sz w:val="16"/>
                <w:szCs w:val="16"/>
              </w:rPr>
            </w:pPr>
            <w:r>
              <w:rPr>
                <w:b/>
                <w:color w:val="000000" w:themeColor="text1"/>
                <w:sz w:val="16"/>
                <w:szCs w:val="16"/>
              </w:rPr>
              <w:t>Personnel costs</w:t>
            </w:r>
          </w:p>
        </w:tc>
        <w:tc>
          <w:tcPr>
            <w:tcW w:w="545" w:type="pct"/>
            <w:gridSpan w:val="2"/>
            <w:tcBorders>
              <w:right w:val="single" w:sz="12" w:space="0" w:color="auto"/>
            </w:tcBorders>
            <w:shd w:val="clear" w:color="auto" w:fill="D9D9D9" w:themeFill="background1" w:themeFillShade="D9"/>
            <w:vAlign w:val="center"/>
          </w:tcPr>
          <w:p w:rsidR="00744EBB" w:rsidRPr="00AE0058" w:rsidRDefault="00744EBB" w:rsidP="00C65795">
            <w:pPr>
              <w:keepNext/>
              <w:rPr>
                <w:b/>
                <w:color w:val="000000" w:themeColor="text1"/>
                <w:sz w:val="16"/>
                <w:szCs w:val="16"/>
              </w:rPr>
            </w:pPr>
            <w:r>
              <w:rPr>
                <w:b/>
                <w:color w:val="000000" w:themeColor="text1"/>
                <w:sz w:val="16"/>
                <w:szCs w:val="16"/>
              </w:rPr>
              <w:t>Material costs</w:t>
            </w:r>
          </w:p>
        </w:tc>
        <w:tc>
          <w:tcPr>
            <w:tcW w:w="1103" w:type="pct"/>
            <w:tcBorders>
              <w:left w:val="single" w:sz="12" w:space="0" w:color="auto"/>
            </w:tcBorders>
            <w:shd w:val="clear" w:color="auto" w:fill="D9D9D9" w:themeFill="background1" w:themeFillShade="D9"/>
            <w:vAlign w:val="center"/>
          </w:tcPr>
          <w:p w:rsidR="00744EBB" w:rsidRPr="00AE0058" w:rsidRDefault="00744EBB" w:rsidP="00C65795">
            <w:pPr>
              <w:keepNext/>
              <w:rPr>
                <w:b/>
                <w:color w:val="000000" w:themeColor="text1"/>
                <w:sz w:val="16"/>
                <w:szCs w:val="16"/>
              </w:rPr>
            </w:pPr>
            <w:r>
              <w:rPr>
                <w:b/>
                <w:color w:val="000000" w:themeColor="text1"/>
                <w:sz w:val="16"/>
                <w:szCs w:val="16"/>
              </w:rPr>
              <w:t>Total costs</w:t>
            </w:r>
          </w:p>
        </w:tc>
      </w:tr>
      <w:tr w:rsidR="00744EBB" w:rsidRPr="00AE0058" w:rsidTr="006C07FA">
        <w:tc>
          <w:tcPr>
            <w:tcW w:w="292" w:type="pct"/>
            <w:shd w:val="clear" w:color="auto" w:fill="D9D9D9" w:themeFill="background1" w:themeFillShade="D9"/>
            <w:vAlign w:val="center"/>
          </w:tcPr>
          <w:p w:rsidR="00744EBB" w:rsidRPr="00AE0058" w:rsidRDefault="00744EBB" w:rsidP="00C65795">
            <w:pPr>
              <w:keepNext/>
              <w:rPr>
                <w:b/>
                <w:color w:val="000000" w:themeColor="text1"/>
                <w:sz w:val="16"/>
                <w:szCs w:val="16"/>
              </w:rPr>
            </w:pPr>
          </w:p>
        </w:tc>
        <w:tc>
          <w:tcPr>
            <w:tcW w:w="480" w:type="pct"/>
            <w:shd w:val="clear" w:color="auto" w:fill="D9D9D9" w:themeFill="background1" w:themeFillShade="D9"/>
            <w:vAlign w:val="center"/>
          </w:tcPr>
          <w:p w:rsidR="00744EBB" w:rsidRPr="00AE0058" w:rsidRDefault="00744EBB" w:rsidP="00C65795">
            <w:pPr>
              <w:keepNext/>
              <w:rPr>
                <w:b/>
                <w:color w:val="000000" w:themeColor="text1"/>
                <w:sz w:val="16"/>
                <w:szCs w:val="16"/>
              </w:rPr>
            </w:pPr>
          </w:p>
        </w:tc>
        <w:tc>
          <w:tcPr>
            <w:tcW w:w="1175" w:type="pct"/>
            <w:shd w:val="clear" w:color="auto" w:fill="D9D9D9" w:themeFill="background1" w:themeFillShade="D9"/>
            <w:vAlign w:val="center"/>
          </w:tcPr>
          <w:p w:rsidR="00744EBB" w:rsidRPr="00AE0058" w:rsidRDefault="00744EBB" w:rsidP="00C65795">
            <w:pPr>
              <w:keepNext/>
              <w:rPr>
                <w:b/>
                <w:color w:val="000000" w:themeColor="text1"/>
                <w:sz w:val="16"/>
                <w:szCs w:val="16"/>
              </w:rPr>
            </w:pPr>
          </w:p>
        </w:tc>
        <w:tc>
          <w:tcPr>
            <w:tcW w:w="3054" w:type="pct"/>
            <w:gridSpan w:val="7"/>
            <w:shd w:val="clear" w:color="auto" w:fill="D9D9D9" w:themeFill="background1" w:themeFillShade="D9"/>
            <w:vAlign w:val="center"/>
          </w:tcPr>
          <w:p w:rsidR="00744EBB" w:rsidRPr="00AE0058" w:rsidRDefault="00744EBB" w:rsidP="00C65795">
            <w:pPr>
              <w:keepNext/>
              <w:jc w:val="center"/>
              <w:rPr>
                <w:b/>
                <w:color w:val="000000" w:themeColor="text1"/>
                <w:sz w:val="16"/>
                <w:szCs w:val="16"/>
              </w:rPr>
            </w:pPr>
            <w:r>
              <w:rPr>
                <w:b/>
                <w:color w:val="000000" w:themeColor="text1"/>
                <w:sz w:val="16"/>
                <w:szCs w:val="16"/>
              </w:rPr>
              <w:t>In thousands of EUR</w:t>
            </w:r>
          </w:p>
        </w:tc>
      </w:tr>
      <w:tr w:rsidR="00744EBB" w:rsidRPr="00AE0058" w:rsidTr="006C07FA">
        <w:tc>
          <w:tcPr>
            <w:tcW w:w="292" w:type="pct"/>
            <w:vAlign w:val="center"/>
          </w:tcPr>
          <w:p w:rsidR="00744EBB" w:rsidRPr="00AE0058" w:rsidRDefault="002D10CE" w:rsidP="00FB2F0D">
            <w:pPr>
              <w:rPr>
                <w:color w:val="000000" w:themeColor="text1"/>
                <w:sz w:val="16"/>
                <w:szCs w:val="16"/>
              </w:rPr>
            </w:pPr>
            <w:r>
              <w:rPr>
                <w:color w:val="000000" w:themeColor="text1"/>
                <w:sz w:val="16"/>
                <w:szCs w:val="16"/>
              </w:rPr>
              <w:t>8</w:t>
            </w:r>
          </w:p>
        </w:tc>
        <w:tc>
          <w:tcPr>
            <w:tcW w:w="480" w:type="pct"/>
            <w:vAlign w:val="center"/>
          </w:tcPr>
          <w:p w:rsidR="00744EBB" w:rsidRPr="00AE0058" w:rsidRDefault="00744EBB" w:rsidP="009E13D4">
            <w:pPr>
              <w:rPr>
                <w:color w:val="000000" w:themeColor="text1"/>
                <w:sz w:val="16"/>
                <w:szCs w:val="16"/>
              </w:rPr>
            </w:pPr>
            <w:r>
              <w:rPr>
                <w:color w:val="000000" w:themeColor="text1"/>
                <w:sz w:val="16"/>
                <w:szCs w:val="16"/>
              </w:rPr>
              <w:t>§ 4b(11) sentence 1(1) and sentence 2 UStatG</w:t>
            </w:r>
          </w:p>
        </w:tc>
        <w:tc>
          <w:tcPr>
            <w:tcW w:w="1175" w:type="pct"/>
            <w:vAlign w:val="center"/>
          </w:tcPr>
          <w:p w:rsidR="00744EBB" w:rsidRPr="00AE0058" w:rsidRDefault="00744EBB" w:rsidP="00FB2F0D">
            <w:pPr>
              <w:rPr>
                <w:color w:val="000000" w:themeColor="text1"/>
                <w:sz w:val="16"/>
                <w:szCs w:val="16"/>
              </w:rPr>
            </w:pPr>
            <w:r>
              <w:rPr>
                <w:color w:val="000000" w:themeColor="text1"/>
                <w:sz w:val="16"/>
                <w:szCs w:val="16"/>
              </w:rPr>
              <w:t xml:space="preserve">Survey of investments for environmental protection </w:t>
            </w:r>
          </w:p>
        </w:tc>
        <w:tc>
          <w:tcPr>
            <w:tcW w:w="474" w:type="pct"/>
            <w:gridSpan w:val="2"/>
            <w:vAlign w:val="center"/>
          </w:tcPr>
          <w:p w:rsidR="00744EBB" w:rsidRPr="00AE0058" w:rsidRDefault="00744EBB" w:rsidP="00FB2F0D">
            <w:pPr>
              <w:jc w:val="right"/>
              <w:rPr>
                <w:color w:val="000000" w:themeColor="text1"/>
                <w:sz w:val="16"/>
                <w:szCs w:val="16"/>
              </w:rPr>
            </w:pPr>
            <w:r>
              <w:rPr>
                <w:color w:val="000000" w:themeColor="text1"/>
                <w:sz w:val="16"/>
                <w:szCs w:val="16"/>
              </w:rPr>
              <w:t>27</w:t>
            </w:r>
          </w:p>
        </w:tc>
        <w:tc>
          <w:tcPr>
            <w:tcW w:w="464" w:type="pct"/>
            <w:vAlign w:val="center"/>
          </w:tcPr>
          <w:p w:rsidR="00744EBB" w:rsidRPr="00AE0058" w:rsidRDefault="00744EBB" w:rsidP="00FB2F0D">
            <w:pPr>
              <w:jc w:val="right"/>
              <w:rPr>
                <w:color w:val="000000" w:themeColor="text1"/>
                <w:sz w:val="16"/>
                <w:szCs w:val="16"/>
              </w:rPr>
            </w:pPr>
            <w:r>
              <w:rPr>
                <w:color w:val="000000" w:themeColor="text1"/>
                <w:sz w:val="16"/>
                <w:szCs w:val="16"/>
              </w:rPr>
              <w:t>-</w:t>
            </w:r>
          </w:p>
        </w:tc>
        <w:tc>
          <w:tcPr>
            <w:tcW w:w="476" w:type="pct"/>
            <w:gridSpan w:val="2"/>
            <w:vAlign w:val="center"/>
          </w:tcPr>
          <w:p w:rsidR="00744EBB" w:rsidRPr="00AE0058" w:rsidRDefault="00744EBB" w:rsidP="00FB2F0D">
            <w:pPr>
              <w:jc w:val="right"/>
              <w:rPr>
                <w:color w:val="000000" w:themeColor="text1"/>
                <w:sz w:val="16"/>
                <w:szCs w:val="16"/>
              </w:rPr>
            </w:pPr>
            <w:r>
              <w:rPr>
                <w:color w:val="000000" w:themeColor="text1"/>
                <w:sz w:val="16"/>
                <w:szCs w:val="16"/>
              </w:rPr>
              <w:t>-</w:t>
            </w:r>
          </w:p>
        </w:tc>
        <w:tc>
          <w:tcPr>
            <w:tcW w:w="536" w:type="pct"/>
            <w:tcBorders>
              <w:right w:val="single" w:sz="12" w:space="0" w:color="auto"/>
            </w:tcBorders>
            <w:vAlign w:val="center"/>
          </w:tcPr>
          <w:p w:rsidR="00744EBB" w:rsidRPr="00AE0058" w:rsidRDefault="00744EBB" w:rsidP="00FB2F0D">
            <w:pPr>
              <w:jc w:val="right"/>
              <w:rPr>
                <w:color w:val="000000" w:themeColor="text1"/>
                <w:sz w:val="16"/>
                <w:szCs w:val="16"/>
              </w:rPr>
            </w:pPr>
            <w:r>
              <w:rPr>
                <w:color w:val="000000" w:themeColor="text1"/>
                <w:sz w:val="16"/>
                <w:szCs w:val="16"/>
              </w:rPr>
              <w:t>-</w:t>
            </w:r>
          </w:p>
        </w:tc>
        <w:tc>
          <w:tcPr>
            <w:tcW w:w="1103" w:type="pct"/>
            <w:tcBorders>
              <w:left w:val="single" w:sz="12" w:space="0" w:color="auto"/>
            </w:tcBorders>
            <w:vAlign w:val="center"/>
          </w:tcPr>
          <w:p w:rsidR="00744EBB" w:rsidRPr="00AE0058" w:rsidRDefault="00744EBB" w:rsidP="00FB2F0D">
            <w:pPr>
              <w:jc w:val="right"/>
              <w:rPr>
                <w:color w:val="000000" w:themeColor="text1"/>
                <w:sz w:val="16"/>
                <w:szCs w:val="16"/>
              </w:rPr>
            </w:pPr>
            <w:r>
              <w:rPr>
                <w:color w:val="000000" w:themeColor="text1"/>
                <w:sz w:val="16"/>
                <w:szCs w:val="16"/>
              </w:rPr>
              <w:t>27</w:t>
            </w:r>
          </w:p>
        </w:tc>
      </w:tr>
      <w:tr w:rsidR="00744EBB" w:rsidRPr="00AE0058" w:rsidTr="006C07FA">
        <w:tc>
          <w:tcPr>
            <w:tcW w:w="292" w:type="pct"/>
            <w:vAlign w:val="center"/>
          </w:tcPr>
          <w:p w:rsidR="00744EBB" w:rsidRPr="00AE0058" w:rsidRDefault="002D10CE" w:rsidP="00FB2F0D">
            <w:pPr>
              <w:rPr>
                <w:color w:val="000000" w:themeColor="text1"/>
                <w:sz w:val="16"/>
                <w:szCs w:val="16"/>
              </w:rPr>
            </w:pPr>
            <w:r>
              <w:rPr>
                <w:color w:val="000000" w:themeColor="text1"/>
                <w:sz w:val="16"/>
                <w:szCs w:val="16"/>
              </w:rPr>
              <w:t>9</w:t>
            </w:r>
          </w:p>
        </w:tc>
        <w:tc>
          <w:tcPr>
            <w:tcW w:w="480" w:type="pct"/>
            <w:vAlign w:val="center"/>
          </w:tcPr>
          <w:p w:rsidR="00744EBB" w:rsidRPr="00AE0058" w:rsidRDefault="00744EBB" w:rsidP="009E13D4">
            <w:pPr>
              <w:rPr>
                <w:color w:val="000000" w:themeColor="text1"/>
                <w:sz w:val="16"/>
                <w:szCs w:val="16"/>
              </w:rPr>
            </w:pPr>
            <w:r>
              <w:rPr>
                <w:color w:val="000000" w:themeColor="text1"/>
                <w:sz w:val="16"/>
                <w:szCs w:val="16"/>
              </w:rPr>
              <w:t>§ 4b(11) sentence 1(2) and sentence 2 UStatG</w:t>
            </w:r>
          </w:p>
        </w:tc>
        <w:tc>
          <w:tcPr>
            <w:tcW w:w="1175" w:type="pct"/>
            <w:vAlign w:val="center"/>
          </w:tcPr>
          <w:p w:rsidR="00744EBB" w:rsidRPr="00AE0058" w:rsidRDefault="00744EBB" w:rsidP="00FB2F0D">
            <w:pPr>
              <w:rPr>
                <w:color w:val="000000" w:themeColor="text1"/>
                <w:sz w:val="16"/>
                <w:szCs w:val="16"/>
              </w:rPr>
            </w:pPr>
            <w:r>
              <w:rPr>
                <w:color w:val="000000" w:themeColor="text1"/>
                <w:sz w:val="16"/>
                <w:szCs w:val="16"/>
              </w:rPr>
              <w:t>Survey of current expenditure on environmental protection</w:t>
            </w:r>
          </w:p>
        </w:tc>
        <w:tc>
          <w:tcPr>
            <w:tcW w:w="474" w:type="pct"/>
            <w:gridSpan w:val="2"/>
            <w:vAlign w:val="center"/>
          </w:tcPr>
          <w:p w:rsidR="00744EBB" w:rsidRPr="00AE0058" w:rsidRDefault="00744EBB" w:rsidP="00FB2F0D">
            <w:pPr>
              <w:jc w:val="right"/>
              <w:rPr>
                <w:color w:val="000000" w:themeColor="text1"/>
                <w:sz w:val="16"/>
                <w:szCs w:val="16"/>
              </w:rPr>
            </w:pPr>
            <w:r>
              <w:rPr>
                <w:color w:val="000000" w:themeColor="text1"/>
                <w:sz w:val="16"/>
                <w:szCs w:val="16"/>
              </w:rPr>
              <w:t>13</w:t>
            </w:r>
          </w:p>
        </w:tc>
        <w:tc>
          <w:tcPr>
            <w:tcW w:w="464" w:type="pct"/>
            <w:vAlign w:val="center"/>
          </w:tcPr>
          <w:p w:rsidR="00744EBB" w:rsidRPr="00AE0058" w:rsidRDefault="00744EBB" w:rsidP="00FB2F0D">
            <w:pPr>
              <w:jc w:val="right"/>
              <w:rPr>
                <w:color w:val="000000" w:themeColor="text1"/>
                <w:sz w:val="16"/>
                <w:szCs w:val="16"/>
              </w:rPr>
            </w:pPr>
            <w:r>
              <w:rPr>
                <w:color w:val="000000" w:themeColor="text1"/>
                <w:sz w:val="16"/>
                <w:szCs w:val="16"/>
              </w:rPr>
              <w:t>-</w:t>
            </w:r>
          </w:p>
        </w:tc>
        <w:tc>
          <w:tcPr>
            <w:tcW w:w="476" w:type="pct"/>
            <w:gridSpan w:val="2"/>
            <w:vAlign w:val="center"/>
          </w:tcPr>
          <w:p w:rsidR="00744EBB" w:rsidRPr="00AE0058" w:rsidRDefault="00744EBB" w:rsidP="00FB2F0D">
            <w:pPr>
              <w:jc w:val="right"/>
              <w:rPr>
                <w:color w:val="000000" w:themeColor="text1"/>
                <w:sz w:val="16"/>
                <w:szCs w:val="16"/>
              </w:rPr>
            </w:pPr>
            <w:r>
              <w:rPr>
                <w:color w:val="000000" w:themeColor="text1"/>
                <w:sz w:val="16"/>
                <w:szCs w:val="16"/>
              </w:rPr>
              <w:t>-</w:t>
            </w:r>
          </w:p>
        </w:tc>
        <w:tc>
          <w:tcPr>
            <w:tcW w:w="536" w:type="pct"/>
            <w:tcBorders>
              <w:right w:val="single" w:sz="12" w:space="0" w:color="auto"/>
            </w:tcBorders>
            <w:vAlign w:val="center"/>
          </w:tcPr>
          <w:p w:rsidR="00744EBB" w:rsidRPr="00AE0058" w:rsidRDefault="00744EBB" w:rsidP="00FB2F0D">
            <w:pPr>
              <w:jc w:val="right"/>
              <w:rPr>
                <w:color w:val="000000" w:themeColor="text1"/>
                <w:sz w:val="16"/>
                <w:szCs w:val="16"/>
              </w:rPr>
            </w:pPr>
            <w:r>
              <w:rPr>
                <w:color w:val="000000" w:themeColor="text1"/>
                <w:sz w:val="16"/>
                <w:szCs w:val="16"/>
              </w:rPr>
              <w:t>-</w:t>
            </w:r>
          </w:p>
        </w:tc>
        <w:tc>
          <w:tcPr>
            <w:tcW w:w="1103" w:type="pct"/>
            <w:tcBorders>
              <w:left w:val="single" w:sz="12" w:space="0" w:color="auto"/>
            </w:tcBorders>
            <w:vAlign w:val="center"/>
          </w:tcPr>
          <w:p w:rsidR="00744EBB" w:rsidRPr="00AE0058" w:rsidRDefault="00744EBB" w:rsidP="00FB2F0D">
            <w:pPr>
              <w:jc w:val="right"/>
              <w:rPr>
                <w:color w:val="000000" w:themeColor="text1"/>
                <w:sz w:val="16"/>
                <w:szCs w:val="16"/>
              </w:rPr>
            </w:pPr>
            <w:r>
              <w:rPr>
                <w:color w:val="000000" w:themeColor="text1"/>
                <w:sz w:val="16"/>
                <w:szCs w:val="16"/>
              </w:rPr>
              <w:t>13</w:t>
            </w:r>
          </w:p>
        </w:tc>
      </w:tr>
      <w:tr w:rsidR="00744EBB" w:rsidRPr="00AE0058" w:rsidTr="006C07FA">
        <w:tc>
          <w:tcPr>
            <w:tcW w:w="292" w:type="pct"/>
            <w:vAlign w:val="center"/>
          </w:tcPr>
          <w:p w:rsidR="00744EBB" w:rsidRPr="00AE0058" w:rsidRDefault="002D10CE" w:rsidP="00FB2F0D">
            <w:pPr>
              <w:rPr>
                <w:color w:val="000000" w:themeColor="text1"/>
                <w:sz w:val="16"/>
                <w:szCs w:val="16"/>
              </w:rPr>
            </w:pPr>
            <w:r>
              <w:rPr>
                <w:color w:val="000000" w:themeColor="text1"/>
                <w:sz w:val="16"/>
                <w:szCs w:val="16"/>
              </w:rPr>
              <w:t>10</w:t>
            </w:r>
          </w:p>
        </w:tc>
        <w:tc>
          <w:tcPr>
            <w:tcW w:w="480" w:type="pct"/>
            <w:vAlign w:val="center"/>
          </w:tcPr>
          <w:p w:rsidR="00744EBB" w:rsidRPr="00AE0058" w:rsidRDefault="00744EBB" w:rsidP="00FB2F0D">
            <w:pPr>
              <w:rPr>
                <w:color w:val="000000" w:themeColor="text1"/>
                <w:sz w:val="16"/>
                <w:szCs w:val="16"/>
              </w:rPr>
            </w:pPr>
            <w:r>
              <w:rPr>
                <w:color w:val="000000" w:themeColor="text1"/>
                <w:sz w:val="16"/>
                <w:szCs w:val="16"/>
              </w:rPr>
              <w:t>§ 12(2)(4) and § 12(1)(2) UStatG</w:t>
            </w:r>
          </w:p>
        </w:tc>
        <w:tc>
          <w:tcPr>
            <w:tcW w:w="1175" w:type="pct"/>
            <w:vAlign w:val="center"/>
          </w:tcPr>
          <w:p w:rsidR="00744EBB" w:rsidRPr="00AE0058" w:rsidRDefault="00744EBB" w:rsidP="00FB2F0D">
            <w:pPr>
              <w:rPr>
                <w:color w:val="000000" w:themeColor="text1"/>
                <w:sz w:val="16"/>
                <w:szCs w:val="16"/>
              </w:rPr>
            </w:pPr>
            <w:r>
              <w:rPr>
                <w:color w:val="000000" w:themeColor="text1"/>
                <w:sz w:val="16"/>
                <w:szCs w:val="16"/>
              </w:rPr>
              <w:t xml:space="preserve">Survey of goods, works and services for the protection of the environment </w:t>
            </w:r>
          </w:p>
        </w:tc>
        <w:tc>
          <w:tcPr>
            <w:tcW w:w="474" w:type="pct"/>
            <w:gridSpan w:val="2"/>
            <w:vAlign w:val="center"/>
          </w:tcPr>
          <w:p w:rsidR="00744EBB" w:rsidRPr="00AE0058" w:rsidRDefault="00744EBB" w:rsidP="00FB2F0D">
            <w:pPr>
              <w:jc w:val="right"/>
              <w:rPr>
                <w:color w:val="000000" w:themeColor="text1"/>
                <w:sz w:val="16"/>
                <w:szCs w:val="16"/>
              </w:rPr>
            </w:pPr>
            <w:r>
              <w:rPr>
                <w:color w:val="000000" w:themeColor="text1"/>
                <w:sz w:val="16"/>
                <w:szCs w:val="16"/>
              </w:rPr>
              <w:t>0.5</w:t>
            </w:r>
          </w:p>
        </w:tc>
        <w:tc>
          <w:tcPr>
            <w:tcW w:w="464" w:type="pct"/>
            <w:vAlign w:val="center"/>
          </w:tcPr>
          <w:p w:rsidR="00744EBB" w:rsidRPr="00AE0058" w:rsidRDefault="00744EBB" w:rsidP="00FB2F0D">
            <w:pPr>
              <w:jc w:val="right"/>
              <w:rPr>
                <w:color w:val="000000" w:themeColor="text1"/>
                <w:sz w:val="16"/>
                <w:szCs w:val="16"/>
              </w:rPr>
            </w:pPr>
            <w:r>
              <w:rPr>
                <w:color w:val="000000" w:themeColor="text1"/>
                <w:sz w:val="16"/>
                <w:szCs w:val="16"/>
              </w:rPr>
              <w:t>-</w:t>
            </w:r>
          </w:p>
        </w:tc>
        <w:tc>
          <w:tcPr>
            <w:tcW w:w="476" w:type="pct"/>
            <w:gridSpan w:val="2"/>
            <w:vAlign w:val="center"/>
          </w:tcPr>
          <w:p w:rsidR="00744EBB" w:rsidRPr="00AE0058" w:rsidRDefault="00744EBB" w:rsidP="00FB2F0D">
            <w:pPr>
              <w:jc w:val="right"/>
              <w:rPr>
                <w:color w:val="000000" w:themeColor="text1"/>
                <w:sz w:val="16"/>
                <w:szCs w:val="16"/>
              </w:rPr>
            </w:pPr>
            <w:r>
              <w:rPr>
                <w:color w:val="000000" w:themeColor="text1"/>
                <w:sz w:val="16"/>
                <w:szCs w:val="16"/>
              </w:rPr>
              <w:t>-</w:t>
            </w:r>
          </w:p>
        </w:tc>
        <w:tc>
          <w:tcPr>
            <w:tcW w:w="536" w:type="pct"/>
            <w:tcBorders>
              <w:right w:val="single" w:sz="12" w:space="0" w:color="auto"/>
            </w:tcBorders>
            <w:vAlign w:val="center"/>
          </w:tcPr>
          <w:p w:rsidR="00744EBB" w:rsidRPr="00AE0058" w:rsidRDefault="00744EBB" w:rsidP="00FB2F0D">
            <w:pPr>
              <w:jc w:val="right"/>
              <w:rPr>
                <w:color w:val="000000" w:themeColor="text1"/>
                <w:sz w:val="16"/>
                <w:szCs w:val="16"/>
              </w:rPr>
            </w:pPr>
            <w:r>
              <w:rPr>
                <w:color w:val="000000" w:themeColor="text1"/>
                <w:sz w:val="16"/>
                <w:szCs w:val="16"/>
              </w:rPr>
              <w:t>-</w:t>
            </w:r>
          </w:p>
        </w:tc>
        <w:tc>
          <w:tcPr>
            <w:tcW w:w="1103" w:type="pct"/>
            <w:tcBorders>
              <w:left w:val="single" w:sz="12" w:space="0" w:color="auto"/>
            </w:tcBorders>
            <w:vAlign w:val="center"/>
          </w:tcPr>
          <w:p w:rsidR="00744EBB" w:rsidRPr="00AE0058" w:rsidRDefault="00744EBB" w:rsidP="00FB2F0D">
            <w:pPr>
              <w:jc w:val="right"/>
              <w:rPr>
                <w:color w:val="000000" w:themeColor="text1"/>
                <w:sz w:val="16"/>
                <w:szCs w:val="16"/>
              </w:rPr>
            </w:pPr>
            <w:r>
              <w:rPr>
                <w:color w:val="000000" w:themeColor="text1"/>
                <w:sz w:val="16"/>
                <w:szCs w:val="16"/>
              </w:rPr>
              <w:t>0.5</w:t>
            </w:r>
          </w:p>
        </w:tc>
      </w:tr>
      <w:tr w:rsidR="00744EBB" w:rsidRPr="00AE0058" w:rsidTr="006C07FA">
        <w:tc>
          <w:tcPr>
            <w:tcW w:w="1946" w:type="pct"/>
            <w:gridSpan w:val="3"/>
            <w:shd w:val="clear" w:color="auto" w:fill="D9D9D9" w:themeFill="background1" w:themeFillShade="D9"/>
            <w:vAlign w:val="center"/>
          </w:tcPr>
          <w:p w:rsidR="00744EBB" w:rsidRPr="00AE0058" w:rsidRDefault="00744EBB" w:rsidP="00FB2F0D">
            <w:pPr>
              <w:rPr>
                <w:b/>
                <w:color w:val="000000" w:themeColor="text1"/>
                <w:sz w:val="16"/>
                <w:szCs w:val="16"/>
              </w:rPr>
            </w:pPr>
            <w:r>
              <w:rPr>
                <w:b/>
                <w:color w:val="000000" w:themeColor="text1"/>
                <w:sz w:val="16"/>
                <w:szCs w:val="16"/>
              </w:rPr>
              <w:t>Total</w:t>
            </w:r>
          </w:p>
        </w:tc>
        <w:tc>
          <w:tcPr>
            <w:tcW w:w="474" w:type="pct"/>
            <w:gridSpan w:val="2"/>
            <w:shd w:val="clear" w:color="auto" w:fill="D9D9D9" w:themeFill="background1" w:themeFillShade="D9"/>
            <w:vAlign w:val="center"/>
          </w:tcPr>
          <w:p w:rsidR="00744EBB" w:rsidRPr="00AE0058" w:rsidRDefault="00744EBB" w:rsidP="00FB2F0D">
            <w:pPr>
              <w:jc w:val="right"/>
              <w:rPr>
                <w:b/>
                <w:bCs/>
                <w:color w:val="000000" w:themeColor="text1"/>
                <w:sz w:val="16"/>
                <w:szCs w:val="16"/>
              </w:rPr>
            </w:pPr>
            <w:r>
              <w:rPr>
                <w:b/>
                <w:bCs/>
                <w:color w:val="000000" w:themeColor="text1"/>
                <w:sz w:val="16"/>
                <w:szCs w:val="16"/>
              </w:rPr>
              <w:t>41</w:t>
            </w:r>
          </w:p>
        </w:tc>
        <w:tc>
          <w:tcPr>
            <w:tcW w:w="464" w:type="pct"/>
            <w:shd w:val="clear" w:color="auto" w:fill="D9D9D9" w:themeFill="background1" w:themeFillShade="D9"/>
            <w:vAlign w:val="center"/>
          </w:tcPr>
          <w:p w:rsidR="00744EBB" w:rsidRPr="00AE0058" w:rsidRDefault="00744EBB" w:rsidP="00FB2F0D">
            <w:pPr>
              <w:jc w:val="right"/>
              <w:rPr>
                <w:b/>
                <w:bCs/>
                <w:color w:val="000000" w:themeColor="text1"/>
                <w:sz w:val="16"/>
                <w:szCs w:val="16"/>
              </w:rPr>
            </w:pPr>
            <w:r>
              <w:rPr>
                <w:b/>
                <w:bCs/>
                <w:color w:val="000000" w:themeColor="text1"/>
                <w:sz w:val="16"/>
                <w:szCs w:val="16"/>
              </w:rPr>
              <w:t>-</w:t>
            </w:r>
          </w:p>
        </w:tc>
        <w:tc>
          <w:tcPr>
            <w:tcW w:w="476" w:type="pct"/>
            <w:gridSpan w:val="2"/>
            <w:shd w:val="clear" w:color="auto" w:fill="D9D9D9" w:themeFill="background1" w:themeFillShade="D9"/>
            <w:vAlign w:val="center"/>
          </w:tcPr>
          <w:p w:rsidR="00744EBB" w:rsidRPr="00AE0058" w:rsidRDefault="00744EBB" w:rsidP="00FB2F0D">
            <w:pPr>
              <w:jc w:val="right"/>
              <w:rPr>
                <w:b/>
                <w:bCs/>
                <w:color w:val="000000" w:themeColor="text1"/>
                <w:sz w:val="16"/>
                <w:szCs w:val="16"/>
              </w:rPr>
            </w:pPr>
            <w:r>
              <w:rPr>
                <w:b/>
                <w:bCs/>
                <w:color w:val="000000" w:themeColor="text1"/>
                <w:sz w:val="16"/>
                <w:szCs w:val="16"/>
              </w:rPr>
              <w:t>-</w:t>
            </w:r>
          </w:p>
        </w:tc>
        <w:tc>
          <w:tcPr>
            <w:tcW w:w="536" w:type="pct"/>
            <w:tcBorders>
              <w:right w:val="single" w:sz="12" w:space="0" w:color="auto"/>
            </w:tcBorders>
            <w:shd w:val="clear" w:color="auto" w:fill="D9D9D9" w:themeFill="background1" w:themeFillShade="D9"/>
            <w:vAlign w:val="center"/>
          </w:tcPr>
          <w:p w:rsidR="00744EBB" w:rsidRPr="00AE0058" w:rsidRDefault="00744EBB" w:rsidP="00FB2F0D">
            <w:pPr>
              <w:jc w:val="right"/>
              <w:rPr>
                <w:b/>
                <w:bCs/>
                <w:color w:val="000000" w:themeColor="text1"/>
                <w:sz w:val="16"/>
                <w:szCs w:val="16"/>
              </w:rPr>
            </w:pPr>
            <w:r>
              <w:rPr>
                <w:b/>
                <w:bCs/>
                <w:color w:val="000000" w:themeColor="text1"/>
                <w:sz w:val="16"/>
                <w:szCs w:val="16"/>
              </w:rPr>
              <w:t>-</w:t>
            </w:r>
          </w:p>
        </w:tc>
        <w:tc>
          <w:tcPr>
            <w:tcW w:w="1103" w:type="pct"/>
            <w:tcBorders>
              <w:left w:val="single" w:sz="12" w:space="0" w:color="auto"/>
            </w:tcBorders>
            <w:shd w:val="clear" w:color="auto" w:fill="D9D9D9" w:themeFill="background1" w:themeFillShade="D9"/>
            <w:vAlign w:val="center"/>
          </w:tcPr>
          <w:p w:rsidR="00744EBB" w:rsidRPr="00AE0058" w:rsidRDefault="00744EBB" w:rsidP="00FB2F0D">
            <w:pPr>
              <w:jc w:val="right"/>
              <w:rPr>
                <w:b/>
                <w:bCs/>
                <w:color w:val="000000" w:themeColor="text1"/>
                <w:sz w:val="16"/>
                <w:szCs w:val="16"/>
              </w:rPr>
            </w:pPr>
            <w:r>
              <w:rPr>
                <w:b/>
                <w:bCs/>
                <w:color w:val="000000" w:themeColor="text1"/>
                <w:sz w:val="16"/>
                <w:szCs w:val="16"/>
              </w:rPr>
              <w:t>41</w:t>
            </w:r>
          </w:p>
        </w:tc>
      </w:tr>
    </w:tbl>
    <w:p w:rsidR="008A066F" w:rsidRPr="00AE0058" w:rsidRDefault="008A066F" w:rsidP="00C65795">
      <w:pPr>
        <w:pStyle w:val="Heading2"/>
        <w:keepNext w:val="0"/>
        <w:numPr>
          <w:ilvl w:val="1"/>
          <w:numId w:val="7"/>
        </w:numPr>
        <w:rPr>
          <w:rFonts w:eastAsiaTheme="minorHAnsi"/>
          <w:bCs w:val="0"/>
          <w:i w:val="0"/>
          <w:color w:val="000000" w:themeColor="text1"/>
          <w:szCs w:val="22"/>
        </w:rPr>
      </w:pPr>
    </w:p>
    <w:p w:rsidR="000B2F65" w:rsidRPr="00AE0058" w:rsidRDefault="000B2F65" w:rsidP="00632288">
      <w:pPr>
        <w:pStyle w:val="Heading2"/>
        <w:numPr>
          <w:ilvl w:val="1"/>
          <w:numId w:val="7"/>
        </w:numPr>
        <w:rPr>
          <w:rFonts w:eastAsiaTheme="minorHAnsi"/>
          <w:bCs w:val="0"/>
          <w:i w:val="0"/>
          <w:color w:val="000000" w:themeColor="text1"/>
          <w:szCs w:val="22"/>
        </w:rPr>
      </w:pPr>
      <w:r>
        <w:rPr>
          <w:bCs w:val="0"/>
          <w:i w:val="0"/>
          <w:color w:val="000000" w:themeColor="text1"/>
          <w:szCs w:val="22"/>
        </w:rPr>
        <w:t>E.3 Administration</w:t>
      </w:r>
    </w:p>
    <w:p w:rsidR="00E15DAD" w:rsidRPr="00AE0058" w:rsidRDefault="00E15DAD" w:rsidP="00E15DAD">
      <w:pPr>
        <w:rPr>
          <w:color w:val="000000" w:themeColor="text1"/>
        </w:rPr>
      </w:pPr>
      <w:r>
        <w:rPr>
          <w:color w:val="000000" w:themeColor="text1"/>
        </w:rPr>
        <w:t>In the following, the estimate of the administrative compliance costs is first broken down by the individual administrative agencies (Federal Statistical Office (a), Statistical Offices of the federal states (b), Other Federal Administrations (c), Other Land Administrations (c)) and then presented for each individual requirement.</w:t>
      </w:r>
    </w:p>
    <w:p w:rsidR="00AD27DC" w:rsidRPr="00AE0058" w:rsidRDefault="00AD27DC" w:rsidP="00C65795">
      <w:pPr>
        <w:pStyle w:val="ListParagraph"/>
        <w:keepNext/>
        <w:numPr>
          <w:ilvl w:val="0"/>
          <w:numId w:val="6"/>
        </w:numPr>
        <w:spacing w:before="240" w:after="120" w:line="360" w:lineRule="auto"/>
        <w:ind w:firstLine="0"/>
        <w:jc w:val="both"/>
        <w:rPr>
          <w:rFonts w:ascii="MetaNormalLF-Roman" w:eastAsia="Times New Roman" w:hAnsi="MetaNormalLF-Roman" w:cs="Times New Roman"/>
          <w:b/>
          <w:color w:val="000000" w:themeColor="text1"/>
        </w:rPr>
      </w:pPr>
      <w:r>
        <w:rPr>
          <w:rFonts w:ascii="MetaNormalLF-Roman" w:hAnsi="MetaNormalLF-Roman"/>
          <w:b/>
          <w:color w:val="000000" w:themeColor="text1"/>
        </w:rPr>
        <w:lastRenderedPageBreak/>
        <w:t>Federal Statistical Office</w:t>
      </w:r>
    </w:p>
    <w:p w:rsidR="00AD27DC" w:rsidRPr="00AE0058" w:rsidRDefault="00E15DAD" w:rsidP="008A066F">
      <w:pPr>
        <w:spacing w:after="240"/>
        <w:rPr>
          <w:color w:val="000000" w:themeColor="text1"/>
        </w:rPr>
      </w:pPr>
      <w:r>
        <w:rPr>
          <w:color w:val="000000" w:themeColor="text1"/>
        </w:rPr>
        <w:t xml:space="preserve">For the Federal Statistical Office, the annual compliance costs will change by about EUR 650 000 (see Table 6) and there are one-off compliance costs of about EUR 357 000 (see Table 7). </w:t>
      </w:r>
    </w:p>
    <w:p w:rsidR="00FB2F0D" w:rsidRPr="00AE0058" w:rsidRDefault="00FB2F0D" w:rsidP="00C65795">
      <w:pPr>
        <w:pStyle w:val="Caption"/>
        <w:keepNext/>
        <w:rPr>
          <w:b/>
          <w:color w:val="000000" w:themeColor="text1"/>
        </w:rPr>
      </w:pPr>
      <w:r>
        <w:rPr>
          <w:b/>
          <w:color w:val="000000" w:themeColor="text1"/>
        </w:rPr>
        <w:t xml:space="preserve">Table 4 – Administrative compliance costs – </w:t>
      </w:r>
      <w:r>
        <w:rPr>
          <w:b/>
          <w:color w:val="000000" w:themeColor="text1"/>
          <w:u w:val="single"/>
        </w:rPr>
        <w:t>annual</w:t>
      </w:r>
      <w:r>
        <w:rPr>
          <w:b/>
          <w:color w:val="000000" w:themeColor="text1"/>
        </w:rPr>
        <w:t xml:space="preserve"> compliance costs, Federal Statistical Office</w:t>
      </w:r>
    </w:p>
    <w:tbl>
      <w:tblPr>
        <w:tblStyle w:val="TableGrid"/>
        <w:tblW w:w="4938" w:type="pct"/>
        <w:tblInd w:w="57" w:type="dxa"/>
        <w:tblLayout w:type="fixed"/>
        <w:tblCellMar>
          <w:left w:w="57" w:type="dxa"/>
          <w:right w:w="57" w:type="dxa"/>
        </w:tblCellMar>
        <w:tblLook w:val="04A0" w:firstRow="1" w:lastRow="0" w:firstColumn="1" w:lastColumn="0" w:noHBand="0" w:noVBand="1"/>
      </w:tblPr>
      <w:tblGrid>
        <w:gridCol w:w="507"/>
        <w:gridCol w:w="832"/>
        <w:gridCol w:w="2037"/>
        <w:gridCol w:w="822"/>
        <w:gridCol w:w="817"/>
        <w:gridCol w:w="825"/>
        <w:gridCol w:w="945"/>
        <w:gridCol w:w="1885"/>
      </w:tblGrid>
      <w:tr w:rsidR="009B48F6" w:rsidRPr="00AE0058" w:rsidTr="006C07FA">
        <w:tc>
          <w:tcPr>
            <w:tcW w:w="292" w:type="pct"/>
            <w:shd w:val="clear" w:color="auto" w:fill="D9D9D9" w:themeFill="background1" w:themeFillShade="D9"/>
            <w:vAlign w:val="center"/>
          </w:tcPr>
          <w:p w:rsidR="009B48F6" w:rsidRPr="00AE0058" w:rsidRDefault="009B48F6" w:rsidP="00C65795">
            <w:pPr>
              <w:keepNext/>
              <w:rPr>
                <w:rFonts w:eastAsia="Times New Roman" w:cs="Times New Roman"/>
                <w:b/>
                <w:color w:val="000000" w:themeColor="text1"/>
                <w:sz w:val="16"/>
                <w:szCs w:val="16"/>
              </w:rPr>
            </w:pPr>
          </w:p>
        </w:tc>
        <w:tc>
          <w:tcPr>
            <w:tcW w:w="480" w:type="pct"/>
            <w:shd w:val="clear" w:color="auto" w:fill="D9D9D9" w:themeFill="background1" w:themeFillShade="D9"/>
            <w:vAlign w:val="center"/>
          </w:tcPr>
          <w:p w:rsidR="009B48F6" w:rsidRPr="00AE0058" w:rsidRDefault="009B48F6" w:rsidP="00C65795">
            <w:pPr>
              <w:keepNext/>
              <w:rPr>
                <w:rFonts w:eastAsia="Times New Roman" w:cs="Times New Roman"/>
                <w:b/>
                <w:color w:val="000000" w:themeColor="text1"/>
                <w:sz w:val="16"/>
                <w:szCs w:val="16"/>
              </w:rPr>
            </w:pPr>
          </w:p>
        </w:tc>
        <w:tc>
          <w:tcPr>
            <w:tcW w:w="1175" w:type="pct"/>
            <w:shd w:val="clear" w:color="auto" w:fill="D9D9D9" w:themeFill="background1" w:themeFillShade="D9"/>
            <w:vAlign w:val="center"/>
          </w:tcPr>
          <w:p w:rsidR="009B48F6" w:rsidRPr="00AE0058" w:rsidRDefault="009B48F6" w:rsidP="00C65795">
            <w:pPr>
              <w:keepNext/>
              <w:rPr>
                <w:rFonts w:eastAsia="Times New Roman" w:cs="Times New Roman"/>
                <w:b/>
                <w:color w:val="000000" w:themeColor="text1"/>
                <w:sz w:val="16"/>
                <w:szCs w:val="16"/>
              </w:rPr>
            </w:pPr>
          </w:p>
        </w:tc>
        <w:tc>
          <w:tcPr>
            <w:tcW w:w="945" w:type="pct"/>
            <w:gridSpan w:val="2"/>
            <w:shd w:val="clear" w:color="auto" w:fill="D9D9D9" w:themeFill="background1" w:themeFillShade="D9"/>
            <w:vAlign w:val="center"/>
          </w:tcPr>
          <w:p w:rsidR="009B48F6" w:rsidRPr="00AE0058" w:rsidRDefault="009B48F6" w:rsidP="00C65795">
            <w:pPr>
              <w:keepNext/>
              <w:rPr>
                <w:rFonts w:eastAsia="Times New Roman" w:cs="Times New Roman"/>
                <w:b/>
                <w:color w:val="000000" w:themeColor="text1"/>
                <w:sz w:val="16"/>
                <w:szCs w:val="16"/>
              </w:rPr>
            </w:pPr>
            <w:r>
              <w:rPr>
                <w:b/>
                <w:color w:val="000000" w:themeColor="text1"/>
                <w:sz w:val="16"/>
                <w:szCs w:val="16"/>
              </w:rPr>
              <w:t>Annual additional costs</w:t>
            </w:r>
          </w:p>
        </w:tc>
        <w:tc>
          <w:tcPr>
            <w:tcW w:w="1021" w:type="pct"/>
            <w:gridSpan w:val="2"/>
            <w:tcBorders>
              <w:right w:val="single" w:sz="12" w:space="0" w:color="auto"/>
            </w:tcBorders>
            <w:shd w:val="clear" w:color="auto" w:fill="D9D9D9" w:themeFill="background1" w:themeFillShade="D9"/>
            <w:vAlign w:val="center"/>
          </w:tcPr>
          <w:p w:rsidR="009B48F6" w:rsidRPr="00AE0058" w:rsidRDefault="009B48F6" w:rsidP="00C65795">
            <w:pPr>
              <w:keepNext/>
              <w:rPr>
                <w:rFonts w:eastAsia="Times New Roman" w:cs="Times New Roman"/>
                <w:b/>
                <w:color w:val="000000" w:themeColor="text1"/>
                <w:sz w:val="16"/>
                <w:szCs w:val="16"/>
              </w:rPr>
            </w:pPr>
            <w:r>
              <w:rPr>
                <w:b/>
                <w:color w:val="000000" w:themeColor="text1"/>
                <w:sz w:val="16"/>
                <w:szCs w:val="16"/>
              </w:rPr>
              <w:t>Annual reduction in costs</w:t>
            </w:r>
          </w:p>
        </w:tc>
        <w:tc>
          <w:tcPr>
            <w:tcW w:w="1087" w:type="pct"/>
            <w:tcBorders>
              <w:left w:val="single" w:sz="12" w:space="0" w:color="auto"/>
            </w:tcBorders>
            <w:shd w:val="clear" w:color="auto" w:fill="D9D9D9" w:themeFill="background1" w:themeFillShade="D9"/>
            <w:vAlign w:val="center"/>
          </w:tcPr>
          <w:p w:rsidR="009B48F6" w:rsidRPr="00AE0058" w:rsidRDefault="009B48F6" w:rsidP="00C65795">
            <w:pPr>
              <w:keepNext/>
              <w:rPr>
                <w:b/>
                <w:color w:val="000000" w:themeColor="text1"/>
                <w:sz w:val="16"/>
              </w:rPr>
            </w:pPr>
            <w:r>
              <w:rPr>
                <w:b/>
                <w:color w:val="000000" w:themeColor="text1"/>
                <w:sz w:val="16"/>
              </w:rPr>
              <w:t>Annual compliance costs</w:t>
            </w:r>
          </w:p>
        </w:tc>
      </w:tr>
      <w:tr w:rsidR="009B48F6" w:rsidRPr="00AE0058" w:rsidTr="006C07FA">
        <w:tc>
          <w:tcPr>
            <w:tcW w:w="292" w:type="pct"/>
            <w:shd w:val="clear" w:color="auto" w:fill="D9D9D9" w:themeFill="background1" w:themeFillShade="D9"/>
            <w:vAlign w:val="center"/>
          </w:tcPr>
          <w:p w:rsidR="009B48F6" w:rsidRPr="00AE0058" w:rsidRDefault="009B48F6" w:rsidP="00C65795">
            <w:pPr>
              <w:keepNext/>
              <w:rPr>
                <w:b/>
                <w:color w:val="000000" w:themeColor="text1"/>
                <w:sz w:val="16"/>
              </w:rPr>
            </w:pPr>
            <w:r>
              <w:rPr>
                <w:b/>
                <w:color w:val="000000" w:themeColor="text1"/>
                <w:sz w:val="16"/>
                <w:szCs w:val="16"/>
              </w:rPr>
              <w:t>Target</w:t>
            </w:r>
          </w:p>
        </w:tc>
        <w:tc>
          <w:tcPr>
            <w:tcW w:w="480" w:type="pct"/>
            <w:shd w:val="clear" w:color="auto" w:fill="D9D9D9" w:themeFill="background1" w:themeFillShade="D9"/>
            <w:vAlign w:val="center"/>
          </w:tcPr>
          <w:p w:rsidR="009B48F6" w:rsidRPr="00AE0058" w:rsidRDefault="009B48F6" w:rsidP="00C65795">
            <w:pPr>
              <w:keepNext/>
              <w:rPr>
                <w:b/>
                <w:color w:val="000000" w:themeColor="text1"/>
                <w:sz w:val="16"/>
              </w:rPr>
            </w:pPr>
            <w:r>
              <w:rPr>
                <w:b/>
                <w:color w:val="000000" w:themeColor="text1"/>
                <w:sz w:val="16"/>
                <w:szCs w:val="16"/>
              </w:rPr>
              <w:t xml:space="preserve">Paragraph </w:t>
            </w:r>
          </w:p>
        </w:tc>
        <w:tc>
          <w:tcPr>
            <w:tcW w:w="1175" w:type="pct"/>
            <w:shd w:val="clear" w:color="auto" w:fill="D9D9D9" w:themeFill="background1" w:themeFillShade="D9"/>
            <w:vAlign w:val="center"/>
          </w:tcPr>
          <w:p w:rsidR="009B48F6" w:rsidRPr="00AE0058" w:rsidRDefault="009B48F6" w:rsidP="00C65795">
            <w:pPr>
              <w:keepNext/>
              <w:rPr>
                <w:rFonts w:eastAsia="Times New Roman" w:cs="Times New Roman"/>
                <w:b/>
                <w:color w:val="000000" w:themeColor="text1"/>
                <w:sz w:val="16"/>
                <w:szCs w:val="16"/>
              </w:rPr>
            </w:pPr>
            <w:r>
              <w:rPr>
                <w:b/>
                <w:color w:val="000000" w:themeColor="text1"/>
                <w:sz w:val="16"/>
                <w:szCs w:val="16"/>
              </w:rPr>
              <w:t>Target description</w:t>
            </w:r>
          </w:p>
        </w:tc>
        <w:tc>
          <w:tcPr>
            <w:tcW w:w="474" w:type="pct"/>
            <w:shd w:val="clear" w:color="auto" w:fill="D9D9D9" w:themeFill="background1" w:themeFillShade="D9"/>
            <w:vAlign w:val="center"/>
          </w:tcPr>
          <w:p w:rsidR="009B48F6" w:rsidRPr="00AE0058" w:rsidRDefault="009B48F6" w:rsidP="00C65795">
            <w:pPr>
              <w:keepNext/>
              <w:rPr>
                <w:rFonts w:eastAsia="Times New Roman" w:cs="Times New Roman"/>
                <w:b/>
                <w:color w:val="000000" w:themeColor="text1"/>
                <w:sz w:val="16"/>
                <w:szCs w:val="16"/>
              </w:rPr>
            </w:pPr>
            <w:r>
              <w:rPr>
                <w:b/>
                <w:color w:val="000000" w:themeColor="text1"/>
                <w:sz w:val="16"/>
                <w:szCs w:val="16"/>
              </w:rPr>
              <w:t>Personnel costs</w:t>
            </w:r>
          </w:p>
        </w:tc>
        <w:tc>
          <w:tcPr>
            <w:tcW w:w="471" w:type="pct"/>
            <w:shd w:val="clear" w:color="auto" w:fill="D9D9D9" w:themeFill="background1" w:themeFillShade="D9"/>
            <w:vAlign w:val="center"/>
          </w:tcPr>
          <w:p w:rsidR="009B48F6" w:rsidRPr="00AE0058" w:rsidRDefault="009B48F6" w:rsidP="00C65795">
            <w:pPr>
              <w:keepNext/>
              <w:rPr>
                <w:rFonts w:eastAsia="Times New Roman" w:cs="Times New Roman"/>
                <w:b/>
                <w:color w:val="000000" w:themeColor="text1"/>
                <w:sz w:val="16"/>
                <w:szCs w:val="16"/>
              </w:rPr>
            </w:pPr>
            <w:r>
              <w:rPr>
                <w:b/>
                <w:color w:val="000000" w:themeColor="text1"/>
                <w:sz w:val="16"/>
                <w:szCs w:val="16"/>
              </w:rPr>
              <w:t>Material costs</w:t>
            </w:r>
          </w:p>
        </w:tc>
        <w:tc>
          <w:tcPr>
            <w:tcW w:w="476" w:type="pct"/>
            <w:shd w:val="clear" w:color="auto" w:fill="D9D9D9" w:themeFill="background1" w:themeFillShade="D9"/>
            <w:vAlign w:val="center"/>
          </w:tcPr>
          <w:p w:rsidR="009B48F6" w:rsidRPr="00AE0058" w:rsidRDefault="009B48F6" w:rsidP="00C65795">
            <w:pPr>
              <w:keepNext/>
              <w:rPr>
                <w:rFonts w:eastAsia="Times New Roman" w:cs="Times New Roman"/>
                <w:b/>
                <w:color w:val="000000" w:themeColor="text1"/>
                <w:sz w:val="16"/>
                <w:szCs w:val="16"/>
              </w:rPr>
            </w:pPr>
            <w:r>
              <w:rPr>
                <w:b/>
                <w:color w:val="000000" w:themeColor="text1"/>
                <w:sz w:val="16"/>
                <w:szCs w:val="16"/>
              </w:rPr>
              <w:t>Personnel costs</w:t>
            </w:r>
          </w:p>
        </w:tc>
        <w:tc>
          <w:tcPr>
            <w:tcW w:w="545" w:type="pct"/>
            <w:tcBorders>
              <w:right w:val="single" w:sz="12" w:space="0" w:color="auto"/>
            </w:tcBorders>
            <w:shd w:val="clear" w:color="auto" w:fill="D9D9D9" w:themeFill="background1" w:themeFillShade="D9"/>
            <w:vAlign w:val="center"/>
          </w:tcPr>
          <w:p w:rsidR="009B48F6" w:rsidRPr="00AE0058" w:rsidRDefault="009B48F6" w:rsidP="00C65795">
            <w:pPr>
              <w:keepNext/>
              <w:rPr>
                <w:rFonts w:eastAsia="Times New Roman" w:cs="Times New Roman"/>
                <w:b/>
                <w:color w:val="000000" w:themeColor="text1"/>
                <w:sz w:val="16"/>
                <w:szCs w:val="16"/>
              </w:rPr>
            </w:pPr>
            <w:r>
              <w:rPr>
                <w:b/>
                <w:color w:val="000000" w:themeColor="text1"/>
                <w:sz w:val="16"/>
                <w:szCs w:val="16"/>
              </w:rPr>
              <w:t>Material costs</w:t>
            </w:r>
          </w:p>
        </w:tc>
        <w:tc>
          <w:tcPr>
            <w:tcW w:w="1087" w:type="pct"/>
            <w:tcBorders>
              <w:left w:val="single" w:sz="12" w:space="0" w:color="auto"/>
            </w:tcBorders>
            <w:shd w:val="clear" w:color="auto" w:fill="D9D9D9" w:themeFill="background1" w:themeFillShade="D9"/>
            <w:vAlign w:val="center"/>
          </w:tcPr>
          <w:p w:rsidR="009B48F6" w:rsidRPr="00AE0058" w:rsidRDefault="009B48F6" w:rsidP="00C65795">
            <w:pPr>
              <w:keepNext/>
              <w:rPr>
                <w:rFonts w:eastAsia="Times New Roman" w:cs="Times New Roman"/>
                <w:b/>
                <w:color w:val="000000" w:themeColor="text1"/>
                <w:sz w:val="16"/>
                <w:szCs w:val="16"/>
              </w:rPr>
            </w:pPr>
            <w:r>
              <w:rPr>
                <w:b/>
                <w:color w:val="000000" w:themeColor="text1"/>
                <w:sz w:val="16"/>
                <w:szCs w:val="16"/>
              </w:rPr>
              <w:t>Total costs</w:t>
            </w:r>
          </w:p>
        </w:tc>
      </w:tr>
      <w:tr w:rsidR="009B48F6" w:rsidRPr="00AE0058" w:rsidTr="006C07FA">
        <w:tc>
          <w:tcPr>
            <w:tcW w:w="292" w:type="pct"/>
            <w:shd w:val="clear" w:color="auto" w:fill="D9D9D9" w:themeFill="background1" w:themeFillShade="D9"/>
            <w:vAlign w:val="center"/>
          </w:tcPr>
          <w:p w:rsidR="009B48F6" w:rsidRPr="00AE0058" w:rsidRDefault="009B48F6" w:rsidP="00C65795">
            <w:pPr>
              <w:keepNext/>
              <w:rPr>
                <w:rFonts w:eastAsia="Times New Roman" w:cs="Times New Roman"/>
                <w:b/>
                <w:color w:val="000000" w:themeColor="text1"/>
                <w:sz w:val="16"/>
                <w:szCs w:val="16"/>
              </w:rPr>
            </w:pPr>
          </w:p>
        </w:tc>
        <w:tc>
          <w:tcPr>
            <w:tcW w:w="480" w:type="pct"/>
            <w:shd w:val="clear" w:color="auto" w:fill="D9D9D9" w:themeFill="background1" w:themeFillShade="D9"/>
            <w:vAlign w:val="center"/>
          </w:tcPr>
          <w:p w:rsidR="009B48F6" w:rsidRPr="00AE0058" w:rsidRDefault="009B48F6" w:rsidP="00C65795">
            <w:pPr>
              <w:keepNext/>
              <w:rPr>
                <w:rFonts w:eastAsia="Times New Roman" w:cs="Times New Roman"/>
                <w:b/>
                <w:color w:val="000000" w:themeColor="text1"/>
                <w:sz w:val="16"/>
                <w:szCs w:val="16"/>
              </w:rPr>
            </w:pPr>
          </w:p>
        </w:tc>
        <w:tc>
          <w:tcPr>
            <w:tcW w:w="1175" w:type="pct"/>
            <w:shd w:val="clear" w:color="auto" w:fill="D9D9D9" w:themeFill="background1" w:themeFillShade="D9"/>
            <w:vAlign w:val="center"/>
          </w:tcPr>
          <w:p w:rsidR="009B48F6" w:rsidRPr="00AE0058" w:rsidRDefault="009B48F6" w:rsidP="00C65795">
            <w:pPr>
              <w:keepNext/>
              <w:rPr>
                <w:rFonts w:eastAsia="Times New Roman" w:cs="Times New Roman"/>
                <w:b/>
                <w:color w:val="000000" w:themeColor="text1"/>
                <w:sz w:val="16"/>
                <w:szCs w:val="16"/>
              </w:rPr>
            </w:pPr>
          </w:p>
        </w:tc>
        <w:tc>
          <w:tcPr>
            <w:tcW w:w="3053" w:type="pct"/>
            <w:gridSpan w:val="5"/>
            <w:shd w:val="clear" w:color="auto" w:fill="D9D9D9" w:themeFill="background1" w:themeFillShade="D9"/>
            <w:vAlign w:val="center"/>
          </w:tcPr>
          <w:p w:rsidR="009B48F6" w:rsidRPr="00AE0058" w:rsidRDefault="009B48F6" w:rsidP="00C65795">
            <w:pPr>
              <w:keepNext/>
              <w:jc w:val="center"/>
              <w:rPr>
                <w:b/>
                <w:color w:val="000000" w:themeColor="text1"/>
                <w:sz w:val="16"/>
              </w:rPr>
            </w:pPr>
            <w:r>
              <w:rPr>
                <w:b/>
                <w:color w:val="000000" w:themeColor="text1"/>
                <w:sz w:val="16"/>
              </w:rPr>
              <w:t xml:space="preserve">In thousands of </w:t>
            </w:r>
            <w:r>
              <w:rPr>
                <w:b/>
                <w:color w:val="000000" w:themeColor="text1"/>
                <w:sz w:val="16"/>
                <w:szCs w:val="16"/>
              </w:rPr>
              <w:t>EUR</w:t>
            </w:r>
          </w:p>
        </w:tc>
      </w:tr>
      <w:tr w:rsidR="00D241FE" w:rsidRPr="00AE0058" w:rsidTr="006C07FA">
        <w:tc>
          <w:tcPr>
            <w:tcW w:w="292" w:type="pct"/>
            <w:shd w:val="clear" w:color="auto" w:fill="auto"/>
            <w:vAlign w:val="center"/>
          </w:tcPr>
          <w:p w:rsidR="00D241FE" w:rsidRPr="00AE0058" w:rsidRDefault="00D241FE" w:rsidP="00D241FE">
            <w:pPr>
              <w:rPr>
                <w:rFonts w:eastAsia="Times New Roman" w:cs="Times New Roman"/>
                <w:color w:val="000000" w:themeColor="text1"/>
                <w:sz w:val="16"/>
                <w:szCs w:val="16"/>
              </w:rPr>
            </w:pPr>
            <w:r>
              <w:rPr>
                <w:color w:val="000000" w:themeColor="text1"/>
                <w:sz w:val="16"/>
                <w:szCs w:val="16"/>
              </w:rPr>
              <w:t>1</w:t>
            </w:r>
          </w:p>
        </w:tc>
        <w:tc>
          <w:tcPr>
            <w:tcW w:w="480" w:type="pct"/>
            <w:shd w:val="clear" w:color="auto" w:fill="auto"/>
            <w:vAlign w:val="center"/>
          </w:tcPr>
          <w:p w:rsidR="00D241FE" w:rsidRPr="00AE0058" w:rsidRDefault="00D241FE" w:rsidP="00D241FE">
            <w:pPr>
              <w:rPr>
                <w:rFonts w:eastAsia="Times New Roman" w:cs="Times New Roman"/>
                <w:color w:val="000000" w:themeColor="text1"/>
                <w:sz w:val="16"/>
                <w:szCs w:val="16"/>
              </w:rPr>
            </w:pPr>
            <w:r>
              <w:rPr>
                <w:rFonts w:ascii="MetaNormalLF-Roman" w:hAnsi="MetaNormalLF-Roman"/>
                <w:color w:val="000000" w:themeColor="text1"/>
                <w:sz w:val="16"/>
                <w:szCs w:val="16"/>
              </w:rPr>
              <w:t>§ 3(2)(2) UStatG</w:t>
            </w:r>
          </w:p>
        </w:tc>
        <w:tc>
          <w:tcPr>
            <w:tcW w:w="1175" w:type="pct"/>
            <w:tcBorders>
              <w:top w:val="single" w:sz="4" w:space="0" w:color="auto"/>
              <w:left w:val="single" w:sz="4" w:space="0" w:color="auto"/>
              <w:bottom w:val="single" w:sz="4" w:space="0" w:color="auto"/>
              <w:right w:val="single" w:sz="8" w:space="0" w:color="auto"/>
            </w:tcBorders>
            <w:shd w:val="clear" w:color="auto" w:fill="auto"/>
            <w:vAlign w:val="center"/>
          </w:tcPr>
          <w:p w:rsidR="00D241FE" w:rsidRPr="00AE0058" w:rsidRDefault="00D241FE" w:rsidP="00D241FE">
            <w:pPr>
              <w:rPr>
                <w:rFonts w:ascii="MetaNormalLF-Roman" w:hAnsi="MetaNormalLF-Roman" w:cs="Calibri"/>
                <w:color w:val="000000" w:themeColor="text1"/>
                <w:sz w:val="16"/>
                <w:szCs w:val="18"/>
              </w:rPr>
            </w:pPr>
            <w:r>
              <w:rPr>
                <w:rFonts w:ascii="MetaNormalLF-Roman" w:hAnsi="MetaNormalLF-Roman"/>
                <w:color w:val="000000" w:themeColor="text1"/>
                <w:sz w:val="16"/>
                <w:szCs w:val="18"/>
              </w:rPr>
              <w:t>Collection of additional characteristics – Waste statistics – Federal Statistical Office</w:t>
            </w:r>
          </w:p>
        </w:tc>
        <w:tc>
          <w:tcPr>
            <w:tcW w:w="474"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58</w:t>
            </w:r>
          </w:p>
        </w:tc>
        <w:tc>
          <w:tcPr>
            <w:tcW w:w="471"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w:t>
            </w:r>
          </w:p>
        </w:tc>
        <w:tc>
          <w:tcPr>
            <w:tcW w:w="476"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w:t>
            </w:r>
          </w:p>
        </w:tc>
        <w:tc>
          <w:tcPr>
            <w:tcW w:w="545" w:type="pct"/>
            <w:tcBorders>
              <w:right w:val="single" w:sz="12" w:space="0" w:color="auto"/>
            </w:tcBorders>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w:t>
            </w:r>
          </w:p>
        </w:tc>
        <w:tc>
          <w:tcPr>
            <w:tcW w:w="1087" w:type="pct"/>
            <w:tcBorders>
              <w:left w:val="single" w:sz="12" w:space="0" w:color="auto"/>
            </w:tcBorders>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58</w:t>
            </w:r>
          </w:p>
        </w:tc>
      </w:tr>
      <w:tr w:rsidR="00D241FE" w:rsidRPr="00AE0058" w:rsidTr="006C07FA">
        <w:tc>
          <w:tcPr>
            <w:tcW w:w="292" w:type="pct"/>
            <w:shd w:val="clear" w:color="auto" w:fill="auto"/>
            <w:vAlign w:val="center"/>
          </w:tcPr>
          <w:p w:rsidR="00D241FE" w:rsidRPr="00AE0058" w:rsidRDefault="00D241FE" w:rsidP="00D241FE">
            <w:pPr>
              <w:rPr>
                <w:rFonts w:eastAsia="Times New Roman" w:cs="Times New Roman"/>
                <w:color w:val="000000" w:themeColor="text1"/>
                <w:sz w:val="16"/>
                <w:szCs w:val="16"/>
              </w:rPr>
            </w:pPr>
            <w:r>
              <w:rPr>
                <w:color w:val="000000" w:themeColor="text1"/>
                <w:sz w:val="16"/>
                <w:szCs w:val="16"/>
              </w:rPr>
              <w:t>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241FE" w:rsidRPr="00AE0058" w:rsidRDefault="00D241FE" w:rsidP="00D241FE">
            <w:pPr>
              <w:rPr>
                <w:rFonts w:ascii="MetaNormalLF-Roman" w:hAnsi="MetaNormalLF-Roman" w:cs="Calibri"/>
                <w:color w:val="000000" w:themeColor="text1"/>
                <w:sz w:val="16"/>
                <w:szCs w:val="16"/>
              </w:rPr>
            </w:pPr>
            <w:r>
              <w:rPr>
                <w:color w:val="000000" w:themeColor="text1"/>
                <w:sz w:val="16"/>
                <w:szCs w:val="16"/>
              </w:rPr>
              <w:t>§ 5a UStatG in conjunction with § 2(1)(4) UStatG</w:t>
            </w:r>
          </w:p>
        </w:tc>
        <w:tc>
          <w:tcPr>
            <w:tcW w:w="1175" w:type="pct"/>
            <w:tcBorders>
              <w:top w:val="nil"/>
              <w:left w:val="single" w:sz="4" w:space="0" w:color="auto"/>
              <w:bottom w:val="single" w:sz="4" w:space="0" w:color="auto"/>
              <w:right w:val="single" w:sz="8" w:space="0" w:color="auto"/>
            </w:tcBorders>
            <w:shd w:val="clear" w:color="auto" w:fill="auto"/>
            <w:vAlign w:val="center"/>
          </w:tcPr>
          <w:p w:rsidR="00D241FE" w:rsidRPr="00AE0058" w:rsidRDefault="00D241FE" w:rsidP="00D241FE">
            <w:pPr>
              <w:rPr>
                <w:rFonts w:ascii="MetaNormalLF-Roman" w:hAnsi="MetaNormalLF-Roman" w:cs="Calibri"/>
                <w:color w:val="000000" w:themeColor="text1"/>
                <w:sz w:val="16"/>
                <w:szCs w:val="18"/>
              </w:rPr>
            </w:pPr>
            <w:r>
              <w:rPr>
                <w:rFonts w:ascii="MetaNormalLF-Roman" w:hAnsi="MetaNormalLF-Roman"/>
                <w:color w:val="000000" w:themeColor="text1"/>
                <w:sz w:val="16"/>
                <w:szCs w:val="18"/>
              </w:rPr>
              <w:t>Survey on the placing on the market and disposal of certain products – Federal Statistical Office</w:t>
            </w:r>
          </w:p>
        </w:tc>
        <w:tc>
          <w:tcPr>
            <w:tcW w:w="474"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356</w:t>
            </w:r>
          </w:p>
        </w:tc>
        <w:tc>
          <w:tcPr>
            <w:tcW w:w="471"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w:t>
            </w:r>
          </w:p>
        </w:tc>
        <w:tc>
          <w:tcPr>
            <w:tcW w:w="476"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w:t>
            </w:r>
          </w:p>
        </w:tc>
        <w:tc>
          <w:tcPr>
            <w:tcW w:w="545" w:type="pct"/>
            <w:tcBorders>
              <w:right w:val="single" w:sz="12" w:space="0" w:color="auto"/>
            </w:tcBorders>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w:t>
            </w:r>
          </w:p>
        </w:tc>
        <w:tc>
          <w:tcPr>
            <w:tcW w:w="1087" w:type="pct"/>
            <w:tcBorders>
              <w:left w:val="single" w:sz="12" w:space="0" w:color="auto"/>
            </w:tcBorders>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356</w:t>
            </w:r>
          </w:p>
        </w:tc>
      </w:tr>
      <w:tr w:rsidR="00D241FE" w:rsidRPr="00AE0058" w:rsidTr="006C07FA">
        <w:tc>
          <w:tcPr>
            <w:tcW w:w="292" w:type="pct"/>
            <w:shd w:val="clear" w:color="auto" w:fill="auto"/>
            <w:vAlign w:val="center"/>
          </w:tcPr>
          <w:p w:rsidR="00D241FE" w:rsidRPr="00AE0058" w:rsidRDefault="00D241FE" w:rsidP="00D241FE">
            <w:pPr>
              <w:rPr>
                <w:rFonts w:eastAsia="Times New Roman" w:cs="Times New Roman"/>
                <w:color w:val="000000" w:themeColor="text1"/>
                <w:sz w:val="16"/>
                <w:szCs w:val="16"/>
              </w:rPr>
            </w:pPr>
            <w:r>
              <w:rPr>
                <w:color w:val="000000" w:themeColor="text1"/>
                <w:sz w:val="16"/>
                <w:szCs w:val="16"/>
              </w:rPr>
              <w:t>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241FE" w:rsidRPr="00AE0058" w:rsidRDefault="00D241FE" w:rsidP="00D241FE">
            <w:pPr>
              <w:rPr>
                <w:rFonts w:ascii="MetaNormalLF-Roman" w:hAnsi="MetaNormalLF-Roman" w:cs="Calibri"/>
                <w:color w:val="000000" w:themeColor="text1"/>
                <w:sz w:val="16"/>
                <w:szCs w:val="16"/>
              </w:rPr>
            </w:pPr>
            <w:r>
              <w:rPr>
                <w:rFonts w:ascii="MetaNormalLF-Roman" w:hAnsi="MetaNormalLF-Roman"/>
                <w:color w:val="000000" w:themeColor="text1"/>
                <w:sz w:val="16"/>
                <w:szCs w:val="16"/>
              </w:rPr>
              <w:t>§ 5(2) UStatG</w:t>
            </w:r>
          </w:p>
        </w:tc>
        <w:tc>
          <w:tcPr>
            <w:tcW w:w="1175" w:type="pct"/>
            <w:tcBorders>
              <w:top w:val="nil"/>
              <w:left w:val="single" w:sz="4" w:space="0" w:color="auto"/>
              <w:bottom w:val="single" w:sz="4" w:space="0" w:color="auto"/>
              <w:right w:val="single" w:sz="8" w:space="0" w:color="auto"/>
            </w:tcBorders>
            <w:shd w:val="clear" w:color="auto" w:fill="auto"/>
            <w:vAlign w:val="center"/>
          </w:tcPr>
          <w:p w:rsidR="00D241FE" w:rsidRPr="00AE0058" w:rsidRDefault="00D241FE" w:rsidP="00D241FE">
            <w:pPr>
              <w:rPr>
                <w:rFonts w:ascii="MetaNormalLF-Roman" w:hAnsi="MetaNormalLF-Roman" w:cs="Calibri"/>
                <w:color w:val="000000" w:themeColor="text1"/>
                <w:sz w:val="16"/>
                <w:szCs w:val="18"/>
              </w:rPr>
            </w:pPr>
            <w:r>
              <w:rPr>
                <w:rFonts w:ascii="MetaNormalLF-Roman" w:hAnsi="MetaNormalLF-Roman"/>
                <w:color w:val="000000" w:themeColor="text1"/>
                <w:sz w:val="16"/>
                <w:szCs w:val="18"/>
              </w:rPr>
              <w:t>Survey of the collection of transport packaging and secondary packaging – Federal Statistical Office</w:t>
            </w:r>
          </w:p>
        </w:tc>
        <w:tc>
          <w:tcPr>
            <w:tcW w:w="474"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w:t>
            </w:r>
          </w:p>
        </w:tc>
        <w:tc>
          <w:tcPr>
            <w:tcW w:w="471"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w:t>
            </w:r>
          </w:p>
        </w:tc>
        <w:tc>
          <w:tcPr>
            <w:tcW w:w="476"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89</w:t>
            </w:r>
          </w:p>
        </w:tc>
        <w:tc>
          <w:tcPr>
            <w:tcW w:w="545" w:type="pct"/>
            <w:tcBorders>
              <w:right w:val="single" w:sz="12" w:space="0" w:color="auto"/>
            </w:tcBorders>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w:t>
            </w:r>
          </w:p>
        </w:tc>
        <w:tc>
          <w:tcPr>
            <w:tcW w:w="1087" w:type="pct"/>
            <w:tcBorders>
              <w:left w:val="single" w:sz="12" w:space="0" w:color="auto"/>
            </w:tcBorders>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-89</w:t>
            </w:r>
          </w:p>
        </w:tc>
      </w:tr>
      <w:tr w:rsidR="00D241FE" w:rsidRPr="00AE0058" w:rsidTr="006C07FA">
        <w:tc>
          <w:tcPr>
            <w:tcW w:w="292" w:type="pct"/>
            <w:shd w:val="clear" w:color="auto" w:fill="auto"/>
            <w:vAlign w:val="center"/>
          </w:tcPr>
          <w:p w:rsidR="00D241FE" w:rsidRPr="00AE0058" w:rsidRDefault="00D241FE" w:rsidP="00D241FE">
            <w:pPr>
              <w:rPr>
                <w:rFonts w:eastAsia="Times New Roman" w:cs="Times New Roman"/>
                <w:color w:val="000000" w:themeColor="text1"/>
                <w:sz w:val="16"/>
                <w:szCs w:val="16"/>
              </w:rPr>
            </w:pPr>
            <w:r>
              <w:rPr>
                <w:color w:val="000000" w:themeColor="text1"/>
                <w:sz w:val="16"/>
                <w:szCs w:val="16"/>
              </w:rPr>
              <w:t>7</w:t>
            </w:r>
          </w:p>
        </w:tc>
        <w:tc>
          <w:tcPr>
            <w:tcW w:w="480" w:type="pct"/>
            <w:tcBorders>
              <w:top w:val="nil"/>
              <w:left w:val="single" w:sz="4" w:space="0" w:color="auto"/>
              <w:bottom w:val="single" w:sz="4" w:space="0" w:color="auto"/>
              <w:right w:val="single" w:sz="4" w:space="0" w:color="auto"/>
            </w:tcBorders>
            <w:shd w:val="clear" w:color="auto" w:fill="auto"/>
            <w:vAlign w:val="center"/>
          </w:tcPr>
          <w:p w:rsidR="00D241FE" w:rsidRPr="00AE0058" w:rsidRDefault="00D241FE" w:rsidP="00D241FE">
            <w:pPr>
              <w:rPr>
                <w:rFonts w:ascii="MetaNormalLF-Roman" w:hAnsi="MetaNormalLF-Roman" w:cs="Calibri"/>
                <w:color w:val="000000" w:themeColor="text1"/>
                <w:sz w:val="16"/>
                <w:szCs w:val="16"/>
              </w:rPr>
            </w:pPr>
            <w:r>
              <w:rPr>
                <w:rFonts w:ascii="MetaNormalLF-Roman" w:hAnsi="MetaNormalLF-Roman"/>
                <w:sz w:val="16"/>
                <w:szCs w:val="16"/>
              </w:rPr>
              <w:t>§ 11(1) sentence 1(1) and sentence 2 UStatG</w:t>
            </w:r>
          </w:p>
        </w:tc>
        <w:tc>
          <w:tcPr>
            <w:tcW w:w="1175" w:type="pct"/>
            <w:tcBorders>
              <w:top w:val="nil"/>
              <w:left w:val="single" w:sz="4" w:space="0" w:color="auto"/>
              <w:bottom w:val="single" w:sz="4" w:space="0" w:color="auto"/>
              <w:right w:val="single" w:sz="8" w:space="0" w:color="auto"/>
            </w:tcBorders>
            <w:shd w:val="clear" w:color="auto" w:fill="auto"/>
            <w:vAlign w:val="center"/>
          </w:tcPr>
          <w:p w:rsidR="00D241FE" w:rsidRPr="00AE0058" w:rsidRDefault="00D241FE" w:rsidP="00D241FE">
            <w:pPr>
              <w:rPr>
                <w:rFonts w:ascii="MetaNormalLF-Roman" w:hAnsi="MetaNormalLF-Roman" w:cs="Calibri"/>
                <w:color w:val="000000" w:themeColor="text1"/>
                <w:sz w:val="16"/>
                <w:szCs w:val="18"/>
              </w:rPr>
            </w:pPr>
            <w:r>
              <w:rPr>
                <w:rFonts w:ascii="MetaNormalLF-Roman" w:hAnsi="MetaNormalLF-Roman"/>
                <w:color w:val="000000" w:themeColor="text1"/>
                <w:sz w:val="16"/>
                <w:szCs w:val="18"/>
              </w:rPr>
              <w:t>Survey of investments for environmental protection – Federal Statistical Office</w:t>
            </w:r>
          </w:p>
        </w:tc>
        <w:tc>
          <w:tcPr>
            <w:tcW w:w="474"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74</w:t>
            </w:r>
          </w:p>
        </w:tc>
        <w:tc>
          <w:tcPr>
            <w:tcW w:w="471"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8</w:t>
            </w:r>
          </w:p>
        </w:tc>
        <w:tc>
          <w:tcPr>
            <w:tcW w:w="476"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w:t>
            </w:r>
          </w:p>
        </w:tc>
        <w:tc>
          <w:tcPr>
            <w:tcW w:w="545" w:type="pct"/>
            <w:tcBorders>
              <w:right w:val="single" w:sz="12" w:space="0" w:color="auto"/>
            </w:tcBorders>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w:t>
            </w:r>
          </w:p>
        </w:tc>
        <w:tc>
          <w:tcPr>
            <w:tcW w:w="1087" w:type="pct"/>
            <w:tcBorders>
              <w:left w:val="single" w:sz="12" w:space="0" w:color="auto"/>
            </w:tcBorders>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82</w:t>
            </w:r>
          </w:p>
        </w:tc>
      </w:tr>
      <w:tr w:rsidR="00D241FE" w:rsidRPr="00AE0058" w:rsidTr="006C07FA">
        <w:tc>
          <w:tcPr>
            <w:tcW w:w="292" w:type="pct"/>
            <w:shd w:val="clear" w:color="auto" w:fill="auto"/>
            <w:vAlign w:val="center"/>
          </w:tcPr>
          <w:p w:rsidR="00D241FE" w:rsidRPr="00AE0058" w:rsidRDefault="00D241FE" w:rsidP="00D241FE">
            <w:pPr>
              <w:rPr>
                <w:rFonts w:eastAsia="Times New Roman" w:cs="Times New Roman"/>
                <w:color w:val="000000" w:themeColor="text1"/>
                <w:sz w:val="16"/>
                <w:szCs w:val="16"/>
              </w:rPr>
            </w:pPr>
            <w:r>
              <w:rPr>
                <w:color w:val="000000" w:themeColor="text1"/>
                <w:sz w:val="16"/>
                <w:szCs w:val="16"/>
              </w:rPr>
              <w:t>8</w:t>
            </w:r>
          </w:p>
        </w:tc>
        <w:tc>
          <w:tcPr>
            <w:tcW w:w="480" w:type="pct"/>
            <w:tcBorders>
              <w:top w:val="nil"/>
              <w:left w:val="single" w:sz="4" w:space="0" w:color="auto"/>
              <w:bottom w:val="single" w:sz="4" w:space="0" w:color="auto"/>
              <w:right w:val="single" w:sz="4" w:space="0" w:color="auto"/>
            </w:tcBorders>
            <w:shd w:val="clear" w:color="auto" w:fill="auto"/>
            <w:vAlign w:val="center"/>
          </w:tcPr>
          <w:p w:rsidR="00D241FE" w:rsidRPr="00AE0058" w:rsidRDefault="00D241FE" w:rsidP="00D241FE">
            <w:pPr>
              <w:rPr>
                <w:rFonts w:ascii="MetaNormalLF-Roman" w:hAnsi="MetaNormalLF-Roman" w:cs="Calibri"/>
                <w:color w:val="000000" w:themeColor="text1"/>
                <w:sz w:val="16"/>
                <w:szCs w:val="16"/>
              </w:rPr>
            </w:pPr>
            <w:r>
              <w:rPr>
                <w:rFonts w:ascii="MetaNormalLF-Roman" w:hAnsi="MetaNormalLF-Roman"/>
                <w:sz w:val="16"/>
                <w:szCs w:val="16"/>
              </w:rPr>
              <w:t>§ 11(1) sentence 1(2) and sentence 2 UStatG</w:t>
            </w:r>
          </w:p>
        </w:tc>
        <w:tc>
          <w:tcPr>
            <w:tcW w:w="1175" w:type="pct"/>
            <w:tcBorders>
              <w:top w:val="nil"/>
              <w:left w:val="single" w:sz="4" w:space="0" w:color="auto"/>
              <w:bottom w:val="single" w:sz="4" w:space="0" w:color="auto"/>
              <w:right w:val="single" w:sz="8" w:space="0" w:color="auto"/>
            </w:tcBorders>
            <w:shd w:val="clear" w:color="auto" w:fill="auto"/>
            <w:vAlign w:val="center"/>
          </w:tcPr>
          <w:p w:rsidR="00D241FE" w:rsidRPr="00AE0058" w:rsidRDefault="00D241FE" w:rsidP="00D241FE">
            <w:pPr>
              <w:rPr>
                <w:rFonts w:ascii="MetaNormalLF-Roman" w:hAnsi="MetaNormalLF-Roman" w:cs="Calibri"/>
                <w:color w:val="000000" w:themeColor="text1"/>
                <w:sz w:val="16"/>
                <w:szCs w:val="18"/>
              </w:rPr>
            </w:pPr>
            <w:r>
              <w:rPr>
                <w:rFonts w:ascii="MetaNormalLF-Roman" w:hAnsi="MetaNormalLF-Roman"/>
                <w:color w:val="000000" w:themeColor="text1"/>
                <w:sz w:val="16"/>
                <w:szCs w:val="18"/>
              </w:rPr>
              <w:t>Survey of current costs for environmental protection – Federal Statistical Office</w:t>
            </w:r>
          </w:p>
        </w:tc>
        <w:tc>
          <w:tcPr>
            <w:tcW w:w="474"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69</w:t>
            </w:r>
          </w:p>
        </w:tc>
        <w:tc>
          <w:tcPr>
            <w:tcW w:w="471"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8</w:t>
            </w:r>
          </w:p>
        </w:tc>
        <w:tc>
          <w:tcPr>
            <w:tcW w:w="476"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w:t>
            </w:r>
          </w:p>
        </w:tc>
        <w:tc>
          <w:tcPr>
            <w:tcW w:w="545" w:type="pct"/>
            <w:tcBorders>
              <w:right w:val="single" w:sz="12" w:space="0" w:color="auto"/>
            </w:tcBorders>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w:t>
            </w:r>
          </w:p>
        </w:tc>
        <w:tc>
          <w:tcPr>
            <w:tcW w:w="1087" w:type="pct"/>
            <w:tcBorders>
              <w:left w:val="single" w:sz="12" w:space="0" w:color="auto"/>
            </w:tcBorders>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76</w:t>
            </w:r>
          </w:p>
        </w:tc>
      </w:tr>
      <w:tr w:rsidR="00D241FE" w:rsidRPr="00AE0058" w:rsidTr="006C07FA">
        <w:tc>
          <w:tcPr>
            <w:tcW w:w="292" w:type="pct"/>
            <w:shd w:val="clear" w:color="auto" w:fill="auto"/>
            <w:vAlign w:val="center"/>
          </w:tcPr>
          <w:p w:rsidR="00D241FE" w:rsidRPr="00AE0058" w:rsidRDefault="00D241FE" w:rsidP="00D241FE">
            <w:pPr>
              <w:rPr>
                <w:rFonts w:eastAsia="Times New Roman" w:cs="Times New Roman"/>
                <w:color w:val="000000" w:themeColor="text1"/>
                <w:sz w:val="16"/>
                <w:szCs w:val="16"/>
              </w:rPr>
            </w:pPr>
            <w:r>
              <w:rPr>
                <w:color w:val="000000" w:themeColor="text1"/>
                <w:sz w:val="16"/>
                <w:szCs w:val="16"/>
              </w:rPr>
              <w:t>9</w:t>
            </w:r>
          </w:p>
        </w:tc>
        <w:tc>
          <w:tcPr>
            <w:tcW w:w="480" w:type="pct"/>
            <w:tcBorders>
              <w:top w:val="nil"/>
              <w:left w:val="single" w:sz="4" w:space="0" w:color="auto"/>
              <w:bottom w:val="single" w:sz="4" w:space="0" w:color="auto"/>
              <w:right w:val="single" w:sz="4" w:space="0" w:color="auto"/>
            </w:tcBorders>
            <w:shd w:val="clear" w:color="auto" w:fill="auto"/>
            <w:vAlign w:val="center"/>
          </w:tcPr>
          <w:p w:rsidR="00D241FE" w:rsidRPr="00AE0058" w:rsidRDefault="00D241FE" w:rsidP="00D241FE">
            <w:pPr>
              <w:rPr>
                <w:rFonts w:ascii="MetaNormalLF-Roman" w:hAnsi="MetaNormalLF-Roman" w:cs="Calibri"/>
                <w:color w:val="000000" w:themeColor="text1"/>
                <w:sz w:val="16"/>
                <w:szCs w:val="16"/>
              </w:rPr>
            </w:pPr>
            <w:r>
              <w:rPr>
                <w:rFonts w:ascii="MetaNormalLF-Roman" w:hAnsi="MetaNormalLF-Roman"/>
                <w:color w:val="000000" w:themeColor="text1"/>
                <w:sz w:val="16"/>
                <w:szCs w:val="16"/>
              </w:rPr>
              <w:t>§ 12(2)(4) and § 12(1)(2) UStatG</w:t>
            </w:r>
          </w:p>
        </w:tc>
        <w:tc>
          <w:tcPr>
            <w:tcW w:w="1175" w:type="pct"/>
            <w:tcBorders>
              <w:top w:val="nil"/>
              <w:left w:val="single" w:sz="4" w:space="0" w:color="auto"/>
              <w:bottom w:val="single" w:sz="4" w:space="0" w:color="auto"/>
              <w:right w:val="single" w:sz="8" w:space="0" w:color="auto"/>
            </w:tcBorders>
            <w:shd w:val="clear" w:color="auto" w:fill="auto"/>
            <w:vAlign w:val="center"/>
          </w:tcPr>
          <w:p w:rsidR="00D241FE" w:rsidRPr="00AE0058" w:rsidRDefault="00D241FE" w:rsidP="00D241FE">
            <w:pPr>
              <w:rPr>
                <w:rFonts w:ascii="MetaNormalLF-Roman" w:hAnsi="MetaNormalLF-Roman" w:cs="Calibri"/>
                <w:color w:val="000000" w:themeColor="text1"/>
                <w:sz w:val="16"/>
                <w:szCs w:val="18"/>
              </w:rPr>
            </w:pPr>
            <w:r>
              <w:rPr>
                <w:rFonts w:ascii="MetaNormalLF-Roman" w:hAnsi="MetaNormalLF-Roman"/>
                <w:color w:val="000000" w:themeColor="text1"/>
                <w:sz w:val="16"/>
                <w:szCs w:val="18"/>
              </w:rPr>
              <w:t>Survey of goods, works and services for environmental protection – Federal Statistical Office</w:t>
            </w:r>
          </w:p>
        </w:tc>
        <w:tc>
          <w:tcPr>
            <w:tcW w:w="474"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159</w:t>
            </w:r>
          </w:p>
        </w:tc>
        <w:tc>
          <w:tcPr>
            <w:tcW w:w="471"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8</w:t>
            </w:r>
          </w:p>
        </w:tc>
        <w:tc>
          <w:tcPr>
            <w:tcW w:w="476"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w:t>
            </w:r>
          </w:p>
        </w:tc>
        <w:tc>
          <w:tcPr>
            <w:tcW w:w="545" w:type="pct"/>
            <w:tcBorders>
              <w:right w:val="single" w:sz="12" w:space="0" w:color="auto"/>
            </w:tcBorders>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w:t>
            </w:r>
          </w:p>
        </w:tc>
        <w:tc>
          <w:tcPr>
            <w:tcW w:w="1087" w:type="pct"/>
            <w:tcBorders>
              <w:left w:val="single" w:sz="12" w:space="0" w:color="auto"/>
            </w:tcBorders>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168</w:t>
            </w:r>
          </w:p>
        </w:tc>
      </w:tr>
      <w:tr w:rsidR="00D241FE" w:rsidRPr="00AE0058" w:rsidTr="006C07FA">
        <w:tc>
          <w:tcPr>
            <w:tcW w:w="292" w:type="pct"/>
            <w:shd w:val="clear" w:color="auto" w:fill="auto"/>
            <w:vAlign w:val="center"/>
          </w:tcPr>
          <w:p w:rsidR="00D241FE" w:rsidRPr="00AE0058" w:rsidRDefault="00D241FE" w:rsidP="00D241FE">
            <w:pPr>
              <w:rPr>
                <w:rFonts w:eastAsia="Times New Roman" w:cs="Times New Roman"/>
                <w:color w:val="000000" w:themeColor="text1"/>
                <w:sz w:val="16"/>
                <w:szCs w:val="16"/>
              </w:rPr>
            </w:pPr>
            <w:r>
              <w:rPr>
                <w:color w:val="000000" w:themeColor="text1"/>
                <w:sz w:val="16"/>
                <w:szCs w:val="16"/>
              </w:rPr>
              <w:t>12</w:t>
            </w:r>
          </w:p>
        </w:tc>
        <w:tc>
          <w:tcPr>
            <w:tcW w:w="480" w:type="pct"/>
            <w:tcBorders>
              <w:top w:val="nil"/>
              <w:left w:val="single" w:sz="4" w:space="0" w:color="auto"/>
              <w:bottom w:val="single" w:sz="4" w:space="0" w:color="auto"/>
              <w:right w:val="single" w:sz="4" w:space="0" w:color="auto"/>
            </w:tcBorders>
            <w:shd w:val="clear" w:color="auto" w:fill="auto"/>
            <w:vAlign w:val="center"/>
          </w:tcPr>
          <w:p w:rsidR="00D241FE" w:rsidRPr="00AE0058" w:rsidRDefault="00D241FE" w:rsidP="00D241FE">
            <w:pPr>
              <w:rPr>
                <w:rFonts w:ascii="MetaNormalLF-Roman" w:hAnsi="MetaNormalLF-Roman" w:cs="Calibri"/>
                <w:color w:val="000000" w:themeColor="text1"/>
                <w:sz w:val="16"/>
                <w:szCs w:val="16"/>
              </w:rPr>
            </w:pPr>
            <w:r>
              <w:rPr>
                <w:rFonts w:ascii="MetaNormalLF-Roman" w:hAnsi="MetaNormalLF-Roman"/>
                <w:color w:val="000000" w:themeColor="text1"/>
                <w:sz w:val="16"/>
                <w:szCs w:val="16"/>
              </w:rPr>
              <w:t>§ 16 UStatG</w:t>
            </w:r>
          </w:p>
        </w:tc>
        <w:tc>
          <w:tcPr>
            <w:tcW w:w="1175" w:type="pct"/>
            <w:tcBorders>
              <w:top w:val="nil"/>
              <w:left w:val="single" w:sz="4" w:space="0" w:color="auto"/>
              <w:bottom w:val="single" w:sz="4" w:space="0" w:color="auto"/>
              <w:right w:val="single" w:sz="8" w:space="0" w:color="auto"/>
            </w:tcBorders>
            <w:shd w:val="clear" w:color="auto" w:fill="auto"/>
            <w:vAlign w:val="center"/>
          </w:tcPr>
          <w:p w:rsidR="00D241FE" w:rsidRPr="00AE0058" w:rsidRDefault="00D241FE" w:rsidP="00D241FE">
            <w:pPr>
              <w:rPr>
                <w:rFonts w:ascii="MetaNormalLF-Roman" w:hAnsi="MetaNormalLF-Roman" w:cs="Calibri"/>
                <w:color w:val="000000" w:themeColor="text1"/>
                <w:sz w:val="16"/>
                <w:szCs w:val="18"/>
              </w:rPr>
            </w:pPr>
            <w:r>
              <w:rPr>
                <w:rFonts w:ascii="MetaNormalLF-Roman" w:hAnsi="MetaNormalLF-Roman"/>
                <w:color w:val="000000" w:themeColor="text1"/>
                <w:sz w:val="16"/>
                <w:szCs w:val="18"/>
              </w:rPr>
              <w:t>Transfer – Federal Statistical Office</w:t>
            </w:r>
          </w:p>
        </w:tc>
        <w:tc>
          <w:tcPr>
            <w:tcW w:w="474"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p>
        </w:tc>
        <w:tc>
          <w:tcPr>
            <w:tcW w:w="471"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p>
        </w:tc>
        <w:tc>
          <w:tcPr>
            <w:tcW w:w="476" w:type="pct"/>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w:t>
            </w:r>
          </w:p>
        </w:tc>
        <w:tc>
          <w:tcPr>
            <w:tcW w:w="545" w:type="pct"/>
            <w:tcBorders>
              <w:right w:val="single" w:sz="12" w:space="0" w:color="auto"/>
            </w:tcBorders>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r>
              <w:rPr>
                <w:color w:val="000000" w:themeColor="text1"/>
                <w:sz w:val="16"/>
                <w:szCs w:val="16"/>
              </w:rPr>
              <w:t>-</w:t>
            </w:r>
          </w:p>
        </w:tc>
        <w:tc>
          <w:tcPr>
            <w:tcW w:w="1087" w:type="pct"/>
            <w:tcBorders>
              <w:left w:val="single" w:sz="12" w:space="0" w:color="auto"/>
            </w:tcBorders>
            <w:shd w:val="clear" w:color="auto" w:fill="auto"/>
            <w:vAlign w:val="center"/>
          </w:tcPr>
          <w:p w:rsidR="00D241FE" w:rsidRPr="00AE0058" w:rsidRDefault="00D241FE" w:rsidP="00D241FE">
            <w:pPr>
              <w:jc w:val="right"/>
              <w:rPr>
                <w:rFonts w:eastAsia="Times New Roman" w:cs="Times New Roman"/>
                <w:color w:val="000000" w:themeColor="text1"/>
                <w:sz w:val="16"/>
                <w:szCs w:val="16"/>
              </w:rPr>
            </w:pPr>
          </w:p>
        </w:tc>
      </w:tr>
      <w:tr w:rsidR="009B48F6" w:rsidRPr="00AE0058" w:rsidTr="006C07FA">
        <w:tc>
          <w:tcPr>
            <w:tcW w:w="1947" w:type="pct"/>
            <w:gridSpan w:val="3"/>
            <w:shd w:val="clear" w:color="auto" w:fill="D9D9D9" w:themeFill="background1" w:themeFillShade="D9"/>
            <w:vAlign w:val="center"/>
          </w:tcPr>
          <w:p w:rsidR="009B48F6" w:rsidRPr="00AE0058" w:rsidRDefault="009B48F6" w:rsidP="005354E9">
            <w:pPr>
              <w:rPr>
                <w:rFonts w:eastAsia="Times New Roman" w:cs="Times New Roman"/>
                <w:b/>
                <w:color w:val="000000" w:themeColor="text1"/>
                <w:sz w:val="16"/>
                <w:szCs w:val="16"/>
              </w:rPr>
            </w:pPr>
            <w:r>
              <w:rPr>
                <w:b/>
                <w:color w:val="000000" w:themeColor="text1"/>
                <w:sz w:val="16"/>
                <w:szCs w:val="16"/>
              </w:rPr>
              <w:t>Total</w:t>
            </w:r>
          </w:p>
        </w:tc>
        <w:tc>
          <w:tcPr>
            <w:tcW w:w="474" w:type="pct"/>
            <w:shd w:val="clear" w:color="auto" w:fill="D9D9D9" w:themeFill="background1" w:themeFillShade="D9"/>
            <w:vAlign w:val="center"/>
          </w:tcPr>
          <w:p w:rsidR="009B48F6" w:rsidRPr="00AE0058" w:rsidRDefault="00C055B1" w:rsidP="00C055B1">
            <w:pPr>
              <w:jc w:val="right"/>
              <w:rPr>
                <w:rFonts w:eastAsia="Times New Roman"/>
                <w:b/>
                <w:bCs/>
                <w:color w:val="000000" w:themeColor="text1"/>
                <w:sz w:val="16"/>
                <w:szCs w:val="16"/>
              </w:rPr>
            </w:pPr>
            <w:r>
              <w:rPr>
                <w:b/>
                <w:bCs/>
                <w:color w:val="000000" w:themeColor="text1"/>
                <w:sz w:val="16"/>
                <w:szCs w:val="16"/>
              </w:rPr>
              <w:t>716</w:t>
            </w:r>
          </w:p>
        </w:tc>
        <w:tc>
          <w:tcPr>
            <w:tcW w:w="471" w:type="pct"/>
            <w:shd w:val="clear" w:color="auto" w:fill="D9D9D9" w:themeFill="background1" w:themeFillShade="D9"/>
            <w:vAlign w:val="center"/>
          </w:tcPr>
          <w:p w:rsidR="009B48F6" w:rsidRPr="00AE0058" w:rsidRDefault="009B48F6" w:rsidP="005354E9">
            <w:pPr>
              <w:jc w:val="right"/>
              <w:rPr>
                <w:rFonts w:eastAsia="Times New Roman"/>
                <w:b/>
                <w:bCs/>
                <w:color w:val="000000" w:themeColor="text1"/>
                <w:sz w:val="16"/>
                <w:szCs w:val="16"/>
              </w:rPr>
            </w:pPr>
            <w:r>
              <w:rPr>
                <w:b/>
                <w:bCs/>
                <w:color w:val="000000" w:themeColor="text1"/>
                <w:sz w:val="16"/>
                <w:szCs w:val="16"/>
              </w:rPr>
              <w:t>23</w:t>
            </w:r>
          </w:p>
        </w:tc>
        <w:tc>
          <w:tcPr>
            <w:tcW w:w="476" w:type="pct"/>
            <w:shd w:val="clear" w:color="auto" w:fill="D9D9D9" w:themeFill="background1" w:themeFillShade="D9"/>
            <w:vAlign w:val="center"/>
          </w:tcPr>
          <w:p w:rsidR="009B48F6" w:rsidRPr="00AE0058" w:rsidRDefault="009B48F6" w:rsidP="005354E9">
            <w:pPr>
              <w:jc w:val="right"/>
              <w:rPr>
                <w:rFonts w:eastAsia="Times New Roman"/>
                <w:b/>
                <w:bCs/>
                <w:color w:val="000000" w:themeColor="text1"/>
                <w:sz w:val="16"/>
                <w:szCs w:val="16"/>
              </w:rPr>
            </w:pPr>
            <w:r>
              <w:rPr>
                <w:b/>
                <w:bCs/>
                <w:color w:val="000000" w:themeColor="text1"/>
                <w:sz w:val="16"/>
                <w:szCs w:val="16"/>
              </w:rPr>
              <w:t>89</w:t>
            </w:r>
          </w:p>
        </w:tc>
        <w:tc>
          <w:tcPr>
            <w:tcW w:w="545" w:type="pct"/>
            <w:tcBorders>
              <w:right w:val="single" w:sz="12" w:space="0" w:color="auto"/>
            </w:tcBorders>
            <w:shd w:val="clear" w:color="auto" w:fill="D9D9D9" w:themeFill="background1" w:themeFillShade="D9"/>
            <w:vAlign w:val="center"/>
          </w:tcPr>
          <w:p w:rsidR="009B48F6" w:rsidRPr="00AE0058" w:rsidRDefault="009B48F6" w:rsidP="005354E9">
            <w:pPr>
              <w:jc w:val="right"/>
              <w:rPr>
                <w:rFonts w:eastAsia="Times New Roman"/>
                <w:b/>
                <w:bCs/>
                <w:color w:val="000000" w:themeColor="text1"/>
                <w:sz w:val="16"/>
                <w:szCs w:val="16"/>
              </w:rPr>
            </w:pPr>
            <w:r>
              <w:rPr>
                <w:b/>
                <w:bCs/>
                <w:color w:val="000000" w:themeColor="text1"/>
                <w:sz w:val="16"/>
                <w:szCs w:val="16"/>
              </w:rPr>
              <w:t>-</w:t>
            </w:r>
          </w:p>
        </w:tc>
        <w:tc>
          <w:tcPr>
            <w:tcW w:w="1087" w:type="pct"/>
            <w:tcBorders>
              <w:left w:val="single" w:sz="12" w:space="0" w:color="auto"/>
            </w:tcBorders>
            <w:shd w:val="clear" w:color="auto" w:fill="D9D9D9" w:themeFill="background1" w:themeFillShade="D9"/>
            <w:vAlign w:val="center"/>
          </w:tcPr>
          <w:p w:rsidR="009B48F6" w:rsidRPr="00AE0058" w:rsidRDefault="00C055B1" w:rsidP="00C055B1">
            <w:pPr>
              <w:jc w:val="right"/>
              <w:rPr>
                <w:rFonts w:eastAsia="Times New Roman"/>
                <w:b/>
                <w:bCs/>
                <w:color w:val="000000" w:themeColor="text1"/>
                <w:sz w:val="16"/>
                <w:szCs w:val="16"/>
              </w:rPr>
            </w:pPr>
            <w:r>
              <w:rPr>
                <w:b/>
                <w:bCs/>
                <w:color w:val="000000" w:themeColor="text1"/>
                <w:sz w:val="16"/>
                <w:szCs w:val="16"/>
              </w:rPr>
              <w:t>650</w:t>
            </w:r>
          </w:p>
        </w:tc>
      </w:tr>
    </w:tbl>
    <w:p w:rsidR="00744EBB" w:rsidRPr="00AE0058" w:rsidRDefault="00744EBB" w:rsidP="000B2F65">
      <w:pPr>
        <w:rPr>
          <w:color w:val="000000" w:themeColor="text1"/>
        </w:rPr>
      </w:pPr>
    </w:p>
    <w:p w:rsidR="00FB2F0D" w:rsidRPr="00AE0058" w:rsidRDefault="00FB2F0D" w:rsidP="00C65795">
      <w:pPr>
        <w:pStyle w:val="Caption"/>
        <w:keepNext/>
        <w:rPr>
          <w:b/>
          <w:color w:val="000000" w:themeColor="text1"/>
        </w:rPr>
      </w:pPr>
      <w:r>
        <w:rPr>
          <w:b/>
          <w:color w:val="000000" w:themeColor="text1"/>
        </w:rPr>
        <w:t xml:space="preserve">Table 5 – Administrative compliance costs – </w:t>
      </w:r>
      <w:r>
        <w:rPr>
          <w:b/>
          <w:color w:val="000000" w:themeColor="text1"/>
          <w:u w:val="single"/>
        </w:rPr>
        <w:t>one-off</w:t>
      </w:r>
      <w:r>
        <w:rPr>
          <w:b/>
          <w:color w:val="000000" w:themeColor="text1"/>
        </w:rPr>
        <w:t xml:space="preserve"> compliance costs, Federal Statistical Office</w:t>
      </w:r>
    </w:p>
    <w:tbl>
      <w:tblPr>
        <w:tblStyle w:val="TableGrid"/>
        <w:tblW w:w="4940" w:type="pct"/>
        <w:tblInd w:w="57" w:type="dxa"/>
        <w:tblLayout w:type="fixed"/>
        <w:tblCellMar>
          <w:left w:w="57" w:type="dxa"/>
          <w:right w:w="57" w:type="dxa"/>
        </w:tblCellMar>
        <w:tblLook w:val="04A0" w:firstRow="1" w:lastRow="0" w:firstColumn="1" w:lastColumn="0" w:noHBand="0" w:noVBand="1"/>
      </w:tblPr>
      <w:tblGrid>
        <w:gridCol w:w="508"/>
        <w:gridCol w:w="833"/>
        <w:gridCol w:w="2035"/>
        <w:gridCol w:w="1638"/>
        <w:gridCol w:w="1629"/>
        <w:gridCol w:w="2031"/>
      </w:tblGrid>
      <w:tr w:rsidR="00AD27DC" w:rsidRPr="00AE0058" w:rsidTr="006C07FA">
        <w:tc>
          <w:tcPr>
            <w:tcW w:w="293" w:type="pct"/>
            <w:shd w:val="clear" w:color="auto" w:fill="D9D9D9" w:themeFill="background1" w:themeFillShade="D9"/>
            <w:vAlign w:val="center"/>
          </w:tcPr>
          <w:p w:rsidR="00AD27DC" w:rsidRPr="00AE0058" w:rsidRDefault="00AD27DC" w:rsidP="00C65795">
            <w:pPr>
              <w:keepNext/>
              <w:rPr>
                <w:b/>
                <w:color w:val="000000" w:themeColor="text1"/>
                <w:sz w:val="16"/>
                <w:szCs w:val="16"/>
              </w:rPr>
            </w:pPr>
          </w:p>
        </w:tc>
        <w:tc>
          <w:tcPr>
            <w:tcW w:w="480" w:type="pct"/>
            <w:shd w:val="clear" w:color="auto" w:fill="D9D9D9" w:themeFill="background1" w:themeFillShade="D9"/>
            <w:vAlign w:val="center"/>
          </w:tcPr>
          <w:p w:rsidR="00AD27DC" w:rsidRPr="00AE0058" w:rsidRDefault="00AD27DC" w:rsidP="00C65795">
            <w:pPr>
              <w:keepNext/>
              <w:rPr>
                <w:b/>
                <w:color w:val="000000" w:themeColor="text1"/>
                <w:sz w:val="16"/>
                <w:szCs w:val="16"/>
              </w:rPr>
            </w:pPr>
          </w:p>
        </w:tc>
        <w:tc>
          <w:tcPr>
            <w:tcW w:w="1173" w:type="pct"/>
            <w:tcBorders>
              <w:right w:val="single" w:sz="4" w:space="0" w:color="auto"/>
            </w:tcBorders>
            <w:shd w:val="clear" w:color="auto" w:fill="D9D9D9" w:themeFill="background1" w:themeFillShade="D9"/>
            <w:vAlign w:val="center"/>
          </w:tcPr>
          <w:p w:rsidR="00AD27DC" w:rsidRPr="00AE0058" w:rsidRDefault="00AD27DC" w:rsidP="00C65795">
            <w:pPr>
              <w:keepNext/>
              <w:rPr>
                <w:b/>
                <w:color w:val="000000" w:themeColor="text1"/>
                <w:sz w:val="16"/>
                <w:szCs w:val="16"/>
              </w:rPr>
            </w:pPr>
          </w:p>
        </w:tc>
        <w:tc>
          <w:tcPr>
            <w:tcW w:w="3054" w:type="pct"/>
            <w:gridSpan w:val="3"/>
            <w:tcBorders>
              <w:left w:val="single" w:sz="4" w:space="0" w:color="auto"/>
            </w:tcBorders>
            <w:shd w:val="clear" w:color="auto" w:fill="D9D9D9" w:themeFill="background1" w:themeFillShade="D9"/>
            <w:vAlign w:val="center"/>
          </w:tcPr>
          <w:p w:rsidR="00AD27DC" w:rsidRPr="00AE0058" w:rsidRDefault="00AD27DC" w:rsidP="00C65795">
            <w:pPr>
              <w:keepNext/>
              <w:rPr>
                <w:b/>
                <w:color w:val="000000" w:themeColor="text1"/>
                <w:sz w:val="16"/>
                <w:szCs w:val="16"/>
              </w:rPr>
            </w:pPr>
            <w:r>
              <w:rPr>
                <w:b/>
                <w:color w:val="000000" w:themeColor="text1"/>
                <w:sz w:val="16"/>
                <w:szCs w:val="16"/>
              </w:rPr>
              <w:t>One-off compliance costs</w:t>
            </w:r>
          </w:p>
        </w:tc>
      </w:tr>
      <w:tr w:rsidR="00AD27DC" w:rsidRPr="00AE0058" w:rsidTr="006C07FA">
        <w:tc>
          <w:tcPr>
            <w:tcW w:w="293" w:type="pct"/>
            <w:shd w:val="clear" w:color="auto" w:fill="D9D9D9" w:themeFill="background1" w:themeFillShade="D9"/>
            <w:vAlign w:val="center"/>
          </w:tcPr>
          <w:p w:rsidR="00AD27DC" w:rsidRPr="00AE0058" w:rsidRDefault="00AD27DC" w:rsidP="00C65795">
            <w:pPr>
              <w:keepNext/>
              <w:rPr>
                <w:b/>
                <w:color w:val="000000" w:themeColor="text1"/>
                <w:sz w:val="16"/>
                <w:szCs w:val="16"/>
              </w:rPr>
            </w:pPr>
            <w:r>
              <w:rPr>
                <w:b/>
                <w:color w:val="000000" w:themeColor="text1"/>
                <w:sz w:val="16"/>
                <w:szCs w:val="16"/>
              </w:rPr>
              <w:t>Target</w:t>
            </w:r>
          </w:p>
        </w:tc>
        <w:tc>
          <w:tcPr>
            <w:tcW w:w="480" w:type="pct"/>
            <w:shd w:val="clear" w:color="auto" w:fill="D9D9D9" w:themeFill="background1" w:themeFillShade="D9"/>
            <w:vAlign w:val="center"/>
          </w:tcPr>
          <w:p w:rsidR="00AD27DC" w:rsidRPr="00AE0058" w:rsidRDefault="00AD27DC" w:rsidP="00C65795">
            <w:pPr>
              <w:keepNext/>
              <w:rPr>
                <w:b/>
                <w:color w:val="000000" w:themeColor="text1"/>
                <w:sz w:val="16"/>
                <w:szCs w:val="16"/>
              </w:rPr>
            </w:pPr>
            <w:r>
              <w:rPr>
                <w:b/>
                <w:color w:val="000000" w:themeColor="text1"/>
                <w:sz w:val="16"/>
                <w:szCs w:val="16"/>
              </w:rPr>
              <w:t xml:space="preserve">Paragraph </w:t>
            </w:r>
          </w:p>
        </w:tc>
        <w:tc>
          <w:tcPr>
            <w:tcW w:w="1173" w:type="pct"/>
            <w:shd w:val="clear" w:color="auto" w:fill="D9D9D9" w:themeFill="background1" w:themeFillShade="D9"/>
            <w:vAlign w:val="center"/>
          </w:tcPr>
          <w:p w:rsidR="00AD27DC" w:rsidRPr="00AE0058" w:rsidRDefault="00AD27DC" w:rsidP="00C65795">
            <w:pPr>
              <w:keepNext/>
              <w:rPr>
                <w:b/>
                <w:color w:val="000000" w:themeColor="text1"/>
                <w:sz w:val="16"/>
                <w:szCs w:val="16"/>
              </w:rPr>
            </w:pPr>
            <w:r>
              <w:rPr>
                <w:b/>
                <w:color w:val="000000" w:themeColor="text1"/>
                <w:sz w:val="16"/>
                <w:szCs w:val="16"/>
              </w:rPr>
              <w:t>Target description</w:t>
            </w:r>
          </w:p>
        </w:tc>
        <w:tc>
          <w:tcPr>
            <w:tcW w:w="944" w:type="pct"/>
            <w:shd w:val="clear" w:color="auto" w:fill="D9D9D9" w:themeFill="background1" w:themeFillShade="D9"/>
            <w:vAlign w:val="center"/>
          </w:tcPr>
          <w:p w:rsidR="00AD27DC" w:rsidRPr="00AE0058" w:rsidRDefault="00AD27DC" w:rsidP="00C65795">
            <w:pPr>
              <w:keepNext/>
              <w:rPr>
                <w:b/>
                <w:color w:val="000000" w:themeColor="text1"/>
                <w:sz w:val="16"/>
                <w:szCs w:val="16"/>
              </w:rPr>
            </w:pPr>
            <w:r>
              <w:rPr>
                <w:b/>
                <w:color w:val="000000" w:themeColor="text1"/>
                <w:sz w:val="16"/>
                <w:szCs w:val="16"/>
              </w:rPr>
              <w:t>Personnel costs</w:t>
            </w:r>
          </w:p>
        </w:tc>
        <w:tc>
          <w:tcPr>
            <w:tcW w:w="939" w:type="pct"/>
            <w:shd w:val="clear" w:color="auto" w:fill="D9D9D9" w:themeFill="background1" w:themeFillShade="D9"/>
            <w:vAlign w:val="center"/>
          </w:tcPr>
          <w:p w:rsidR="00AD27DC" w:rsidRPr="00AE0058" w:rsidRDefault="00AD27DC" w:rsidP="00C65795">
            <w:pPr>
              <w:keepNext/>
              <w:rPr>
                <w:b/>
                <w:color w:val="000000" w:themeColor="text1"/>
                <w:sz w:val="16"/>
                <w:szCs w:val="16"/>
              </w:rPr>
            </w:pPr>
            <w:r>
              <w:rPr>
                <w:b/>
                <w:color w:val="000000" w:themeColor="text1"/>
                <w:sz w:val="16"/>
                <w:szCs w:val="16"/>
              </w:rPr>
              <w:t>Material costs</w:t>
            </w:r>
          </w:p>
        </w:tc>
        <w:tc>
          <w:tcPr>
            <w:tcW w:w="1171" w:type="pct"/>
            <w:tcBorders>
              <w:left w:val="single" w:sz="12" w:space="0" w:color="auto"/>
            </w:tcBorders>
            <w:shd w:val="clear" w:color="auto" w:fill="D9D9D9" w:themeFill="background1" w:themeFillShade="D9"/>
            <w:vAlign w:val="center"/>
          </w:tcPr>
          <w:p w:rsidR="00AD27DC" w:rsidRPr="00AE0058" w:rsidRDefault="00AD27DC" w:rsidP="00C65795">
            <w:pPr>
              <w:keepNext/>
              <w:rPr>
                <w:b/>
                <w:color w:val="000000" w:themeColor="text1"/>
                <w:sz w:val="16"/>
                <w:szCs w:val="16"/>
              </w:rPr>
            </w:pPr>
            <w:r>
              <w:rPr>
                <w:b/>
                <w:color w:val="000000" w:themeColor="text1"/>
                <w:sz w:val="16"/>
                <w:szCs w:val="16"/>
              </w:rPr>
              <w:t>Total costs</w:t>
            </w:r>
          </w:p>
        </w:tc>
      </w:tr>
      <w:tr w:rsidR="00AD27DC" w:rsidRPr="00AE0058" w:rsidTr="006C07FA">
        <w:tc>
          <w:tcPr>
            <w:tcW w:w="293" w:type="pct"/>
            <w:shd w:val="clear" w:color="auto" w:fill="D9D9D9" w:themeFill="background1" w:themeFillShade="D9"/>
            <w:vAlign w:val="center"/>
          </w:tcPr>
          <w:p w:rsidR="00AD27DC" w:rsidRPr="00AE0058" w:rsidRDefault="00AD27DC" w:rsidP="00C65795">
            <w:pPr>
              <w:keepNext/>
              <w:rPr>
                <w:b/>
                <w:color w:val="000000" w:themeColor="text1"/>
                <w:sz w:val="16"/>
                <w:szCs w:val="16"/>
              </w:rPr>
            </w:pPr>
          </w:p>
        </w:tc>
        <w:tc>
          <w:tcPr>
            <w:tcW w:w="480" w:type="pct"/>
            <w:shd w:val="clear" w:color="auto" w:fill="D9D9D9" w:themeFill="background1" w:themeFillShade="D9"/>
            <w:vAlign w:val="center"/>
          </w:tcPr>
          <w:p w:rsidR="00AD27DC" w:rsidRPr="00AE0058" w:rsidRDefault="00AD27DC" w:rsidP="00C65795">
            <w:pPr>
              <w:keepNext/>
              <w:rPr>
                <w:b/>
                <w:color w:val="000000" w:themeColor="text1"/>
                <w:sz w:val="16"/>
                <w:szCs w:val="16"/>
              </w:rPr>
            </w:pPr>
          </w:p>
        </w:tc>
        <w:tc>
          <w:tcPr>
            <w:tcW w:w="1173" w:type="pct"/>
            <w:shd w:val="clear" w:color="auto" w:fill="D9D9D9" w:themeFill="background1" w:themeFillShade="D9"/>
            <w:vAlign w:val="center"/>
          </w:tcPr>
          <w:p w:rsidR="00AD27DC" w:rsidRPr="00AE0058" w:rsidRDefault="00AD27DC" w:rsidP="00C65795">
            <w:pPr>
              <w:keepNext/>
              <w:rPr>
                <w:b/>
                <w:color w:val="000000" w:themeColor="text1"/>
                <w:sz w:val="16"/>
                <w:szCs w:val="16"/>
              </w:rPr>
            </w:pPr>
          </w:p>
        </w:tc>
        <w:tc>
          <w:tcPr>
            <w:tcW w:w="3054" w:type="pct"/>
            <w:gridSpan w:val="3"/>
            <w:shd w:val="clear" w:color="auto" w:fill="D9D9D9" w:themeFill="background1" w:themeFillShade="D9"/>
            <w:vAlign w:val="center"/>
          </w:tcPr>
          <w:p w:rsidR="00AD27DC" w:rsidRPr="00AE0058" w:rsidRDefault="00AD27DC" w:rsidP="00C65795">
            <w:pPr>
              <w:keepNext/>
              <w:jc w:val="center"/>
              <w:rPr>
                <w:b/>
                <w:color w:val="000000" w:themeColor="text1"/>
                <w:sz w:val="16"/>
                <w:szCs w:val="16"/>
              </w:rPr>
            </w:pPr>
            <w:r>
              <w:rPr>
                <w:b/>
                <w:color w:val="000000" w:themeColor="text1"/>
                <w:sz w:val="16"/>
                <w:szCs w:val="16"/>
              </w:rPr>
              <w:t>In thousands of EUR</w:t>
            </w:r>
          </w:p>
        </w:tc>
      </w:tr>
      <w:tr w:rsidR="00AD27DC" w:rsidRPr="00AE0058" w:rsidTr="006C07FA">
        <w:tc>
          <w:tcPr>
            <w:tcW w:w="293" w:type="pct"/>
            <w:vAlign w:val="center"/>
          </w:tcPr>
          <w:p w:rsidR="00AD27DC" w:rsidRPr="00AE0058" w:rsidRDefault="00AD27DC" w:rsidP="00FB2F0D">
            <w:pPr>
              <w:rPr>
                <w:color w:val="000000" w:themeColor="text1"/>
                <w:sz w:val="16"/>
                <w:szCs w:val="16"/>
              </w:rPr>
            </w:pPr>
            <w:r>
              <w:rPr>
                <w:color w:val="000000" w:themeColor="text1"/>
                <w:sz w:val="16"/>
                <w:szCs w:val="16"/>
              </w:rPr>
              <w:t>1</w:t>
            </w:r>
          </w:p>
        </w:tc>
        <w:tc>
          <w:tcPr>
            <w:tcW w:w="480" w:type="pct"/>
            <w:vAlign w:val="center"/>
          </w:tcPr>
          <w:p w:rsidR="00AD27DC" w:rsidRPr="00AE0058" w:rsidRDefault="00AD27DC" w:rsidP="00FB2F0D">
            <w:pPr>
              <w:rPr>
                <w:rFonts w:ascii="MetaNormalLF-Roman" w:hAnsi="MetaNormalLF-Roman" w:cs="Calibri"/>
                <w:color w:val="000000" w:themeColor="text1"/>
                <w:sz w:val="16"/>
                <w:szCs w:val="16"/>
              </w:rPr>
            </w:pPr>
            <w:r>
              <w:rPr>
                <w:rFonts w:ascii="MetaNormalLF-Roman" w:hAnsi="MetaNormalLF-Roman"/>
                <w:color w:val="000000" w:themeColor="text1"/>
                <w:sz w:val="16"/>
                <w:szCs w:val="16"/>
              </w:rPr>
              <w:t>§ 3(2)(2) UStatG</w:t>
            </w:r>
          </w:p>
        </w:tc>
        <w:tc>
          <w:tcPr>
            <w:tcW w:w="1173" w:type="pct"/>
            <w:vAlign w:val="center"/>
          </w:tcPr>
          <w:p w:rsidR="00AD27DC" w:rsidRPr="00AE0058" w:rsidRDefault="00AD27DC" w:rsidP="00FB2F0D">
            <w:pPr>
              <w:rPr>
                <w:rFonts w:ascii="MetaNormalLF-Roman" w:hAnsi="MetaNormalLF-Roman" w:cs="Calibri"/>
                <w:color w:val="000000" w:themeColor="text1"/>
                <w:sz w:val="16"/>
                <w:szCs w:val="18"/>
              </w:rPr>
            </w:pPr>
            <w:r>
              <w:rPr>
                <w:rFonts w:ascii="MetaNormalLF-Roman" w:hAnsi="MetaNormalLF-Roman"/>
                <w:color w:val="000000" w:themeColor="text1"/>
                <w:sz w:val="16"/>
                <w:szCs w:val="18"/>
              </w:rPr>
              <w:t xml:space="preserve">Collection of additional characteristics – Waste </w:t>
            </w:r>
            <w:r>
              <w:rPr>
                <w:rFonts w:ascii="MetaNormalLF-Roman" w:hAnsi="MetaNormalLF-Roman"/>
                <w:color w:val="000000" w:themeColor="text1"/>
                <w:sz w:val="16"/>
                <w:szCs w:val="18"/>
              </w:rPr>
              <w:lastRenderedPageBreak/>
              <w:t>statistics – Federal Statistical Office</w:t>
            </w:r>
          </w:p>
        </w:tc>
        <w:tc>
          <w:tcPr>
            <w:tcW w:w="944" w:type="pct"/>
            <w:vAlign w:val="center"/>
          </w:tcPr>
          <w:p w:rsidR="00AD27DC" w:rsidRPr="00AE0058" w:rsidRDefault="00AD27DC" w:rsidP="00FB2F0D">
            <w:pPr>
              <w:jc w:val="right"/>
              <w:rPr>
                <w:color w:val="000000" w:themeColor="text1"/>
                <w:sz w:val="16"/>
                <w:szCs w:val="16"/>
              </w:rPr>
            </w:pPr>
            <w:r>
              <w:rPr>
                <w:color w:val="000000" w:themeColor="text1"/>
                <w:sz w:val="16"/>
                <w:szCs w:val="16"/>
              </w:rPr>
              <w:lastRenderedPageBreak/>
              <w:t>27</w:t>
            </w:r>
          </w:p>
        </w:tc>
        <w:tc>
          <w:tcPr>
            <w:tcW w:w="939" w:type="pct"/>
            <w:vAlign w:val="center"/>
          </w:tcPr>
          <w:p w:rsidR="00AD27DC" w:rsidRPr="00AE0058" w:rsidRDefault="00AD27DC" w:rsidP="00FB2F0D">
            <w:pPr>
              <w:jc w:val="right"/>
              <w:rPr>
                <w:color w:val="000000" w:themeColor="text1"/>
                <w:sz w:val="16"/>
                <w:szCs w:val="16"/>
              </w:rPr>
            </w:pPr>
            <w:r>
              <w:rPr>
                <w:color w:val="000000" w:themeColor="text1"/>
                <w:sz w:val="16"/>
                <w:szCs w:val="16"/>
              </w:rPr>
              <w:t>-</w:t>
            </w:r>
          </w:p>
        </w:tc>
        <w:tc>
          <w:tcPr>
            <w:tcW w:w="1171" w:type="pct"/>
            <w:tcBorders>
              <w:left w:val="single" w:sz="12" w:space="0" w:color="auto"/>
            </w:tcBorders>
            <w:vAlign w:val="center"/>
          </w:tcPr>
          <w:p w:rsidR="00AD27DC" w:rsidRPr="00AE0058" w:rsidRDefault="00AD27DC" w:rsidP="00FB2F0D">
            <w:pPr>
              <w:jc w:val="right"/>
              <w:rPr>
                <w:color w:val="000000" w:themeColor="text1"/>
                <w:sz w:val="16"/>
                <w:szCs w:val="16"/>
              </w:rPr>
            </w:pPr>
            <w:r>
              <w:rPr>
                <w:color w:val="000000" w:themeColor="text1"/>
                <w:sz w:val="16"/>
                <w:szCs w:val="16"/>
              </w:rPr>
              <w:t>27</w:t>
            </w:r>
          </w:p>
        </w:tc>
      </w:tr>
      <w:tr w:rsidR="00AD27DC" w:rsidRPr="00AE0058" w:rsidTr="006C07FA">
        <w:tc>
          <w:tcPr>
            <w:tcW w:w="293" w:type="pct"/>
            <w:vAlign w:val="center"/>
          </w:tcPr>
          <w:p w:rsidR="00AD27DC" w:rsidRPr="00AE0058" w:rsidRDefault="00AD27DC" w:rsidP="00FB2F0D">
            <w:pPr>
              <w:rPr>
                <w:rFonts w:eastAsia="Times New Roman" w:cs="Times New Roman"/>
                <w:color w:val="000000" w:themeColor="text1"/>
                <w:sz w:val="16"/>
                <w:szCs w:val="16"/>
              </w:rPr>
            </w:pPr>
            <w:r>
              <w:rPr>
                <w:color w:val="000000" w:themeColor="text1"/>
                <w:sz w:val="16"/>
                <w:szCs w:val="16"/>
              </w:rPr>
              <w:t>2</w:t>
            </w:r>
          </w:p>
        </w:tc>
        <w:tc>
          <w:tcPr>
            <w:tcW w:w="480" w:type="pct"/>
            <w:vAlign w:val="center"/>
          </w:tcPr>
          <w:p w:rsidR="00AD27DC" w:rsidRPr="00AE0058" w:rsidRDefault="00AD27DC" w:rsidP="00FB2F0D">
            <w:pPr>
              <w:rPr>
                <w:rFonts w:ascii="MetaNormalLF-Roman" w:hAnsi="MetaNormalLF-Roman" w:cs="Calibri"/>
                <w:color w:val="000000" w:themeColor="text1"/>
                <w:sz w:val="16"/>
                <w:szCs w:val="16"/>
              </w:rPr>
            </w:pPr>
            <w:r>
              <w:rPr>
                <w:color w:val="000000" w:themeColor="text1"/>
                <w:sz w:val="16"/>
                <w:szCs w:val="16"/>
              </w:rPr>
              <w:t>§ 5a UStatG in conjunction with 2(1)(4) UStatG</w:t>
            </w:r>
          </w:p>
        </w:tc>
        <w:tc>
          <w:tcPr>
            <w:tcW w:w="1173" w:type="pct"/>
            <w:vAlign w:val="center"/>
          </w:tcPr>
          <w:p w:rsidR="00AD27DC" w:rsidRPr="00AE0058" w:rsidRDefault="00AD27DC" w:rsidP="00FB2F0D">
            <w:pPr>
              <w:rPr>
                <w:rFonts w:ascii="MetaNormalLF-Roman" w:hAnsi="MetaNormalLF-Roman" w:cs="Calibri"/>
                <w:color w:val="000000" w:themeColor="text1"/>
                <w:sz w:val="16"/>
                <w:szCs w:val="18"/>
              </w:rPr>
            </w:pPr>
            <w:r>
              <w:rPr>
                <w:rFonts w:ascii="MetaNormalLF-Roman" w:hAnsi="MetaNormalLF-Roman"/>
                <w:color w:val="000000" w:themeColor="text1"/>
                <w:sz w:val="16"/>
                <w:szCs w:val="18"/>
              </w:rPr>
              <w:t>Survey on the placing on the market and disposal of certain products – Federal Statistical Office</w:t>
            </w:r>
          </w:p>
        </w:tc>
        <w:tc>
          <w:tcPr>
            <w:tcW w:w="944" w:type="pct"/>
            <w:vAlign w:val="center"/>
          </w:tcPr>
          <w:p w:rsidR="00AD27DC" w:rsidRPr="00AE0058" w:rsidRDefault="00AD27DC" w:rsidP="00FB2F0D">
            <w:pPr>
              <w:jc w:val="right"/>
              <w:rPr>
                <w:color w:val="000000" w:themeColor="text1"/>
                <w:sz w:val="16"/>
                <w:szCs w:val="16"/>
              </w:rPr>
            </w:pPr>
            <w:r>
              <w:rPr>
                <w:color w:val="000000" w:themeColor="text1"/>
                <w:sz w:val="16"/>
                <w:szCs w:val="16"/>
              </w:rPr>
              <w:t>200</w:t>
            </w:r>
          </w:p>
        </w:tc>
        <w:tc>
          <w:tcPr>
            <w:tcW w:w="939" w:type="pct"/>
            <w:vAlign w:val="center"/>
          </w:tcPr>
          <w:p w:rsidR="00AD27DC" w:rsidRPr="00AE0058" w:rsidRDefault="00AD27DC" w:rsidP="00FB2F0D">
            <w:pPr>
              <w:jc w:val="right"/>
              <w:rPr>
                <w:color w:val="000000" w:themeColor="text1"/>
                <w:sz w:val="16"/>
                <w:szCs w:val="16"/>
              </w:rPr>
            </w:pPr>
            <w:r>
              <w:rPr>
                <w:color w:val="000000" w:themeColor="text1"/>
                <w:sz w:val="16"/>
                <w:szCs w:val="16"/>
              </w:rPr>
              <w:t>-</w:t>
            </w:r>
          </w:p>
        </w:tc>
        <w:tc>
          <w:tcPr>
            <w:tcW w:w="1171" w:type="pct"/>
            <w:tcBorders>
              <w:left w:val="single" w:sz="12" w:space="0" w:color="auto"/>
            </w:tcBorders>
            <w:vAlign w:val="center"/>
          </w:tcPr>
          <w:p w:rsidR="00AD27DC" w:rsidRPr="00AE0058" w:rsidRDefault="00AD27DC" w:rsidP="00FB2F0D">
            <w:pPr>
              <w:jc w:val="right"/>
              <w:rPr>
                <w:color w:val="000000" w:themeColor="text1"/>
                <w:sz w:val="16"/>
                <w:szCs w:val="16"/>
              </w:rPr>
            </w:pPr>
            <w:r>
              <w:rPr>
                <w:color w:val="000000" w:themeColor="text1"/>
                <w:sz w:val="16"/>
                <w:szCs w:val="16"/>
              </w:rPr>
              <w:t>200</w:t>
            </w:r>
          </w:p>
        </w:tc>
      </w:tr>
      <w:tr w:rsidR="00AD27DC" w:rsidRPr="00AE0058" w:rsidTr="006C07FA">
        <w:tc>
          <w:tcPr>
            <w:tcW w:w="293" w:type="pct"/>
            <w:vAlign w:val="center"/>
          </w:tcPr>
          <w:p w:rsidR="00AD27DC" w:rsidRPr="00AE0058" w:rsidRDefault="00AD27DC" w:rsidP="00FB2F0D">
            <w:pPr>
              <w:rPr>
                <w:color w:val="000000" w:themeColor="text1"/>
                <w:sz w:val="16"/>
                <w:szCs w:val="16"/>
              </w:rPr>
            </w:pPr>
            <w:r>
              <w:rPr>
                <w:color w:val="000000" w:themeColor="text1"/>
                <w:sz w:val="16"/>
                <w:szCs w:val="16"/>
              </w:rPr>
              <w:t>4</w:t>
            </w:r>
          </w:p>
        </w:tc>
        <w:tc>
          <w:tcPr>
            <w:tcW w:w="480" w:type="pct"/>
            <w:vAlign w:val="center"/>
          </w:tcPr>
          <w:p w:rsidR="00AD27DC" w:rsidRPr="00AE0058" w:rsidRDefault="00AD27DC" w:rsidP="00FB2F0D">
            <w:pPr>
              <w:rPr>
                <w:rFonts w:ascii="MetaNormalLF-Roman" w:hAnsi="MetaNormalLF-Roman" w:cs="Calibri"/>
                <w:color w:val="000000" w:themeColor="text1"/>
                <w:sz w:val="16"/>
                <w:szCs w:val="16"/>
              </w:rPr>
            </w:pPr>
            <w:r>
              <w:rPr>
                <w:rFonts w:ascii="MetaNormalLF-Roman" w:hAnsi="MetaNormalLF-Roman"/>
                <w:color w:val="000000" w:themeColor="text1"/>
                <w:sz w:val="16"/>
                <w:szCs w:val="16"/>
              </w:rPr>
              <w:t>§ 7 UStatG</w:t>
            </w:r>
          </w:p>
        </w:tc>
        <w:tc>
          <w:tcPr>
            <w:tcW w:w="1173" w:type="pct"/>
            <w:vAlign w:val="center"/>
          </w:tcPr>
          <w:p w:rsidR="00AD27DC" w:rsidRPr="00AE0058" w:rsidRDefault="00AD27DC" w:rsidP="00FB2F0D">
            <w:pPr>
              <w:rPr>
                <w:rFonts w:ascii="MetaNormalLF-Roman" w:hAnsi="MetaNormalLF-Roman" w:cs="Calibri"/>
                <w:color w:val="000000" w:themeColor="text1"/>
                <w:sz w:val="16"/>
                <w:szCs w:val="18"/>
              </w:rPr>
            </w:pPr>
            <w:r>
              <w:rPr>
                <w:rFonts w:ascii="MetaNormalLF-Roman" w:hAnsi="MetaNormalLF-Roman"/>
                <w:color w:val="000000" w:themeColor="text1"/>
                <w:sz w:val="16"/>
                <w:szCs w:val="18"/>
              </w:rPr>
              <w:t>Survey of public water supply and public wastewater disposal (water supply, wastewater treatment, wastewater disposal, sewage sludge, private supply and disposal, water and wastewater charges) – Federal Statistical Office</w:t>
            </w:r>
          </w:p>
        </w:tc>
        <w:tc>
          <w:tcPr>
            <w:tcW w:w="944" w:type="pct"/>
            <w:vAlign w:val="center"/>
          </w:tcPr>
          <w:p w:rsidR="00AD27DC" w:rsidRPr="00AE0058" w:rsidRDefault="00BD2CCF" w:rsidP="00BD2CCF">
            <w:pPr>
              <w:jc w:val="right"/>
              <w:rPr>
                <w:color w:val="000000" w:themeColor="text1"/>
                <w:sz w:val="16"/>
                <w:szCs w:val="16"/>
              </w:rPr>
            </w:pPr>
            <w:r>
              <w:rPr>
                <w:color w:val="000000" w:themeColor="text1"/>
                <w:sz w:val="16"/>
                <w:szCs w:val="16"/>
              </w:rPr>
              <w:t>16</w:t>
            </w:r>
          </w:p>
        </w:tc>
        <w:tc>
          <w:tcPr>
            <w:tcW w:w="939" w:type="pct"/>
            <w:vAlign w:val="center"/>
          </w:tcPr>
          <w:p w:rsidR="00AD27DC" w:rsidRPr="00AE0058" w:rsidRDefault="00AD27DC" w:rsidP="00FB2F0D">
            <w:pPr>
              <w:jc w:val="right"/>
              <w:rPr>
                <w:color w:val="000000" w:themeColor="text1"/>
                <w:sz w:val="16"/>
                <w:szCs w:val="16"/>
              </w:rPr>
            </w:pPr>
            <w:r>
              <w:rPr>
                <w:color w:val="000000" w:themeColor="text1"/>
                <w:sz w:val="16"/>
                <w:szCs w:val="16"/>
              </w:rPr>
              <w:t>-</w:t>
            </w:r>
          </w:p>
        </w:tc>
        <w:tc>
          <w:tcPr>
            <w:tcW w:w="1171" w:type="pct"/>
            <w:tcBorders>
              <w:left w:val="single" w:sz="12" w:space="0" w:color="auto"/>
            </w:tcBorders>
            <w:vAlign w:val="center"/>
          </w:tcPr>
          <w:p w:rsidR="00AD27DC" w:rsidRPr="00AE0058" w:rsidRDefault="00BD2CCF" w:rsidP="00BD2CCF">
            <w:pPr>
              <w:jc w:val="right"/>
              <w:rPr>
                <w:color w:val="000000" w:themeColor="text1"/>
                <w:sz w:val="16"/>
                <w:szCs w:val="16"/>
              </w:rPr>
            </w:pPr>
            <w:r>
              <w:rPr>
                <w:color w:val="000000" w:themeColor="text1"/>
                <w:sz w:val="16"/>
                <w:szCs w:val="16"/>
              </w:rPr>
              <w:t>16</w:t>
            </w:r>
          </w:p>
        </w:tc>
      </w:tr>
      <w:tr w:rsidR="00AD27DC" w:rsidRPr="00AE0058" w:rsidTr="006C07FA">
        <w:tc>
          <w:tcPr>
            <w:tcW w:w="293" w:type="pct"/>
            <w:vAlign w:val="center"/>
          </w:tcPr>
          <w:p w:rsidR="00AD27DC" w:rsidRPr="00AE0058" w:rsidRDefault="00AD27DC" w:rsidP="00FB2F0D">
            <w:pPr>
              <w:rPr>
                <w:color w:val="000000" w:themeColor="text1"/>
                <w:sz w:val="16"/>
                <w:szCs w:val="16"/>
              </w:rPr>
            </w:pPr>
            <w:r>
              <w:rPr>
                <w:color w:val="000000" w:themeColor="text1"/>
                <w:sz w:val="16"/>
                <w:szCs w:val="16"/>
              </w:rPr>
              <w:t>5</w:t>
            </w:r>
          </w:p>
        </w:tc>
        <w:tc>
          <w:tcPr>
            <w:tcW w:w="480" w:type="pct"/>
            <w:vAlign w:val="center"/>
          </w:tcPr>
          <w:p w:rsidR="00AD27DC" w:rsidRPr="00AE0058" w:rsidRDefault="00AD27DC" w:rsidP="00FB2F0D">
            <w:pPr>
              <w:rPr>
                <w:rFonts w:ascii="MetaNormalLF-Roman" w:hAnsi="MetaNormalLF-Roman" w:cs="Calibri"/>
                <w:color w:val="000000" w:themeColor="text1"/>
                <w:sz w:val="16"/>
                <w:szCs w:val="16"/>
              </w:rPr>
            </w:pPr>
            <w:r>
              <w:rPr>
                <w:rFonts w:ascii="MetaNormalLF-Roman" w:hAnsi="MetaNormalLF-Roman"/>
                <w:color w:val="000000" w:themeColor="text1"/>
                <w:sz w:val="16"/>
                <w:szCs w:val="16"/>
              </w:rPr>
              <w:t>§ 8 UStatG</w:t>
            </w:r>
          </w:p>
        </w:tc>
        <w:tc>
          <w:tcPr>
            <w:tcW w:w="1173" w:type="pct"/>
            <w:vAlign w:val="center"/>
          </w:tcPr>
          <w:p w:rsidR="00AD27DC" w:rsidRPr="00AE0058" w:rsidRDefault="00AD27DC" w:rsidP="00FB2F0D">
            <w:pPr>
              <w:rPr>
                <w:rFonts w:ascii="MetaNormalLF-Roman" w:hAnsi="MetaNormalLF-Roman" w:cs="Calibri"/>
                <w:color w:val="000000" w:themeColor="text1"/>
                <w:sz w:val="16"/>
                <w:szCs w:val="18"/>
              </w:rPr>
            </w:pPr>
            <w:r>
              <w:rPr>
                <w:rFonts w:ascii="MetaNormalLF-Roman" w:hAnsi="MetaNormalLF-Roman"/>
                <w:color w:val="000000" w:themeColor="text1"/>
                <w:sz w:val="16"/>
                <w:szCs w:val="18"/>
              </w:rPr>
              <w:t>Survey of non-public water supply and non-public wastewater disposal (water supply, wastewater treatment, wastewater disposal, sewage sludge) – Federal Statistical Office</w:t>
            </w:r>
          </w:p>
        </w:tc>
        <w:tc>
          <w:tcPr>
            <w:tcW w:w="944" w:type="pct"/>
            <w:vAlign w:val="center"/>
          </w:tcPr>
          <w:p w:rsidR="00AD27DC" w:rsidRPr="00AE0058" w:rsidRDefault="00AD27DC" w:rsidP="00FB2F0D">
            <w:pPr>
              <w:jc w:val="right"/>
              <w:rPr>
                <w:color w:val="000000" w:themeColor="text1"/>
                <w:sz w:val="16"/>
                <w:szCs w:val="16"/>
              </w:rPr>
            </w:pPr>
            <w:r>
              <w:rPr>
                <w:color w:val="000000" w:themeColor="text1"/>
                <w:sz w:val="16"/>
                <w:szCs w:val="16"/>
              </w:rPr>
              <w:t>11</w:t>
            </w:r>
          </w:p>
        </w:tc>
        <w:tc>
          <w:tcPr>
            <w:tcW w:w="939" w:type="pct"/>
            <w:vAlign w:val="center"/>
          </w:tcPr>
          <w:p w:rsidR="00AD27DC" w:rsidRPr="00AE0058" w:rsidRDefault="00AD27DC" w:rsidP="00FB2F0D">
            <w:pPr>
              <w:jc w:val="right"/>
              <w:rPr>
                <w:color w:val="000000" w:themeColor="text1"/>
                <w:sz w:val="16"/>
                <w:szCs w:val="16"/>
              </w:rPr>
            </w:pPr>
            <w:r>
              <w:rPr>
                <w:color w:val="000000" w:themeColor="text1"/>
                <w:sz w:val="16"/>
                <w:szCs w:val="16"/>
              </w:rPr>
              <w:t>-</w:t>
            </w:r>
          </w:p>
        </w:tc>
        <w:tc>
          <w:tcPr>
            <w:tcW w:w="1171" w:type="pct"/>
            <w:tcBorders>
              <w:left w:val="single" w:sz="12" w:space="0" w:color="auto"/>
            </w:tcBorders>
            <w:vAlign w:val="center"/>
          </w:tcPr>
          <w:p w:rsidR="00AD27DC" w:rsidRPr="00AE0058" w:rsidRDefault="00AD27DC" w:rsidP="00FB2F0D">
            <w:pPr>
              <w:jc w:val="right"/>
              <w:rPr>
                <w:color w:val="000000" w:themeColor="text1"/>
                <w:sz w:val="16"/>
                <w:szCs w:val="16"/>
              </w:rPr>
            </w:pPr>
            <w:r>
              <w:rPr>
                <w:color w:val="000000" w:themeColor="text1"/>
                <w:sz w:val="16"/>
                <w:szCs w:val="16"/>
              </w:rPr>
              <w:t>11</w:t>
            </w:r>
          </w:p>
        </w:tc>
      </w:tr>
      <w:tr w:rsidR="00BF23C2" w:rsidRPr="00AE0058" w:rsidTr="006C07FA">
        <w:tc>
          <w:tcPr>
            <w:tcW w:w="293" w:type="pct"/>
            <w:vAlign w:val="center"/>
          </w:tcPr>
          <w:p w:rsidR="00BF23C2" w:rsidRPr="00AE0058" w:rsidRDefault="00BF23C2" w:rsidP="00BF23C2">
            <w:pPr>
              <w:rPr>
                <w:rFonts w:eastAsia="Times New Roman" w:cs="Times New Roman"/>
                <w:color w:val="000000" w:themeColor="text1"/>
                <w:sz w:val="16"/>
                <w:szCs w:val="16"/>
              </w:rPr>
            </w:pPr>
            <w:r>
              <w:rPr>
                <w:color w:val="000000" w:themeColor="text1"/>
                <w:sz w:val="16"/>
                <w:szCs w:val="16"/>
              </w:rPr>
              <w:t>6</w:t>
            </w:r>
          </w:p>
        </w:tc>
        <w:tc>
          <w:tcPr>
            <w:tcW w:w="480" w:type="pct"/>
            <w:vAlign w:val="center"/>
          </w:tcPr>
          <w:p w:rsidR="00BF23C2" w:rsidRPr="00AE0058" w:rsidRDefault="00BF23C2" w:rsidP="00BF23C2">
            <w:pPr>
              <w:rPr>
                <w:rFonts w:ascii="MetaNormalLF-Roman" w:hAnsi="MetaNormalLF-Roman" w:cs="Calibri"/>
                <w:color w:val="000000" w:themeColor="text1"/>
                <w:sz w:val="16"/>
                <w:szCs w:val="16"/>
              </w:rPr>
            </w:pPr>
            <w:r>
              <w:rPr>
                <w:rFonts w:ascii="MetaNormalLF-Roman" w:hAnsi="MetaNormalLF-Roman"/>
                <w:color w:val="000000" w:themeColor="text1"/>
                <w:sz w:val="16"/>
                <w:szCs w:val="16"/>
              </w:rPr>
              <w:t>§ 10 UStatG</w:t>
            </w:r>
          </w:p>
        </w:tc>
        <w:tc>
          <w:tcPr>
            <w:tcW w:w="1173" w:type="pct"/>
            <w:vAlign w:val="center"/>
          </w:tcPr>
          <w:p w:rsidR="00BF23C2" w:rsidRPr="00AE0058" w:rsidRDefault="00BF23C2" w:rsidP="00BF23C2">
            <w:pPr>
              <w:rPr>
                <w:rFonts w:ascii="MetaNormalLF-Roman" w:hAnsi="MetaNormalLF-Roman" w:cs="Calibri"/>
                <w:color w:val="000000" w:themeColor="text1"/>
                <w:sz w:val="16"/>
                <w:szCs w:val="18"/>
              </w:rPr>
            </w:pPr>
            <w:r>
              <w:rPr>
                <w:rFonts w:ascii="MetaNormalLF-Roman" w:hAnsi="MetaNormalLF-Roman"/>
                <w:color w:val="000000" w:themeColor="text1"/>
                <w:sz w:val="16"/>
                <w:szCs w:val="18"/>
              </w:rPr>
              <w:t>Survey of certain climate-relevant substances – Federal Statistical Office</w:t>
            </w:r>
          </w:p>
        </w:tc>
        <w:tc>
          <w:tcPr>
            <w:tcW w:w="944" w:type="pct"/>
            <w:vAlign w:val="center"/>
          </w:tcPr>
          <w:p w:rsidR="00BF23C2" w:rsidRPr="00AE0058" w:rsidRDefault="00BF23C2" w:rsidP="00BF23C2">
            <w:pPr>
              <w:jc w:val="right"/>
              <w:rPr>
                <w:color w:val="000000" w:themeColor="text1"/>
                <w:sz w:val="16"/>
                <w:szCs w:val="16"/>
              </w:rPr>
            </w:pPr>
            <w:r>
              <w:rPr>
                <w:color w:val="000000" w:themeColor="text1"/>
                <w:sz w:val="16"/>
                <w:szCs w:val="16"/>
              </w:rPr>
              <w:t>21</w:t>
            </w:r>
          </w:p>
        </w:tc>
        <w:tc>
          <w:tcPr>
            <w:tcW w:w="939" w:type="pct"/>
            <w:vAlign w:val="center"/>
          </w:tcPr>
          <w:p w:rsidR="00BF23C2" w:rsidRPr="00AE0058" w:rsidRDefault="00BF23C2" w:rsidP="00BF23C2">
            <w:pPr>
              <w:jc w:val="right"/>
              <w:rPr>
                <w:color w:val="000000" w:themeColor="text1"/>
                <w:sz w:val="16"/>
                <w:szCs w:val="16"/>
              </w:rPr>
            </w:pPr>
            <w:r>
              <w:rPr>
                <w:color w:val="000000" w:themeColor="text1"/>
                <w:sz w:val="16"/>
                <w:szCs w:val="16"/>
              </w:rPr>
              <w:t>-</w:t>
            </w:r>
          </w:p>
        </w:tc>
        <w:tc>
          <w:tcPr>
            <w:tcW w:w="1171" w:type="pct"/>
            <w:tcBorders>
              <w:left w:val="single" w:sz="12" w:space="0" w:color="auto"/>
            </w:tcBorders>
            <w:vAlign w:val="center"/>
          </w:tcPr>
          <w:p w:rsidR="00BF23C2" w:rsidRPr="00AE0058" w:rsidRDefault="00BF23C2" w:rsidP="00BF23C2">
            <w:pPr>
              <w:jc w:val="right"/>
              <w:rPr>
                <w:color w:val="000000" w:themeColor="text1"/>
                <w:sz w:val="16"/>
                <w:szCs w:val="16"/>
              </w:rPr>
            </w:pPr>
            <w:r>
              <w:rPr>
                <w:color w:val="000000" w:themeColor="text1"/>
                <w:sz w:val="16"/>
                <w:szCs w:val="16"/>
              </w:rPr>
              <w:t>21</w:t>
            </w:r>
          </w:p>
        </w:tc>
      </w:tr>
      <w:tr w:rsidR="00AD27DC" w:rsidRPr="00AE0058" w:rsidTr="006C07FA">
        <w:tc>
          <w:tcPr>
            <w:tcW w:w="293" w:type="pct"/>
            <w:vAlign w:val="center"/>
          </w:tcPr>
          <w:p w:rsidR="00AD27DC" w:rsidRPr="00AE0058" w:rsidRDefault="00BF23C2" w:rsidP="00FB2F0D">
            <w:pPr>
              <w:rPr>
                <w:rFonts w:eastAsia="Times New Roman" w:cs="Times New Roman"/>
                <w:color w:val="000000" w:themeColor="text1"/>
                <w:sz w:val="16"/>
                <w:szCs w:val="16"/>
              </w:rPr>
            </w:pPr>
            <w:r>
              <w:rPr>
                <w:color w:val="000000" w:themeColor="text1"/>
                <w:sz w:val="16"/>
                <w:szCs w:val="16"/>
              </w:rPr>
              <w:t>8</w:t>
            </w:r>
          </w:p>
        </w:tc>
        <w:tc>
          <w:tcPr>
            <w:tcW w:w="480" w:type="pct"/>
            <w:vAlign w:val="center"/>
          </w:tcPr>
          <w:p w:rsidR="00AD27DC" w:rsidRPr="00AE0058" w:rsidRDefault="00AD27DC" w:rsidP="009E13D4">
            <w:pPr>
              <w:rPr>
                <w:rFonts w:ascii="MetaNormalLF-Roman" w:hAnsi="MetaNormalLF-Roman" w:cs="Calibri"/>
                <w:color w:val="000000" w:themeColor="text1"/>
                <w:sz w:val="16"/>
                <w:szCs w:val="16"/>
              </w:rPr>
            </w:pPr>
            <w:r>
              <w:rPr>
                <w:rFonts w:ascii="MetaNormalLF-Roman" w:hAnsi="MetaNormalLF-Roman"/>
                <w:color w:val="000000" w:themeColor="text1"/>
                <w:sz w:val="16"/>
                <w:szCs w:val="16"/>
              </w:rPr>
              <w:t>§ 4b(11) sentence 1(2) and sentence 2 UStatG</w:t>
            </w:r>
          </w:p>
        </w:tc>
        <w:tc>
          <w:tcPr>
            <w:tcW w:w="1173" w:type="pct"/>
            <w:vAlign w:val="center"/>
          </w:tcPr>
          <w:p w:rsidR="00AD27DC" w:rsidRPr="00AE0058" w:rsidRDefault="00AD27DC" w:rsidP="00FB2F0D">
            <w:pPr>
              <w:rPr>
                <w:rFonts w:ascii="MetaNormalLF-Roman" w:hAnsi="MetaNormalLF-Roman" w:cs="Calibri"/>
                <w:color w:val="000000" w:themeColor="text1"/>
                <w:sz w:val="16"/>
                <w:szCs w:val="18"/>
              </w:rPr>
            </w:pPr>
            <w:r>
              <w:rPr>
                <w:rFonts w:ascii="MetaNormalLF-Roman" w:hAnsi="MetaNormalLF-Roman"/>
                <w:color w:val="000000" w:themeColor="text1"/>
                <w:sz w:val="16"/>
                <w:szCs w:val="18"/>
              </w:rPr>
              <w:t>Survey of current costs for environmental protection – Federal Statistical Office</w:t>
            </w:r>
          </w:p>
        </w:tc>
        <w:tc>
          <w:tcPr>
            <w:tcW w:w="944" w:type="pct"/>
            <w:vAlign w:val="center"/>
          </w:tcPr>
          <w:p w:rsidR="00AD27DC" w:rsidRPr="00AE0058" w:rsidRDefault="00AD27DC" w:rsidP="00FB2F0D">
            <w:pPr>
              <w:jc w:val="right"/>
              <w:rPr>
                <w:color w:val="000000" w:themeColor="text1"/>
                <w:sz w:val="16"/>
                <w:szCs w:val="16"/>
              </w:rPr>
            </w:pPr>
            <w:r>
              <w:rPr>
                <w:color w:val="000000" w:themeColor="text1"/>
                <w:sz w:val="16"/>
                <w:szCs w:val="16"/>
              </w:rPr>
              <w:t>28</w:t>
            </w:r>
          </w:p>
        </w:tc>
        <w:tc>
          <w:tcPr>
            <w:tcW w:w="939" w:type="pct"/>
            <w:vAlign w:val="center"/>
          </w:tcPr>
          <w:p w:rsidR="00AD27DC" w:rsidRPr="00AE0058" w:rsidRDefault="00AD27DC" w:rsidP="00FB2F0D">
            <w:pPr>
              <w:jc w:val="right"/>
              <w:rPr>
                <w:color w:val="000000" w:themeColor="text1"/>
                <w:sz w:val="16"/>
                <w:szCs w:val="16"/>
              </w:rPr>
            </w:pPr>
            <w:r>
              <w:rPr>
                <w:color w:val="000000" w:themeColor="text1"/>
                <w:sz w:val="16"/>
                <w:szCs w:val="16"/>
              </w:rPr>
              <w:t>31</w:t>
            </w:r>
          </w:p>
        </w:tc>
        <w:tc>
          <w:tcPr>
            <w:tcW w:w="1171" w:type="pct"/>
            <w:tcBorders>
              <w:left w:val="single" w:sz="12" w:space="0" w:color="auto"/>
            </w:tcBorders>
            <w:vAlign w:val="center"/>
          </w:tcPr>
          <w:p w:rsidR="00AD27DC" w:rsidRPr="00AE0058" w:rsidRDefault="00AD27DC" w:rsidP="00FB2F0D">
            <w:pPr>
              <w:jc w:val="right"/>
              <w:rPr>
                <w:color w:val="000000" w:themeColor="text1"/>
                <w:sz w:val="16"/>
                <w:szCs w:val="16"/>
              </w:rPr>
            </w:pPr>
            <w:r>
              <w:rPr>
                <w:color w:val="000000" w:themeColor="text1"/>
                <w:sz w:val="16"/>
                <w:szCs w:val="16"/>
              </w:rPr>
              <w:t>59</w:t>
            </w:r>
          </w:p>
        </w:tc>
      </w:tr>
      <w:tr w:rsidR="00AD27DC" w:rsidRPr="00AE0058" w:rsidTr="006C07FA">
        <w:tc>
          <w:tcPr>
            <w:tcW w:w="293" w:type="pct"/>
            <w:vAlign w:val="center"/>
          </w:tcPr>
          <w:p w:rsidR="00AD27DC" w:rsidRPr="00AE0058" w:rsidRDefault="00BF23C2" w:rsidP="00FB2F0D">
            <w:pPr>
              <w:rPr>
                <w:rFonts w:eastAsia="Times New Roman" w:cs="Times New Roman"/>
                <w:color w:val="000000" w:themeColor="text1"/>
                <w:sz w:val="16"/>
                <w:szCs w:val="16"/>
              </w:rPr>
            </w:pPr>
            <w:r>
              <w:rPr>
                <w:color w:val="000000" w:themeColor="text1"/>
                <w:sz w:val="16"/>
                <w:szCs w:val="16"/>
              </w:rPr>
              <w:t>9</w:t>
            </w:r>
          </w:p>
        </w:tc>
        <w:tc>
          <w:tcPr>
            <w:tcW w:w="480" w:type="pct"/>
            <w:vAlign w:val="center"/>
          </w:tcPr>
          <w:p w:rsidR="00AD27DC" w:rsidRPr="00AE0058" w:rsidRDefault="00AD27DC" w:rsidP="00FB2F0D">
            <w:pPr>
              <w:rPr>
                <w:rFonts w:ascii="MetaNormalLF-Roman" w:hAnsi="MetaNormalLF-Roman" w:cs="Calibri"/>
                <w:color w:val="000000" w:themeColor="text1"/>
                <w:sz w:val="16"/>
                <w:szCs w:val="16"/>
              </w:rPr>
            </w:pPr>
            <w:r>
              <w:rPr>
                <w:rFonts w:ascii="MetaNormalLF-Roman" w:hAnsi="MetaNormalLF-Roman"/>
                <w:color w:val="000000" w:themeColor="text1"/>
                <w:sz w:val="16"/>
                <w:szCs w:val="16"/>
              </w:rPr>
              <w:t>§ 12(2)(4) and § 12(1)(2) UStatG</w:t>
            </w:r>
          </w:p>
        </w:tc>
        <w:tc>
          <w:tcPr>
            <w:tcW w:w="1173" w:type="pct"/>
            <w:vAlign w:val="center"/>
          </w:tcPr>
          <w:p w:rsidR="00AD27DC" w:rsidRPr="00AE0058" w:rsidRDefault="00AD27DC" w:rsidP="00FB2F0D">
            <w:pPr>
              <w:rPr>
                <w:rFonts w:ascii="MetaNormalLF-Roman" w:hAnsi="MetaNormalLF-Roman" w:cs="Calibri"/>
                <w:color w:val="000000" w:themeColor="text1"/>
                <w:sz w:val="16"/>
                <w:szCs w:val="18"/>
              </w:rPr>
            </w:pPr>
            <w:r>
              <w:rPr>
                <w:rFonts w:ascii="MetaNormalLF-Roman" w:hAnsi="MetaNormalLF-Roman"/>
                <w:color w:val="000000" w:themeColor="text1"/>
                <w:sz w:val="16"/>
                <w:szCs w:val="18"/>
              </w:rPr>
              <w:t>Survey of goods, works and services for environmental protection – Federal Statistical Office</w:t>
            </w:r>
          </w:p>
        </w:tc>
        <w:tc>
          <w:tcPr>
            <w:tcW w:w="944" w:type="pct"/>
            <w:vAlign w:val="center"/>
          </w:tcPr>
          <w:p w:rsidR="00AD27DC" w:rsidRPr="00AE0058" w:rsidRDefault="00AD27DC" w:rsidP="00FB2F0D">
            <w:pPr>
              <w:jc w:val="right"/>
              <w:rPr>
                <w:color w:val="000000" w:themeColor="text1"/>
                <w:sz w:val="16"/>
                <w:szCs w:val="16"/>
              </w:rPr>
            </w:pPr>
            <w:r>
              <w:rPr>
                <w:color w:val="000000" w:themeColor="text1"/>
                <w:sz w:val="16"/>
                <w:szCs w:val="16"/>
              </w:rPr>
              <w:t>8</w:t>
            </w:r>
          </w:p>
        </w:tc>
        <w:tc>
          <w:tcPr>
            <w:tcW w:w="939" w:type="pct"/>
            <w:vAlign w:val="center"/>
          </w:tcPr>
          <w:p w:rsidR="00AD27DC" w:rsidRPr="00AE0058" w:rsidRDefault="00AD27DC" w:rsidP="00FB2F0D">
            <w:pPr>
              <w:jc w:val="right"/>
              <w:rPr>
                <w:color w:val="000000" w:themeColor="text1"/>
                <w:sz w:val="16"/>
                <w:szCs w:val="16"/>
              </w:rPr>
            </w:pPr>
            <w:r>
              <w:rPr>
                <w:color w:val="000000" w:themeColor="text1"/>
                <w:sz w:val="16"/>
                <w:szCs w:val="16"/>
              </w:rPr>
              <w:t>8</w:t>
            </w:r>
          </w:p>
        </w:tc>
        <w:tc>
          <w:tcPr>
            <w:tcW w:w="1171" w:type="pct"/>
            <w:tcBorders>
              <w:left w:val="single" w:sz="12" w:space="0" w:color="auto"/>
            </w:tcBorders>
            <w:vAlign w:val="center"/>
          </w:tcPr>
          <w:p w:rsidR="00AD27DC" w:rsidRPr="00AE0058" w:rsidRDefault="00AD27DC" w:rsidP="00FB2F0D">
            <w:pPr>
              <w:jc w:val="right"/>
              <w:rPr>
                <w:color w:val="000000" w:themeColor="text1"/>
                <w:sz w:val="16"/>
                <w:szCs w:val="16"/>
              </w:rPr>
            </w:pPr>
            <w:r>
              <w:rPr>
                <w:color w:val="000000" w:themeColor="text1"/>
                <w:sz w:val="16"/>
                <w:szCs w:val="16"/>
              </w:rPr>
              <w:t>15</w:t>
            </w:r>
          </w:p>
        </w:tc>
      </w:tr>
      <w:tr w:rsidR="00AD27DC" w:rsidRPr="00AE0058" w:rsidTr="006C07FA">
        <w:tc>
          <w:tcPr>
            <w:tcW w:w="293" w:type="pct"/>
            <w:vAlign w:val="center"/>
          </w:tcPr>
          <w:p w:rsidR="00AD27DC" w:rsidRPr="00AE0058" w:rsidRDefault="00BF23C2" w:rsidP="00FB2F0D">
            <w:pPr>
              <w:rPr>
                <w:color w:val="000000" w:themeColor="text1"/>
                <w:sz w:val="16"/>
                <w:szCs w:val="16"/>
              </w:rPr>
            </w:pPr>
            <w:r>
              <w:rPr>
                <w:color w:val="000000" w:themeColor="text1"/>
                <w:sz w:val="16"/>
                <w:szCs w:val="16"/>
              </w:rPr>
              <w:t>10</w:t>
            </w:r>
          </w:p>
        </w:tc>
        <w:tc>
          <w:tcPr>
            <w:tcW w:w="480" w:type="pct"/>
            <w:vAlign w:val="center"/>
          </w:tcPr>
          <w:p w:rsidR="00AD27DC" w:rsidRPr="00AE0058" w:rsidRDefault="00AD27DC" w:rsidP="00FB2F0D">
            <w:pPr>
              <w:rPr>
                <w:rFonts w:ascii="MetaNormalLF-Roman" w:hAnsi="MetaNormalLF-Roman" w:cs="Calibri"/>
                <w:color w:val="000000" w:themeColor="text1"/>
                <w:sz w:val="16"/>
                <w:szCs w:val="16"/>
              </w:rPr>
            </w:pPr>
            <w:r>
              <w:rPr>
                <w:rFonts w:ascii="MetaNormalLF-Roman" w:hAnsi="MetaNormalLF-Roman"/>
                <w:color w:val="000000" w:themeColor="text1"/>
                <w:sz w:val="16"/>
                <w:szCs w:val="16"/>
              </w:rPr>
              <w:t>§ 14 UStatG</w:t>
            </w:r>
          </w:p>
        </w:tc>
        <w:tc>
          <w:tcPr>
            <w:tcW w:w="1173" w:type="pct"/>
            <w:vAlign w:val="center"/>
          </w:tcPr>
          <w:p w:rsidR="00AD27DC" w:rsidRPr="00AE0058" w:rsidRDefault="00AD27DC" w:rsidP="00FB2F0D">
            <w:pPr>
              <w:rPr>
                <w:rFonts w:ascii="MetaNormalLF-Roman" w:hAnsi="MetaNormalLF-Roman" w:cs="Calibri"/>
                <w:color w:val="000000" w:themeColor="text1"/>
                <w:sz w:val="16"/>
                <w:szCs w:val="18"/>
              </w:rPr>
            </w:pPr>
            <w:r>
              <w:rPr>
                <w:rFonts w:ascii="MetaNormalLF-Roman" w:hAnsi="MetaNormalLF-Roman"/>
                <w:color w:val="000000" w:themeColor="text1"/>
                <w:sz w:val="16"/>
                <w:szCs w:val="18"/>
              </w:rPr>
              <w:t>Obligation to provide information – Federal Statistical Office</w:t>
            </w:r>
          </w:p>
        </w:tc>
        <w:tc>
          <w:tcPr>
            <w:tcW w:w="944" w:type="pct"/>
            <w:vAlign w:val="center"/>
          </w:tcPr>
          <w:p w:rsidR="00AD27DC" w:rsidRPr="00AE0058" w:rsidRDefault="00AD27DC" w:rsidP="00FB2F0D">
            <w:pPr>
              <w:jc w:val="right"/>
              <w:rPr>
                <w:color w:val="000000" w:themeColor="text1"/>
                <w:sz w:val="16"/>
                <w:szCs w:val="16"/>
              </w:rPr>
            </w:pPr>
            <w:r>
              <w:rPr>
                <w:color w:val="000000" w:themeColor="text1"/>
                <w:sz w:val="16"/>
                <w:szCs w:val="16"/>
              </w:rPr>
              <w:t>3</w:t>
            </w:r>
          </w:p>
        </w:tc>
        <w:tc>
          <w:tcPr>
            <w:tcW w:w="939" w:type="pct"/>
            <w:vAlign w:val="center"/>
          </w:tcPr>
          <w:p w:rsidR="00AD27DC" w:rsidRPr="00AE0058" w:rsidRDefault="00AD27DC" w:rsidP="00FB2F0D">
            <w:pPr>
              <w:jc w:val="right"/>
              <w:rPr>
                <w:color w:val="000000" w:themeColor="text1"/>
                <w:sz w:val="16"/>
                <w:szCs w:val="16"/>
              </w:rPr>
            </w:pPr>
            <w:r>
              <w:rPr>
                <w:color w:val="000000" w:themeColor="text1"/>
                <w:sz w:val="16"/>
                <w:szCs w:val="16"/>
              </w:rPr>
              <w:t>-</w:t>
            </w:r>
          </w:p>
        </w:tc>
        <w:tc>
          <w:tcPr>
            <w:tcW w:w="1171" w:type="pct"/>
            <w:tcBorders>
              <w:left w:val="single" w:sz="12" w:space="0" w:color="auto"/>
            </w:tcBorders>
            <w:vAlign w:val="center"/>
          </w:tcPr>
          <w:p w:rsidR="00AD27DC" w:rsidRPr="00AE0058" w:rsidRDefault="00AD27DC" w:rsidP="00FB2F0D">
            <w:pPr>
              <w:jc w:val="right"/>
              <w:rPr>
                <w:color w:val="000000" w:themeColor="text1"/>
                <w:sz w:val="16"/>
                <w:szCs w:val="16"/>
              </w:rPr>
            </w:pPr>
            <w:r>
              <w:rPr>
                <w:color w:val="000000" w:themeColor="text1"/>
                <w:sz w:val="16"/>
                <w:szCs w:val="16"/>
              </w:rPr>
              <w:t>3</w:t>
            </w:r>
          </w:p>
        </w:tc>
      </w:tr>
      <w:tr w:rsidR="00AD27DC" w:rsidRPr="00AE0058" w:rsidTr="006C07FA">
        <w:tc>
          <w:tcPr>
            <w:tcW w:w="293" w:type="pct"/>
            <w:vAlign w:val="center"/>
          </w:tcPr>
          <w:p w:rsidR="00AD27DC" w:rsidRPr="00AE0058" w:rsidRDefault="00BF23C2" w:rsidP="00BF23C2">
            <w:pPr>
              <w:rPr>
                <w:color w:val="000000" w:themeColor="text1"/>
                <w:sz w:val="16"/>
                <w:szCs w:val="16"/>
              </w:rPr>
            </w:pPr>
            <w:r>
              <w:rPr>
                <w:color w:val="000000" w:themeColor="text1"/>
                <w:sz w:val="16"/>
                <w:szCs w:val="16"/>
              </w:rPr>
              <w:t>11</w:t>
            </w:r>
          </w:p>
        </w:tc>
        <w:tc>
          <w:tcPr>
            <w:tcW w:w="480" w:type="pct"/>
            <w:vAlign w:val="center"/>
          </w:tcPr>
          <w:p w:rsidR="00AD27DC" w:rsidRPr="00AE0058" w:rsidRDefault="00AD27DC" w:rsidP="00FB2F0D">
            <w:pPr>
              <w:rPr>
                <w:rFonts w:ascii="MetaNormalLF-Roman" w:hAnsi="MetaNormalLF-Roman" w:cs="Calibri"/>
                <w:color w:val="000000" w:themeColor="text1"/>
                <w:sz w:val="16"/>
                <w:szCs w:val="16"/>
              </w:rPr>
            </w:pPr>
            <w:r>
              <w:rPr>
                <w:rFonts w:ascii="MetaNormalLF-Roman" w:hAnsi="MetaNormalLF-Roman"/>
                <w:color w:val="000000" w:themeColor="text1"/>
                <w:sz w:val="16"/>
                <w:szCs w:val="16"/>
              </w:rPr>
              <w:t>§ 15 UStatG</w:t>
            </w:r>
          </w:p>
        </w:tc>
        <w:tc>
          <w:tcPr>
            <w:tcW w:w="1173" w:type="pct"/>
            <w:vAlign w:val="center"/>
          </w:tcPr>
          <w:p w:rsidR="00AD27DC" w:rsidRPr="00AE0058" w:rsidRDefault="00AD27DC" w:rsidP="00FB2F0D">
            <w:pPr>
              <w:rPr>
                <w:rFonts w:ascii="MetaNormalLF-Roman" w:hAnsi="MetaNormalLF-Roman" w:cs="Calibri"/>
                <w:color w:val="000000" w:themeColor="text1"/>
                <w:sz w:val="16"/>
                <w:szCs w:val="18"/>
              </w:rPr>
            </w:pPr>
            <w:r>
              <w:rPr>
                <w:rFonts w:ascii="MetaNormalLF-Roman" w:hAnsi="MetaNormalLF-Roman"/>
                <w:color w:val="000000" w:themeColor="text1"/>
                <w:sz w:val="16"/>
                <w:szCs w:val="18"/>
              </w:rPr>
              <w:t>Address transfer – Federal Statistical Office</w:t>
            </w:r>
          </w:p>
        </w:tc>
        <w:tc>
          <w:tcPr>
            <w:tcW w:w="944" w:type="pct"/>
            <w:vAlign w:val="center"/>
          </w:tcPr>
          <w:p w:rsidR="00AD27DC" w:rsidRPr="00AE0058" w:rsidRDefault="00AD27DC" w:rsidP="00FB2F0D">
            <w:pPr>
              <w:jc w:val="right"/>
              <w:rPr>
                <w:color w:val="000000" w:themeColor="text1"/>
                <w:sz w:val="16"/>
                <w:szCs w:val="16"/>
              </w:rPr>
            </w:pPr>
            <w:r>
              <w:rPr>
                <w:color w:val="000000" w:themeColor="text1"/>
                <w:sz w:val="16"/>
                <w:szCs w:val="16"/>
              </w:rPr>
              <w:t>3</w:t>
            </w:r>
          </w:p>
        </w:tc>
        <w:tc>
          <w:tcPr>
            <w:tcW w:w="939" w:type="pct"/>
            <w:vAlign w:val="center"/>
          </w:tcPr>
          <w:p w:rsidR="00AD27DC" w:rsidRPr="00AE0058" w:rsidRDefault="00AD27DC" w:rsidP="00FB2F0D">
            <w:pPr>
              <w:jc w:val="right"/>
              <w:rPr>
                <w:color w:val="000000" w:themeColor="text1"/>
                <w:sz w:val="16"/>
                <w:szCs w:val="16"/>
              </w:rPr>
            </w:pPr>
            <w:r>
              <w:rPr>
                <w:color w:val="000000" w:themeColor="text1"/>
                <w:sz w:val="16"/>
                <w:szCs w:val="16"/>
              </w:rPr>
              <w:t>-</w:t>
            </w:r>
          </w:p>
        </w:tc>
        <w:tc>
          <w:tcPr>
            <w:tcW w:w="1171" w:type="pct"/>
            <w:tcBorders>
              <w:left w:val="single" w:sz="12" w:space="0" w:color="auto"/>
            </w:tcBorders>
            <w:vAlign w:val="center"/>
          </w:tcPr>
          <w:p w:rsidR="00AD27DC" w:rsidRPr="00AE0058" w:rsidRDefault="00AD27DC" w:rsidP="00FB2F0D">
            <w:pPr>
              <w:jc w:val="right"/>
              <w:rPr>
                <w:color w:val="000000" w:themeColor="text1"/>
                <w:sz w:val="16"/>
                <w:szCs w:val="16"/>
              </w:rPr>
            </w:pPr>
            <w:r>
              <w:rPr>
                <w:color w:val="000000" w:themeColor="text1"/>
                <w:sz w:val="16"/>
                <w:szCs w:val="16"/>
              </w:rPr>
              <w:t>3</w:t>
            </w:r>
          </w:p>
        </w:tc>
      </w:tr>
      <w:tr w:rsidR="00AD27DC" w:rsidRPr="00AE0058" w:rsidTr="006C07FA">
        <w:tc>
          <w:tcPr>
            <w:tcW w:w="1946" w:type="pct"/>
            <w:gridSpan w:val="3"/>
            <w:shd w:val="clear" w:color="auto" w:fill="D9D9D9" w:themeFill="background1" w:themeFillShade="D9"/>
            <w:vAlign w:val="center"/>
          </w:tcPr>
          <w:p w:rsidR="00AD27DC" w:rsidRPr="00AE0058" w:rsidRDefault="00AD27DC" w:rsidP="00FB2F0D">
            <w:pPr>
              <w:rPr>
                <w:b/>
                <w:color w:val="000000" w:themeColor="text1"/>
                <w:sz w:val="16"/>
                <w:szCs w:val="16"/>
              </w:rPr>
            </w:pPr>
            <w:r>
              <w:rPr>
                <w:b/>
                <w:color w:val="000000" w:themeColor="text1"/>
                <w:sz w:val="16"/>
                <w:szCs w:val="16"/>
              </w:rPr>
              <w:t>Total</w:t>
            </w:r>
          </w:p>
        </w:tc>
        <w:tc>
          <w:tcPr>
            <w:tcW w:w="944" w:type="pct"/>
            <w:shd w:val="clear" w:color="auto" w:fill="D9D9D9" w:themeFill="background1" w:themeFillShade="D9"/>
            <w:vAlign w:val="center"/>
          </w:tcPr>
          <w:p w:rsidR="00AD27DC" w:rsidRPr="00AE0058" w:rsidRDefault="00BF23C2" w:rsidP="00FB2F0D">
            <w:pPr>
              <w:jc w:val="right"/>
              <w:rPr>
                <w:b/>
                <w:bCs/>
                <w:color w:val="000000" w:themeColor="text1"/>
                <w:sz w:val="16"/>
                <w:szCs w:val="16"/>
              </w:rPr>
            </w:pPr>
            <w:r>
              <w:rPr>
                <w:b/>
                <w:bCs/>
                <w:color w:val="000000" w:themeColor="text1"/>
                <w:sz w:val="16"/>
                <w:szCs w:val="16"/>
              </w:rPr>
              <w:t>318</w:t>
            </w:r>
          </w:p>
        </w:tc>
        <w:tc>
          <w:tcPr>
            <w:tcW w:w="939" w:type="pct"/>
            <w:shd w:val="clear" w:color="auto" w:fill="D9D9D9" w:themeFill="background1" w:themeFillShade="D9"/>
            <w:vAlign w:val="center"/>
          </w:tcPr>
          <w:p w:rsidR="00AD27DC" w:rsidRPr="00AE0058" w:rsidRDefault="00AD27DC" w:rsidP="00FB2F0D">
            <w:pPr>
              <w:jc w:val="right"/>
              <w:rPr>
                <w:b/>
                <w:bCs/>
                <w:color w:val="000000" w:themeColor="text1"/>
                <w:sz w:val="16"/>
                <w:szCs w:val="16"/>
              </w:rPr>
            </w:pPr>
            <w:r>
              <w:rPr>
                <w:b/>
                <w:bCs/>
                <w:color w:val="000000" w:themeColor="text1"/>
                <w:sz w:val="16"/>
                <w:szCs w:val="16"/>
              </w:rPr>
              <w:t>39</w:t>
            </w:r>
          </w:p>
        </w:tc>
        <w:tc>
          <w:tcPr>
            <w:tcW w:w="1171" w:type="pct"/>
            <w:tcBorders>
              <w:left w:val="single" w:sz="12" w:space="0" w:color="auto"/>
            </w:tcBorders>
            <w:shd w:val="clear" w:color="auto" w:fill="D9D9D9" w:themeFill="background1" w:themeFillShade="D9"/>
            <w:vAlign w:val="center"/>
          </w:tcPr>
          <w:p w:rsidR="00AD27DC" w:rsidRPr="00AE0058" w:rsidRDefault="00BF23C2" w:rsidP="00FB2F0D">
            <w:pPr>
              <w:jc w:val="right"/>
              <w:rPr>
                <w:b/>
                <w:bCs/>
                <w:color w:val="000000" w:themeColor="text1"/>
                <w:sz w:val="16"/>
                <w:szCs w:val="16"/>
              </w:rPr>
            </w:pPr>
            <w:r>
              <w:rPr>
                <w:b/>
                <w:bCs/>
                <w:color w:val="000000" w:themeColor="text1"/>
                <w:sz w:val="16"/>
                <w:szCs w:val="16"/>
              </w:rPr>
              <w:t>357</w:t>
            </w:r>
          </w:p>
        </w:tc>
      </w:tr>
    </w:tbl>
    <w:p w:rsidR="00AD27DC" w:rsidRPr="00AE0058" w:rsidRDefault="00AD27DC" w:rsidP="000B2F65">
      <w:pPr>
        <w:rPr>
          <w:color w:val="000000" w:themeColor="text1"/>
        </w:rPr>
      </w:pPr>
    </w:p>
    <w:p w:rsidR="00AD27DC" w:rsidRPr="00AE0058" w:rsidRDefault="00AD27DC" w:rsidP="00C65795">
      <w:pPr>
        <w:pStyle w:val="ListParagraph"/>
        <w:keepNext/>
        <w:numPr>
          <w:ilvl w:val="0"/>
          <w:numId w:val="6"/>
        </w:numPr>
        <w:spacing w:after="120" w:line="360" w:lineRule="auto"/>
        <w:ind w:firstLine="0"/>
        <w:jc w:val="both"/>
        <w:rPr>
          <w:rFonts w:ascii="MetaNormalLF-Roman" w:eastAsia="Times New Roman" w:hAnsi="MetaNormalLF-Roman" w:cs="Times New Roman"/>
          <w:b/>
          <w:color w:val="000000" w:themeColor="text1"/>
        </w:rPr>
      </w:pPr>
      <w:r>
        <w:rPr>
          <w:rFonts w:ascii="MetaNormalLF-Roman" w:hAnsi="MetaNormalLF-Roman"/>
          <w:b/>
          <w:color w:val="000000" w:themeColor="text1"/>
        </w:rPr>
        <w:t>Statistical offices of the federal states</w:t>
      </w:r>
    </w:p>
    <w:p w:rsidR="00AD27DC" w:rsidRPr="00AE0058" w:rsidRDefault="00BA3FBC" w:rsidP="00AD27DC">
      <w:pPr>
        <w:spacing w:line="360" w:lineRule="auto"/>
        <w:rPr>
          <w:i/>
          <w:color w:val="000000" w:themeColor="text1"/>
        </w:rPr>
      </w:pPr>
      <w:r>
        <w:rPr>
          <w:color w:val="000000" w:themeColor="text1"/>
        </w:rPr>
        <w:t>For the statistical offices of the federal states, the annual compliance costs will change by about EUR 897 000 (see Table 6) and there are one-off compliance costs of about EUR 1.9 million (see Table 7).</w:t>
      </w:r>
      <w:r>
        <w:rPr>
          <w:rFonts w:ascii="MetaNormalLF-Roman" w:hAnsi="MetaNormalLF-Roman"/>
          <w:color w:val="000000" w:themeColor="text1"/>
        </w:rPr>
        <w:t xml:space="preserve"> </w:t>
      </w:r>
    </w:p>
    <w:p w:rsidR="007D5C8F" w:rsidRPr="00AE0058" w:rsidRDefault="007D5C8F" w:rsidP="00C65795">
      <w:pPr>
        <w:keepNext/>
        <w:spacing w:after="0" w:line="360" w:lineRule="auto"/>
        <w:rPr>
          <w:rFonts w:ascii="MetaNormalLF-Roman" w:eastAsia="Times New Roman" w:hAnsi="MetaNormalLF-Roman" w:cs="Times New Roman"/>
          <w:b/>
          <w:color w:val="000000" w:themeColor="text1"/>
          <w:highlight w:val="yellow"/>
        </w:rPr>
      </w:pPr>
      <w:r>
        <w:rPr>
          <w:rFonts w:ascii="MetaNormalLF-Roman" w:hAnsi="MetaNormalLF-Roman"/>
          <w:b/>
          <w:color w:val="000000" w:themeColor="text1"/>
          <w:sz w:val="20"/>
        </w:rPr>
        <w:lastRenderedPageBreak/>
        <w:t>Table 6: Administrative compliance costs – annual compliance costs, statistical offices of the federal states</w:t>
      </w:r>
    </w:p>
    <w:tbl>
      <w:tblPr>
        <w:tblStyle w:val="TableGrid"/>
        <w:tblW w:w="4938" w:type="pct"/>
        <w:tblInd w:w="57" w:type="dxa"/>
        <w:tblLayout w:type="fixed"/>
        <w:tblCellMar>
          <w:left w:w="57" w:type="dxa"/>
          <w:right w:w="57" w:type="dxa"/>
        </w:tblCellMar>
        <w:tblLook w:val="04A0" w:firstRow="1" w:lastRow="0" w:firstColumn="1" w:lastColumn="0" w:noHBand="0" w:noVBand="1"/>
      </w:tblPr>
      <w:tblGrid>
        <w:gridCol w:w="507"/>
        <w:gridCol w:w="832"/>
        <w:gridCol w:w="2037"/>
        <w:gridCol w:w="810"/>
        <w:gridCol w:w="12"/>
        <w:gridCol w:w="806"/>
        <w:gridCol w:w="810"/>
        <w:gridCol w:w="16"/>
        <w:gridCol w:w="929"/>
        <w:gridCol w:w="1911"/>
      </w:tblGrid>
      <w:tr w:rsidR="007D5C8F" w:rsidRPr="00AE0058" w:rsidTr="006C07FA">
        <w:tc>
          <w:tcPr>
            <w:tcW w:w="292" w:type="pct"/>
            <w:shd w:val="clear" w:color="auto" w:fill="D9D9D9" w:themeFill="background1" w:themeFillShade="D9"/>
            <w:vAlign w:val="center"/>
          </w:tcPr>
          <w:p w:rsidR="007D5C8F" w:rsidRPr="00AE0058" w:rsidRDefault="007D5C8F" w:rsidP="00C65795">
            <w:pPr>
              <w:keepNext/>
              <w:rPr>
                <w:rFonts w:eastAsia="Times New Roman" w:cs="Times New Roman"/>
                <w:b/>
                <w:color w:val="000000" w:themeColor="text1"/>
                <w:sz w:val="16"/>
                <w:szCs w:val="16"/>
              </w:rPr>
            </w:pPr>
          </w:p>
        </w:tc>
        <w:tc>
          <w:tcPr>
            <w:tcW w:w="480" w:type="pct"/>
            <w:shd w:val="clear" w:color="auto" w:fill="D9D9D9" w:themeFill="background1" w:themeFillShade="D9"/>
            <w:vAlign w:val="center"/>
          </w:tcPr>
          <w:p w:rsidR="007D5C8F" w:rsidRPr="00AE0058" w:rsidRDefault="007D5C8F" w:rsidP="00C65795">
            <w:pPr>
              <w:keepNext/>
              <w:rPr>
                <w:rFonts w:eastAsia="Times New Roman" w:cs="Times New Roman"/>
                <w:b/>
                <w:color w:val="000000" w:themeColor="text1"/>
                <w:sz w:val="16"/>
                <w:szCs w:val="16"/>
              </w:rPr>
            </w:pPr>
          </w:p>
        </w:tc>
        <w:tc>
          <w:tcPr>
            <w:tcW w:w="1175" w:type="pct"/>
            <w:shd w:val="clear" w:color="auto" w:fill="D9D9D9" w:themeFill="background1" w:themeFillShade="D9"/>
            <w:vAlign w:val="center"/>
          </w:tcPr>
          <w:p w:rsidR="007D5C8F" w:rsidRPr="00AE0058" w:rsidRDefault="007D5C8F" w:rsidP="00C65795">
            <w:pPr>
              <w:keepNext/>
              <w:rPr>
                <w:rFonts w:eastAsia="Times New Roman" w:cs="Times New Roman"/>
                <w:b/>
                <w:color w:val="000000" w:themeColor="text1"/>
                <w:sz w:val="16"/>
                <w:szCs w:val="16"/>
              </w:rPr>
            </w:pPr>
          </w:p>
        </w:tc>
        <w:tc>
          <w:tcPr>
            <w:tcW w:w="939" w:type="pct"/>
            <w:gridSpan w:val="3"/>
            <w:shd w:val="clear" w:color="auto" w:fill="D9D9D9" w:themeFill="background1" w:themeFillShade="D9"/>
            <w:vAlign w:val="center"/>
          </w:tcPr>
          <w:p w:rsidR="007D5C8F" w:rsidRPr="00AE0058" w:rsidRDefault="007D5C8F" w:rsidP="00C65795">
            <w:pPr>
              <w:keepNext/>
              <w:rPr>
                <w:rFonts w:eastAsia="Times New Roman" w:cs="Times New Roman"/>
                <w:b/>
                <w:color w:val="000000" w:themeColor="text1"/>
                <w:sz w:val="16"/>
                <w:szCs w:val="16"/>
              </w:rPr>
            </w:pPr>
            <w:r>
              <w:rPr>
                <w:b/>
                <w:color w:val="000000" w:themeColor="text1"/>
                <w:sz w:val="16"/>
                <w:szCs w:val="16"/>
              </w:rPr>
              <w:t>Annual additional costs</w:t>
            </w:r>
          </w:p>
        </w:tc>
        <w:tc>
          <w:tcPr>
            <w:tcW w:w="1012" w:type="pct"/>
            <w:gridSpan w:val="3"/>
            <w:tcBorders>
              <w:right w:val="single" w:sz="12" w:space="0" w:color="auto"/>
            </w:tcBorders>
            <w:shd w:val="clear" w:color="auto" w:fill="D9D9D9" w:themeFill="background1" w:themeFillShade="D9"/>
            <w:vAlign w:val="center"/>
          </w:tcPr>
          <w:p w:rsidR="007D5C8F" w:rsidRPr="00AE0058" w:rsidRDefault="007D5C8F" w:rsidP="00C65795">
            <w:pPr>
              <w:keepNext/>
              <w:rPr>
                <w:rFonts w:eastAsia="Times New Roman" w:cs="Times New Roman"/>
                <w:b/>
                <w:color w:val="000000" w:themeColor="text1"/>
                <w:sz w:val="16"/>
                <w:szCs w:val="16"/>
              </w:rPr>
            </w:pPr>
            <w:r>
              <w:rPr>
                <w:b/>
                <w:color w:val="000000" w:themeColor="text1"/>
                <w:sz w:val="16"/>
                <w:szCs w:val="16"/>
              </w:rPr>
              <w:t>Annual reduction in costs</w:t>
            </w:r>
          </w:p>
        </w:tc>
        <w:tc>
          <w:tcPr>
            <w:tcW w:w="1103" w:type="pct"/>
            <w:tcBorders>
              <w:left w:val="single" w:sz="12" w:space="0" w:color="auto"/>
            </w:tcBorders>
            <w:shd w:val="clear" w:color="auto" w:fill="D9D9D9" w:themeFill="background1" w:themeFillShade="D9"/>
            <w:vAlign w:val="center"/>
          </w:tcPr>
          <w:p w:rsidR="007D5C8F" w:rsidRPr="00AE0058" w:rsidRDefault="007D5C8F" w:rsidP="00C65795">
            <w:pPr>
              <w:keepNext/>
              <w:rPr>
                <w:rFonts w:eastAsia="Times New Roman" w:cs="Times New Roman"/>
                <w:b/>
                <w:color w:val="000000" w:themeColor="text1"/>
                <w:sz w:val="16"/>
                <w:szCs w:val="16"/>
              </w:rPr>
            </w:pPr>
            <w:r>
              <w:rPr>
                <w:b/>
                <w:color w:val="000000" w:themeColor="text1"/>
                <w:sz w:val="16"/>
                <w:szCs w:val="16"/>
              </w:rPr>
              <w:t>Annual compliance costs</w:t>
            </w:r>
          </w:p>
        </w:tc>
      </w:tr>
      <w:tr w:rsidR="007D5C8F" w:rsidRPr="00AE0058" w:rsidTr="006C07FA">
        <w:tc>
          <w:tcPr>
            <w:tcW w:w="292" w:type="pct"/>
            <w:shd w:val="clear" w:color="auto" w:fill="D9D9D9" w:themeFill="background1" w:themeFillShade="D9"/>
            <w:vAlign w:val="center"/>
          </w:tcPr>
          <w:p w:rsidR="007D5C8F" w:rsidRPr="00AE0058" w:rsidRDefault="007D5C8F" w:rsidP="00C65795">
            <w:pPr>
              <w:keepNext/>
              <w:rPr>
                <w:rFonts w:eastAsia="Times New Roman" w:cs="Times New Roman"/>
                <w:b/>
                <w:color w:val="000000" w:themeColor="text1"/>
                <w:sz w:val="16"/>
                <w:szCs w:val="16"/>
              </w:rPr>
            </w:pPr>
            <w:r>
              <w:rPr>
                <w:b/>
                <w:color w:val="000000" w:themeColor="text1"/>
                <w:sz w:val="16"/>
                <w:szCs w:val="16"/>
              </w:rPr>
              <w:t>Target</w:t>
            </w:r>
          </w:p>
        </w:tc>
        <w:tc>
          <w:tcPr>
            <w:tcW w:w="480" w:type="pct"/>
            <w:shd w:val="clear" w:color="auto" w:fill="D9D9D9" w:themeFill="background1" w:themeFillShade="D9"/>
            <w:vAlign w:val="center"/>
          </w:tcPr>
          <w:p w:rsidR="007D5C8F" w:rsidRPr="00AE0058" w:rsidRDefault="007D5C8F" w:rsidP="00C65795">
            <w:pPr>
              <w:keepNext/>
              <w:rPr>
                <w:rFonts w:eastAsia="Times New Roman" w:cs="Times New Roman"/>
                <w:b/>
                <w:color w:val="000000" w:themeColor="text1"/>
                <w:sz w:val="16"/>
                <w:szCs w:val="16"/>
              </w:rPr>
            </w:pPr>
            <w:r>
              <w:rPr>
                <w:b/>
                <w:color w:val="000000" w:themeColor="text1"/>
                <w:sz w:val="16"/>
                <w:szCs w:val="16"/>
              </w:rPr>
              <w:t xml:space="preserve">Paragraph </w:t>
            </w:r>
          </w:p>
        </w:tc>
        <w:tc>
          <w:tcPr>
            <w:tcW w:w="1175" w:type="pct"/>
            <w:shd w:val="clear" w:color="auto" w:fill="D9D9D9" w:themeFill="background1" w:themeFillShade="D9"/>
            <w:vAlign w:val="center"/>
          </w:tcPr>
          <w:p w:rsidR="007D5C8F" w:rsidRPr="00AE0058" w:rsidRDefault="007D5C8F" w:rsidP="00C65795">
            <w:pPr>
              <w:keepNext/>
              <w:rPr>
                <w:rFonts w:eastAsia="Times New Roman" w:cs="Times New Roman"/>
                <w:b/>
                <w:color w:val="000000" w:themeColor="text1"/>
                <w:sz w:val="16"/>
                <w:szCs w:val="16"/>
              </w:rPr>
            </w:pPr>
            <w:r>
              <w:rPr>
                <w:b/>
                <w:color w:val="000000" w:themeColor="text1"/>
                <w:sz w:val="16"/>
                <w:szCs w:val="16"/>
              </w:rPr>
              <w:t>Target description</w:t>
            </w:r>
          </w:p>
        </w:tc>
        <w:tc>
          <w:tcPr>
            <w:tcW w:w="467" w:type="pct"/>
            <w:shd w:val="clear" w:color="auto" w:fill="D9D9D9" w:themeFill="background1" w:themeFillShade="D9"/>
            <w:vAlign w:val="center"/>
          </w:tcPr>
          <w:p w:rsidR="007D5C8F" w:rsidRPr="00AE0058" w:rsidRDefault="007D5C8F" w:rsidP="00C65795">
            <w:pPr>
              <w:keepNext/>
              <w:rPr>
                <w:rFonts w:eastAsia="Times New Roman" w:cs="Times New Roman"/>
                <w:b/>
                <w:color w:val="000000" w:themeColor="text1"/>
                <w:sz w:val="16"/>
                <w:szCs w:val="16"/>
              </w:rPr>
            </w:pPr>
            <w:r>
              <w:rPr>
                <w:b/>
                <w:color w:val="000000" w:themeColor="text1"/>
                <w:sz w:val="16"/>
                <w:szCs w:val="16"/>
              </w:rPr>
              <w:t>Personnel costs</w:t>
            </w:r>
          </w:p>
        </w:tc>
        <w:tc>
          <w:tcPr>
            <w:tcW w:w="472" w:type="pct"/>
            <w:gridSpan w:val="2"/>
            <w:shd w:val="clear" w:color="auto" w:fill="D9D9D9" w:themeFill="background1" w:themeFillShade="D9"/>
            <w:vAlign w:val="center"/>
          </w:tcPr>
          <w:p w:rsidR="007D5C8F" w:rsidRPr="00AE0058" w:rsidRDefault="007D5C8F" w:rsidP="00C65795">
            <w:pPr>
              <w:keepNext/>
              <w:rPr>
                <w:rFonts w:eastAsia="Times New Roman" w:cs="Times New Roman"/>
                <w:b/>
                <w:color w:val="000000" w:themeColor="text1"/>
                <w:sz w:val="16"/>
                <w:szCs w:val="16"/>
              </w:rPr>
            </w:pPr>
            <w:r>
              <w:rPr>
                <w:b/>
                <w:color w:val="000000" w:themeColor="text1"/>
                <w:sz w:val="16"/>
                <w:szCs w:val="16"/>
              </w:rPr>
              <w:t>Material costs</w:t>
            </w:r>
          </w:p>
        </w:tc>
        <w:tc>
          <w:tcPr>
            <w:tcW w:w="467" w:type="pct"/>
            <w:shd w:val="clear" w:color="auto" w:fill="D9D9D9" w:themeFill="background1" w:themeFillShade="D9"/>
            <w:vAlign w:val="center"/>
          </w:tcPr>
          <w:p w:rsidR="007D5C8F" w:rsidRPr="00AE0058" w:rsidRDefault="007D5C8F" w:rsidP="00C65795">
            <w:pPr>
              <w:keepNext/>
              <w:rPr>
                <w:rFonts w:eastAsia="Times New Roman" w:cs="Times New Roman"/>
                <w:b/>
                <w:color w:val="000000" w:themeColor="text1"/>
                <w:sz w:val="16"/>
                <w:szCs w:val="16"/>
              </w:rPr>
            </w:pPr>
            <w:r>
              <w:rPr>
                <w:b/>
                <w:color w:val="000000" w:themeColor="text1"/>
                <w:sz w:val="16"/>
                <w:szCs w:val="16"/>
              </w:rPr>
              <w:t>Personnel costs</w:t>
            </w:r>
          </w:p>
        </w:tc>
        <w:tc>
          <w:tcPr>
            <w:tcW w:w="545" w:type="pct"/>
            <w:gridSpan w:val="2"/>
            <w:tcBorders>
              <w:right w:val="single" w:sz="12" w:space="0" w:color="auto"/>
            </w:tcBorders>
            <w:shd w:val="clear" w:color="auto" w:fill="D9D9D9" w:themeFill="background1" w:themeFillShade="D9"/>
            <w:vAlign w:val="center"/>
          </w:tcPr>
          <w:p w:rsidR="007D5C8F" w:rsidRPr="00AE0058" w:rsidRDefault="007D5C8F" w:rsidP="00C65795">
            <w:pPr>
              <w:keepNext/>
              <w:rPr>
                <w:rFonts w:eastAsia="Times New Roman" w:cs="Times New Roman"/>
                <w:b/>
                <w:color w:val="000000" w:themeColor="text1"/>
                <w:sz w:val="16"/>
                <w:szCs w:val="16"/>
              </w:rPr>
            </w:pPr>
            <w:r>
              <w:rPr>
                <w:b/>
                <w:color w:val="000000" w:themeColor="text1"/>
                <w:sz w:val="16"/>
                <w:szCs w:val="16"/>
              </w:rPr>
              <w:t>Material costs</w:t>
            </w:r>
          </w:p>
        </w:tc>
        <w:tc>
          <w:tcPr>
            <w:tcW w:w="1103" w:type="pct"/>
            <w:tcBorders>
              <w:left w:val="single" w:sz="12" w:space="0" w:color="auto"/>
            </w:tcBorders>
            <w:shd w:val="clear" w:color="auto" w:fill="D9D9D9" w:themeFill="background1" w:themeFillShade="D9"/>
            <w:vAlign w:val="center"/>
          </w:tcPr>
          <w:p w:rsidR="007D5C8F" w:rsidRPr="00AE0058" w:rsidRDefault="007D5C8F" w:rsidP="00C65795">
            <w:pPr>
              <w:keepNext/>
              <w:rPr>
                <w:rFonts w:eastAsia="Times New Roman" w:cs="Times New Roman"/>
                <w:b/>
                <w:color w:val="000000" w:themeColor="text1"/>
                <w:sz w:val="16"/>
                <w:szCs w:val="16"/>
              </w:rPr>
            </w:pPr>
            <w:r>
              <w:rPr>
                <w:b/>
                <w:color w:val="000000" w:themeColor="text1"/>
                <w:sz w:val="16"/>
                <w:szCs w:val="16"/>
              </w:rPr>
              <w:t>Total costs</w:t>
            </w:r>
          </w:p>
        </w:tc>
      </w:tr>
      <w:tr w:rsidR="007D5C8F" w:rsidRPr="00AE0058" w:rsidTr="006C07FA">
        <w:tc>
          <w:tcPr>
            <w:tcW w:w="292" w:type="pct"/>
            <w:shd w:val="clear" w:color="auto" w:fill="D9D9D9" w:themeFill="background1" w:themeFillShade="D9"/>
            <w:vAlign w:val="center"/>
          </w:tcPr>
          <w:p w:rsidR="007D5C8F" w:rsidRPr="00AE0058" w:rsidRDefault="007D5C8F" w:rsidP="00C65795">
            <w:pPr>
              <w:keepNext/>
              <w:rPr>
                <w:rFonts w:eastAsia="Times New Roman" w:cs="Times New Roman"/>
                <w:b/>
                <w:color w:val="000000" w:themeColor="text1"/>
                <w:sz w:val="16"/>
                <w:szCs w:val="16"/>
              </w:rPr>
            </w:pPr>
          </w:p>
        </w:tc>
        <w:tc>
          <w:tcPr>
            <w:tcW w:w="480" w:type="pct"/>
            <w:shd w:val="clear" w:color="auto" w:fill="D9D9D9" w:themeFill="background1" w:themeFillShade="D9"/>
            <w:vAlign w:val="center"/>
          </w:tcPr>
          <w:p w:rsidR="007D5C8F" w:rsidRPr="00AE0058" w:rsidRDefault="007D5C8F" w:rsidP="00C65795">
            <w:pPr>
              <w:keepNext/>
              <w:rPr>
                <w:rFonts w:eastAsia="Times New Roman" w:cs="Times New Roman"/>
                <w:b/>
                <w:color w:val="000000" w:themeColor="text1"/>
                <w:sz w:val="16"/>
                <w:szCs w:val="16"/>
              </w:rPr>
            </w:pPr>
          </w:p>
        </w:tc>
        <w:tc>
          <w:tcPr>
            <w:tcW w:w="1175" w:type="pct"/>
            <w:shd w:val="clear" w:color="auto" w:fill="D9D9D9" w:themeFill="background1" w:themeFillShade="D9"/>
            <w:vAlign w:val="center"/>
          </w:tcPr>
          <w:p w:rsidR="007D5C8F" w:rsidRPr="00AE0058" w:rsidRDefault="007D5C8F" w:rsidP="00C65795">
            <w:pPr>
              <w:keepNext/>
              <w:rPr>
                <w:rFonts w:eastAsia="Times New Roman" w:cs="Times New Roman"/>
                <w:b/>
                <w:color w:val="000000" w:themeColor="text1"/>
                <w:sz w:val="16"/>
                <w:szCs w:val="16"/>
              </w:rPr>
            </w:pPr>
          </w:p>
        </w:tc>
        <w:tc>
          <w:tcPr>
            <w:tcW w:w="3053" w:type="pct"/>
            <w:gridSpan w:val="7"/>
            <w:shd w:val="clear" w:color="auto" w:fill="D9D9D9" w:themeFill="background1" w:themeFillShade="D9"/>
            <w:vAlign w:val="center"/>
          </w:tcPr>
          <w:p w:rsidR="007D5C8F" w:rsidRPr="00AE0058" w:rsidRDefault="007D5C8F" w:rsidP="00C65795">
            <w:pPr>
              <w:keepNext/>
              <w:jc w:val="center"/>
              <w:rPr>
                <w:rFonts w:eastAsia="Times New Roman" w:cs="Times New Roman"/>
                <w:b/>
                <w:color w:val="000000" w:themeColor="text1"/>
                <w:sz w:val="16"/>
                <w:szCs w:val="16"/>
              </w:rPr>
            </w:pPr>
            <w:r>
              <w:rPr>
                <w:b/>
                <w:color w:val="000000" w:themeColor="text1"/>
                <w:sz w:val="16"/>
                <w:szCs w:val="16"/>
              </w:rPr>
              <w:t>In thousands of EUR</w:t>
            </w:r>
          </w:p>
        </w:tc>
      </w:tr>
      <w:tr w:rsidR="007D5C8F" w:rsidRPr="00AE0058" w:rsidTr="006C07FA">
        <w:tc>
          <w:tcPr>
            <w:tcW w:w="292" w:type="pct"/>
            <w:shd w:val="clear" w:color="auto" w:fill="auto"/>
            <w:vAlign w:val="center"/>
          </w:tcPr>
          <w:p w:rsidR="007D5C8F" w:rsidRPr="00AE0058" w:rsidRDefault="007D5C8F" w:rsidP="006805A7">
            <w:pPr>
              <w:rPr>
                <w:rFonts w:eastAsia="Times New Roman" w:cs="Times New Roman"/>
                <w:color w:val="000000" w:themeColor="text1"/>
                <w:sz w:val="16"/>
                <w:szCs w:val="16"/>
              </w:rPr>
            </w:pPr>
            <w:r>
              <w:rPr>
                <w:color w:val="000000" w:themeColor="text1"/>
                <w:sz w:val="16"/>
                <w:szCs w:val="16"/>
              </w:rPr>
              <w:t>13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D5C8F" w:rsidRPr="00AE0058" w:rsidRDefault="007D5C8F" w:rsidP="006805A7">
            <w:pPr>
              <w:rPr>
                <w:rFonts w:eastAsia="Times New Roman" w:cs="Times New Roman"/>
                <w:color w:val="000000" w:themeColor="text1"/>
                <w:sz w:val="16"/>
                <w:szCs w:val="16"/>
              </w:rPr>
            </w:pPr>
            <w:r>
              <w:rPr>
                <w:color w:val="000000" w:themeColor="text1"/>
                <w:sz w:val="16"/>
                <w:szCs w:val="16"/>
              </w:rPr>
              <w:t>§ 3 to § 16 UStatG</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rsidR="007D5C8F" w:rsidRPr="00AE0058" w:rsidRDefault="007D5C8F" w:rsidP="006805A7">
            <w:pPr>
              <w:rPr>
                <w:rFonts w:eastAsia="Times New Roman" w:cs="Times New Roman"/>
                <w:color w:val="000000" w:themeColor="text1"/>
                <w:sz w:val="16"/>
                <w:szCs w:val="16"/>
              </w:rPr>
            </w:pPr>
            <w:r>
              <w:rPr>
                <w:color w:val="000000" w:themeColor="text1"/>
                <w:sz w:val="16"/>
                <w:szCs w:val="16"/>
              </w:rPr>
              <w:t>Surveys by the statistical offices of the federal states</w:t>
            </w:r>
          </w:p>
        </w:tc>
        <w:tc>
          <w:tcPr>
            <w:tcW w:w="474" w:type="pct"/>
            <w:gridSpan w:val="2"/>
            <w:tcBorders>
              <w:top w:val="single" w:sz="4" w:space="0" w:color="auto"/>
              <w:left w:val="nil"/>
              <w:bottom w:val="single" w:sz="4" w:space="0" w:color="auto"/>
              <w:right w:val="nil"/>
            </w:tcBorders>
            <w:shd w:val="clear" w:color="auto" w:fill="auto"/>
            <w:vAlign w:val="center"/>
          </w:tcPr>
          <w:p w:rsidR="007D5C8F" w:rsidRPr="00AE0058" w:rsidRDefault="007D5C8F" w:rsidP="006805A7">
            <w:pPr>
              <w:jc w:val="right"/>
              <w:rPr>
                <w:rFonts w:eastAsia="Times New Roman" w:cs="Times New Roman"/>
                <w:color w:val="000000" w:themeColor="text1"/>
                <w:sz w:val="16"/>
                <w:szCs w:val="16"/>
              </w:rPr>
            </w:pPr>
            <w:r>
              <w:rPr>
                <w:color w:val="000000" w:themeColor="text1"/>
                <w:sz w:val="16"/>
                <w:szCs w:val="16"/>
              </w:rPr>
              <w:t>789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7D5C8F" w:rsidRPr="00AE0058" w:rsidRDefault="007D5C8F" w:rsidP="006805A7">
            <w:pPr>
              <w:jc w:val="right"/>
              <w:rPr>
                <w:rFonts w:eastAsia="Times New Roman" w:cs="Times New Roman"/>
                <w:color w:val="000000" w:themeColor="text1"/>
                <w:sz w:val="16"/>
                <w:szCs w:val="16"/>
              </w:rPr>
            </w:pPr>
            <w:r>
              <w:rPr>
                <w:color w:val="000000" w:themeColor="text1"/>
                <w:sz w:val="16"/>
                <w:szCs w:val="16"/>
              </w:rPr>
              <w:t xml:space="preserve">138 </w:t>
            </w:r>
          </w:p>
        </w:tc>
        <w:tc>
          <w:tcPr>
            <w:tcW w:w="476" w:type="pct"/>
            <w:gridSpan w:val="2"/>
            <w:shd w:val="clear" w:color="auto" w:fill="auto"/>
            <w:vAlign w:val="center"/>
          </w:tcPr>
          <w:p w:rsidR="007D5C8F" w:rsidRPr="00AE0058" w:rsidRDefault="007D5C8F" w:rsidP="006805A7">
            <w:pPr>
              <w:jc w:val="right"/>
              <w:rPr>
                <w:rFonts w:eastAsia="Times New Roman" w:cs="Times New Roman"/>
                <w:color w:val="000000" w:themeColor="text1"/>
                <w:sz w:val="16"/>
                <w:szCs w:val="16"/>
              </w:rPr>
            </w:pPr>
            <w:r>
              <w:rPr>
                <w:color w:val="000000" w:themeColor="text1"/>
                <w:sz w:val="16"/>
                <w:szCs w:val="16"/>
              </w:rPr>
              <w:t>20</w:t>
            </w:r>
          </w:p>
        </w:tc>
        <w:tc>
          <w:tcPr>
            <w:tcW w:w="536" w:type="pct"/>
            <w:tcBorders>
              <w:right w:val="single" w:sz="12" w:space="0" w:color="auto"/>
            </w:tcBorders>
            <w:shd w:val="clear" w:color="auto" w:fill="auto"/>
            <w:vAlign w:val="center"/>
          </w:tcPr>
          <w:p w:rsidR="007D5C8F" w:rsidRPr="00AE0058" w:rsidRDefault="007D5C8F" w:rsidP="006805A7">
            <w:pPr>
              <w:jc w:val="right"/>
              <w:rPr>
                <w:rFonts w:eastAsia="Times New Roman" w:cs="Times New Roman"/>
                <w:color w:val="000000" w:themeColor="text1"/>
                <w:sz w:val="16"/>
                <w:szCs w:val="16"/>
              </w:rPr>
            </w:pPr>
            <w:r>
              <w:rPr>
                <w:color w:val="000000" w:themeColor="text1"/>
                <w:sz w:val="16"/>
                <w:szCs w:val="16"/>
              </w:rPr>
              <w:t>9</w:t>
            </w:r>
          </w:p>
        </w:tc>
        <w:tc>
          <w:tcPr>
            <w:tcW w:w="1103" w:type="pct"/>
            <w:tcBorders>
              <w:left w:val="single" w:sz="12" w:space="0" w:color="auto"/>
            </w:tcBorders>
            <w:shd w:val="clear" w:color="auto" w:fill="auto"/>
            <w:vAlign w:val="center"/>
          </w:tcPr>
          <w:p w:rsidR="007D5C8F" w:rsidRPr="00AE0058" w:rsidRDefault="007D5C8F" w:rsidP="006805A7">
            <w:pPr>
              <w:jc w:val="right"/>
              <w:rPr>
                <w:rFonts w:eastAsia="Times New Roman" w:cs="Times New Roman"/>
                <w:color w:val="000000" w:themeColor="text1"/>
                <w:sz w:val="16"/>
                <w:szCs w:val="16"/>
              </w:rPr>
            </w:pPr>
            <w:r>
              <w:rPr>
                <w:color w:val="000000" w:themeColor="text1"/>
                <w:sz w:val="16"/>
                <w:szCs w:val="16"/>
              </w:rPr>
              <w:t>+897</w:t>
            </w:r>
          </w:p>
        </w:tc>
      </w:tr>
      <w:tr w:rsidR="007D5C8F" w:rsidRPr="00AE0058" w:rsidTr="006C07FA">
        <w:tc>
          <w:tcPr>
            <w:tcW w:w="1947" w:type="pct"/>
            <w:gridSpan w:val="3"/>
            <w:shd w:val="clear" w:color="auto" w:fill="D9D9D9" w:themeFill="background1" w:themeFillShade="D9"/>
            <w:vAlign w:val="center"/>
          </w:tcPr>
          <w:p w:rsidR="007D5C8F" w:rsidRPr="00AE0058" w:rsidRDefault="007D5C8F" w:rsidP="006805A7">
            <w:pPr>
              <w:rPr>
                <w:rFonts w:eastAsia="Times New Roman" w:cs="Times New Roman"/>
                <w:b/>
                <w:color w:val="000000" w:themeColor="text1"/>
                <w:sz w:val="16"/>
                <w:szCs w:val="16"/>
              </w:rPr>
            </w:pPr>
            <w:r>
              <w:rPr>
                <w:b/>
                <w:color w:val="000000" w:themeColor="text1"/>
                <w:sz w:val="16"/>
                <w:szCs w:val="16"/>
              </w:rPr>
              <w:t>Total (incl. IT costs combined)</w:t>
            </w:r>
          </w:p>
        </w:tc>
        <w:tc>
          <w:tcPr>
            <w:tcW w:w="474" w:type="pct"/>
            <w:gridSpan w:val="2"/>
            <w:tcBorders>
              <w:top w:val="single" w:sz="4" w:space="0" w:color="auto"/>
            </w:tcBorders>
            <w:shd w:val="clear" w:color="auto" w:fill="D9D9D9" w:themeFill="background1" w:themeFillShade="D9"/>
            <w:vAlign w:val="center"/>
          </w:tcPr>
          <w:p w:rsidR="007D5C8F" w:rsidRPr="00AE0058" w:rsidRDefault="007D5C8F" w:rsidP="006805A7">
            <w:pPr>
              <w:jc w:val="right"/>
              <w:rPr>
                <w:rFonts w:eastAsia="Times New Roman"/>
                <w:b/>
                <w:bCs/>
                <w:color w:val="000000" w:themeColor="text1"/>
                <w:sz w:val="16"/>
                <w:szCs w:val="16"/>
              </w:rPr>
            </w:pPr>
            <w:r>
              <w:rPr>
                <w:b/>
                <w:bCs/>
                <w:color w:val="000000" w:themeColor="text1"/>
                <w:sz w:val="16"/>
                <w:szCs w:val="16"/>
              </w:rPr>
              <w:t>789</w:t>
            </w:r>
          </w:p>
        </w:tc>
        <w:tc>
          <w:tcPr>
            <w:tcW w:w="464" w:type="pct"/>
            <w:shd w:val="clear" w:color="auto" w:fill="D9D9D9" w:themeFill="background1" w:themeFillShade="D9"/>
            <w:vAlign w:val="center"/>
          </w:tcPr>
          <w:p w:rsidR="007D5C8F" w:rsidRPr="00AE0058" w:rsidRDefault="007D5C8F" w:rsidP="006805A7">
            <w:pPr>
              <w:jc w:val="right"/>
              <w:rPr>
                <w:rFonts w:eastAsia="Times New Roman"/>
                <w:b/>
                <w:bCs/>
                <w:color w:val="000000" w:themeColor="text1"/>
                <w:sz w:val="16"/>
                <w:szCs w:val="16"/>
              </w:rPr>
            </w:pPr>
            <w:r>
              <w:rPr>
                <w:b/>
                <w:bCs/>
                <w:color w:val="000000" w:themeColor="text1"/>
                <w:sz w:val="16"/>
                <w:szCs w:val="16"/>
              </w:rPr>
              <w:t>138</w:t>
            </w:r>
          </w:p>
        </w:tc>
        <w:tc>
          <w:tcPr>
            <w:tcW w:w="476" w:type="pct"/>
            <w:gridSpan w:val="2"/>
            <w:shd w:val="clear" w:color="auto" w:fill="D9D9D9" w:themeFill="background1" w:themeFillShade="D9"/>
            <w:vAlign w:val="center"/>
          </w:tcPr>
          <w:p w:rsidR="007D5C8F" w:rsidRPr="00AE0058" w:rsidRDefault="007D5C8F" w:rsidP="006805A7">
            <w:pPr>
              <w:jc w:val="right"/>
              <w:rPr>
                <w:rFonts w:eastAsia="Times New Roman"/>
                <w:b/>
                <w:bCs/>
                <w:color w:val="000000" w:themeColor="text1"/>
                <w:sz w:val="16"/>
                <w:szCs w:val="16"/>
              </w:rPr>
            </w:pPr>
            <w:r>
              <w:rPr>
                <w:b/>
                <w:bCs/>
                <w:color w:val="000000" w:themeColor="text1"/>
                <w:sz w:val="16"/>
                <w:szCs w:val="16"/>
              </w:rPr>
              <w:t>20</w:t>
            </w:r>
          </w:p>
        </w:tc>
        <w:tc>
          <w:tcPr>
            <w:tcW w:w="536" w:type="pct"/>
            <w:tcBorders>
              <w:right w:val="single" w:sz="12" w:space="0" w:color="auto"/>
            </w:tcBorders>
            <w:shd w:val="clear" w:color="auto" w:fill="D9D9D9" w:themeFill="background1" w:themeFillShade="D9"/>
            <w:vAlign w:val="center"/>
          </w:tcPr>
          <w:p w:rsidR="007D5C8F" w:rsidRPr="00AE0058" w:rsidRDefault="007D5C8F" w:rsidP="006805A7">
            <w:pPr>
              <w:jc w:val="right"/>
              <w:rPr>
                <w:rFonts w:eastAsia="Times New Roman"/>
                <w:b/>
                <w:bCs/>
                <w:color w:val="000000" w:themeColor="text1"/>
                <w:sz w:val="16"/>
                <w:szCs w:val="16"/>
              </w:rPr>
            </w:pPr>
            <w:r>
              <w:rPr>
                <w:b/>
                <w:bCs/>
                <w:color w:val="000000" w:themeColor="text1"/>
                <w:sz w:val="16"/>
                <w:szCs w:val="16"/>
              </w:rPr>
              <w:t>9</w:t>
            </w:r>
          </w:p>
        </w:tc>
        <w:tc>
          <w:tcPr>
            <w:tcW w:w="1103" w:type="pct"/>
            <w:tcBorders>
              <w:left w:val="single" w:sz="12" w:space="0" w:color="auto"/>
            </w:tcBorders>
            <w:shd w:val="clear" w:color="auto" w:fill="D9D9D9" w:themeFill="background1" w:themeFillShade="D9"/>
            <w:vAlign w:val="center"/>
          </w:tcPr>
          <w:p w:rsidR="007D5C8F" w:rsidRPr="00AE0058" w:rsidRDefault="007D5C8F" w:rsidP="006805A7">
            <w:pPr>
              <w:jc w:val="right"/>
              <w:rPr>
                <w:rFonts w:eastAsia="Times New Roman"/>
                <w:b/>
                <w:bCs/>
                <w:color w:val="000000" w:themeColor="text1"/>
                <w:sz w:val="16"/>
                <w:szCs w:val="16"/>
              </w:rPr>
            </w:pPr>
            <w:r>
              <w:rPr>
                <w:b/>
                <w:bCs/>
                <w:color w:val="000000" w:themeColor="text1"/>
                <w:sz w:val="16"/>
                <w:szCs w:val="16"/>
              </w:rPr>
              <w:t>+897</w:t>
            </w:r>
          </w:p>
        </w:tc>
      </w:tr>
    </w:tbl>
    <w:p w:rsidR="007D5C8F" w:rsidRPr="00AE0058" w:rsidRDefault="007D5C8F" w:rsidP="007D5C8F">
      <w:pPr>
        <w:spacing w:line="360" w:lineRule="auto"/>
        <w:rPr>
          <w:rFonts w:ascii="MetaNormalLF-Roman" w:eastAsia="Times New Roman" w:hAnsi="MetaNormalLF-Roman" w:cs="Times New Roman"/>
          <w:b/>
          <w:color w:val="000000" w:themeColor="text1"/>
          <w:highlight w:val="yellow"/>
          <w:lang w:eastAsia="de-DE"/>
        </w:rPr>
      </w:pPr>
    </w:p>
    <w:p w:rsidR="007D5C8F" w:rsidRPr="00AE0058" w:rsidRDefault="007D5C8F" w:rsidP="00C65795">
      <w:pPr>
        <w:keepNext/>
        <w:spacing w:after="0" w:line="360" w:lineRule="auto"/>
        <w:rPr>
          <w:rFonts w:ascii="MetaNormalLF-Roman" w:eastAsia="Times New Roman" w:hAnsi="MetaNormalLF-Roman" w:cs="Times New Roman"/>
          <w:b/>
          <w:color w:val="000000" w:themeColor="text1"/>
          <w:highlight w:val="yellow"/>
        </w:rPr>
      </w:pPr>
      <w:r>
        <w:rPr>
          <w:rFonts w:ascii="MetaNormalLF-Roman" w:hAnsi="MetaNormalLF-Roman"/>
          <w:b/>
          <w:color w:val="000000" w:themeColor="text1"/>
          <w:sz w:val="20"/>
        </w:rPr>
        <w:t>Table 7: Administrative compliance costs – one-off compliance costs, statistical offices of the federal states</w:t>
      </w:r>
    </w:p>
    <w:tbl>
      <w:tblPr>
        <w:tblStyle w:val="TableGrid"/>
        <w:tblW w:w="4940" w:type="pct"/>
        <w:tblInd w:w="57" w:type="dxa"/>
        <w:tblLayout w:type="fixed"/>
        <w:tblCellMar>
          <w:left w:w="57" w:type="dxa"/>
          <w:right w:w="57" w:type="dxa"/>
        </w:tblCellMar>
        <w:tblLook w:val="04A0" w:firstRow="1" w:lastRow="0" w:firstColumn="1" w:lastColumn="0" w:noHBand="0" w:noVBand="1"/>
      </w:tblPr>
      <w:tblGrid>
        <w:gridCol w:w="509"/>
        <w:gridCol w:w="833"/>
        <w:gridCol w:w="2035"/>
        <w:gridCol w:w="1638"/>
        <w:gridCol w:w="1629"/>
        <w:gridCol w:w="2030"/>
      </w:tblGrid>
      <w:tr w:rsidR="007D5C8F" w:rsidRPr="00AE0058" w:rsidTr="006C07FA">
        <w:tc>
          <w:tcPr>
            <w:tcW w:w="294" w:type="pct"/>
            <w:shd w:val="clear" w:color="auto" w:fill="D9D9D9" w:themeFill="background1" w:themeFillShade="D9"/>
            <w:vAlign w:val="center"/>
          </w:tcPr>
          <w:p w:rsidR="007D5C8F" w:rsidRPr="00AE0058" w:rsidRDefault="007D5C8F" w:rsidP="00C65795">
            <w:pPr>
              <w:keepNext/>
              <w:rPr>
                <w:b/>
                <w:color w:val="000000" w:themeColor="text1"/>
                <w:sz w:val="16"/>
                <w:szCs w:val="16"/>
              </w:rPr>
            </w:pPr>
          </w:p>
        </w:tc>
        <w:tc>
          <w:tcPr>
            <w:tcW w:w="480" w:type="pct"/>
            <w:shd w:val="clear" w:color="auto" w:fill="D9D9D9" w:themeFill="background1" w:themeFillShade="D9"/>
            <w:vAlign w:val="center"/>
          </w:tcPr>
          <w:p w:rsidR="007D5C8F" w:rsidRPr="00AE0058" w:rsidRDefault="007D5C8F" w:rsidP="00C65795">
            <w:pPr>
              <w:keepNext/>
              <w:rPr>
                <w:b/>
                <w:color w:val="000000" w:themeColor="text1"/>
                <w:sz w:val="16"/>
                <w:szCs w:val="16"/>
              </w:rPr>
            </w:pPr>
          </w:p>
        </w:tc>
        <w:tc>
          <w:tcPr>
            <w:tcW w:w="1173" w:type="pct"/>
            <w:tcBorders>
              <w:right w:val="single" w:sz="4" w:space="0" w:color="auto"/>
            </w:tcBorders>
            <w:shd w:val="clear" w:color="auto" w:fill="D9D9D9" w:themeFill="background1" w:themeFillShade="D9"/>
            <w:vAlign w:val="center"/>
          </w:tcPr>
          <w:p w:rsidR="007D5C8F" w:rsidRPr="00AE0058" w:rsidRDefault="007D5C8F" w:rsidP="00C65795">
            <w:pPr>
              <w:keepNext/>
              <w:rPr>
                <w:b/>
                <w:color w:val="000000" w:themeColor="text1"/>
                <w:sz w:val="16"/>
                <w:szCs w:val="16"/>
              </w:rPr>
            </w:pPr>
          </w:p>
        </w:tc>
        <w:tc>
          <w:tcPr>
            <w:tcW w:w="3053" w:type="pct"/>
            <w:gridSpan w:val="3"/>
            <w:tcBorders>
              <w:left w:val="single" w:sz="4" w:space="0" w:color="auto"/>
            </w:tcBorders>
            <w:shd w:val="clear" w:color="auto" w:fill="D9D9D9" w:themeFill="background1" w:themeFillShade="D9"/>
            <w:vAlign w:val="center"/>
          </w:tcPr>
          <w:p w:rsidR="007D5C8F" w:rsidRPr="00AE0058" w:rsidRDefault="007D5C8F" w:rsidP="00C65795">
            <w:pPr>
              <w:keepNext/>
              <w:rPr>
                <w:b/>
                <w:color w:val="000000" w:themeColor="text1"/>
                <w:sz w:val="16"/>
                <w:szCs w:val="16"/>
              </w:rPr>
            </w:pPr>
            <w:r>
              <w:rPr>
                <w:b/>
                <w:color w:val="000000" w:themeColor="text1"/>
                <w:sz w:val="16"/>
                <w:szCs w:val="16"/>
              </w:rPr>
              <w:t>One-off compliance costs</w:t>
            </w:r>
          </w:p>
        </w:tc>
      </w:tr>
      <w:tr w:rsidR="007D5C8F" w:rsidRPr="00AE0058" w:rsidTr="006C07FA">
        <w:tc>
          <w:tcPr>
            <w:tcW w:w="294" w:type="pct"/>
            <w:shd w:val="clear" w:color="auto" w:fill="D9D9D9" w:themeFill="background1" w:themeFillShade="D9"/>
            <w:vAlign w:val="center"/>
          </w:tcPr>
          <w:p w:rsidR="007D5C8F" w:rsidRPr="00AE0058" w:rsidRDefault="007D5C8F" w:rsidP="00C65795">
            <w:pPr>
              <w:keepNext/>
              <w:rPr>
                <w:b/>
                <w:color w:val="000000" w:themeColor="text1"/>
                <w:sz w:val="16"/>
                <w:szCs w:val="16"/>
              </w:rPr>
            </w:pPr>
            <w:r>
              <w:rPr>
                <w:b/>
                <w:color w:val="000000" w:themeColor="text1"/>
                <w:sz w:val="16"/>
                <w:szCs w:val="16"/>
              </w:rPr>
              <w:t>Target</w:t>
            </w:r>
          </w:p>
        </w:tc>
        <w:tc>
          <w:tcPr>
            <w:tcW w:w="480" w:type="pct"/>
            <w:shd w:val="clear" w:color="auto" w:fill="D9D9D9" w:themeFill="background1" w:themeFillShade="D9"/>
            <w:vAlign w:val="center"/>
          </w:tcPr>
          <w:p w:rsidR="007D5C8F" w:rsidRPr="00AE0058" w:rsidRDefault="007D5C8F" w:rsidP="00C65795">
            <w:pPr>
              <w:keepNext/>
              <w:rPr>
                <w:b/>
                <w:color w:val="000000" w:themeColor="text1"/>
                <w:sz w:val="16"/>
                <w:szCs w:val="16"/>
              </w:rPr>
            </w:pPr>
            <w:r>
              <w:rPr>
                <w:b/>
                <w:color w:val="000000" w:themeColor="text1"/>
                <w:sz w:val="16"/>
                <w:szCs w:val="16"/>
              </w:rPr>
              <w:t xml:space="preserve">Paragraph </w:t>
            </w:r>
          </w:p>
        </w:tc>
        <w:tc>
          <w:tcPr>
            <w:tcW w:w="1173" w:type="pct"/>
            <w:shd w:val="clear" w:color="auto" w:fill="D9D9D9" w:themeFill="background1" w:themeFillShade="D9"/>
            <w:vAlign w:val="center"/>
          </w:tcPr>
          <w:p w:rsidR="007D5C8F" w:rsidRPr="00AE0058" w:rsidRDefault="007D5C8F" w:rsidP="00C65795">
            <w:pPr>
              <w:keepNext/>
              <w:rPr>
                <w:b/>
                <w:color w:val="000000" w:themeColor="text1"/>
                <w:sz w:val="16"/>
                <w:szCs w:val="16"/>
              </w:rPr>
            </w:pPr>
            <w:r>
              <w:rPr>
                <w:b/>
                <w:color w:val="000000" w:themeColor="text1"/>
                <w:sz w:val="16"/>
                <w:szCs w:val="16"/>
              </w:rPr>
              <w:t>Target description</w:t>
            </w:r>
          </w:p>
        </w:tc>
        <w:tc>
          <w:tcPr>
            <w:tcW w:w="944" w:type="pct"/>
            <w:shd w:val="clear" w:color="auto" w:fill="D9D9D9" w:themeFill="background1" w:themeFillShade="D9"/>
            <w:vAlign w:val="center"/>
          </w:tcPr>
          <w:p w:rsidR="007D5C8F" w:rsidRPr="00AE0058" w:rsidRDefault="007D5C8F" w:rsidP="00C65795">
            <w:pPr>
              <w:keepNext/>
              <w:rPr>
                <w:b/>
                <w:color w:val="000000" w:themeColor="text1"/>
                <w:sz w:val="16"/>
                <w:szCs w:val="16"/>
              </w:rPr>
            </w:pPr>
            <w:r>
              <w:rPr>
                <w:b/>
                <w:color w:val="000000" w:themeColor="text1"/>
                <w:sz w:val="16"/>
                <w:szCs w:val="16"/>
              </w:rPr>
              <w:t>Personnel costs</w:t>
            </w:r>
          </w:p>
        </w:tc>
        <w:tc>
          <w:tcPr>
            <w:tcW w:w="939" w:type="pct"/>
            <w:shd w:val="clear" w:color="auto" w:fill="D9D9D9" w:themeFill="background1" w:themeFillShade="D9"/>
            <w:vAlign w:val="center"/>
          </w:tcPr>
          <w:p w:rsidR="007D5C8F" w:rsidRPr="00AE0058" w:rsidRDefault="007D5C8F" w:rsidP="00C65795">
            <w:pPr>
              <w:keepNext/>
              <w:rPr>
                <w:b/>
                <w:color w:val="000000" w:themeColor="text1"/>
                <w:sz w:val="16"/>
                <w:szCs w:val="16"/>
              </w:rPr>
            </w:pPr>
            <w:r>
              <w:rPr>
                <w:b/>
                <w:color w:val="000000" w:themeColor="text1"/>
                <w:sz w:val="16"/>
                <w:szCs w:val="16"/>
              </w:rPr>
              <w:t>Material costs</w:t>
            </w:r>
          </w:p>
        </w:tc>
        <w:tc>
          <w:tcPr>
            <w:tcW w:w="1170" w:type="pct"/>
            <w:tcBorders>
              <w:left w:val="single" w:sz="12" w:space="0" w:color="auto"/>
            </w:tcBorders>
            <w:shd w:val="clear" w:color="auto" w:fill="D9D9D9" w:themeFill="background1" w:themeFillShade="D9"/>
            <w:vAlign w:val="center"/>
          </w:tcPr>
          <w:p w:rsidR="007D5C8F" w:rsidRPr="00AE0058" w:rsidRDefault="007D5C8F" w:rsidP="00C65795">
            <w:pPr>
              <w:keepNext/>
              <w:rPr>
                <w:b/>
                <w:color w:val="000000" w:themeColor="text1"/>
                <w:sz w:val="16"/>
                <w:szCs w:val="16"/>
              </w:rPr>
            </w:pPr>
            <w:r>
              <w:rPr>
                <w:b/>
                <w:color w:val="000000" w:themeColor="text1"/>
                <w:sz w:val="16"/>
                <w:szCs w:val="16"/>
              </w:rPr>
              <w:t>Total costs</w:t>
            </w:r>
          </w:p>
        </w:tc>
      </w:tr>
      <w:tr w:rsidR="007D5C8F" w:rsidRPr="00AE0058" w:rsidTr="006C07FA">
        <w:tc>
          <w:tcPr>
            <w:tcW w:w="294" w:type="pct"/>
            <w:shd w:val="clear" w:color="auto" w:fill="D9D9D9" w:themeFill="background1" w:themeFillShade="D9"/>
            <w:vAlign w:val="center"/>
          </w:tcPr>
          <w:p w:rsidR="007D5C8F" w:rsidRPr="00AE0058" w:rsidRDefault="007D5C8F" w:rsidP="00C65795">
            <w:pPr>
              <w:keepNext/>
              <w:rPr>
                <w:b/>
                <w:color w:val="000000" w:themeColor="text1"/>
                <w:sz w:val="16"/>
                <w:szCs w:val="16"/>
              </w:rPr>
            </w:pPr>
          </w:p>
        </w:tc>
        <w:tc>
          <w:tcPr>
            <w:tcW w:w="480" w:type="pct"/>
            <w:shd w:val="clear" w:color="auto" w:fill="D9D9D9" w:themeFill="background1" w:themeFillShade="D9"/>
            <w:vAlign w:val="center"/>
          </w:tcPr>
          <w:p w:rsidR="007D5C8F" w:rsidRPr="00AE0058" w:rsidRDefault="007D5C8F" w:rsidP="00C65795">
            <w:pPr>
              <w:keepNext/>
              <w:rPr>
                <w:b/>
                <w:color w:val="000000" w:themeColor="text1"/>
                <w:sz w:val="16"/>
                <w:szCs w:val="16"/>
              </w:rPr>
            </w:pPr>
          </w:p>
        </w:tc>
        <w:tc>
          <w:tcPr>
            <w:tcW w:w="1173" w:type="pct"/>
            <w:shd w:val="clear" w:color="auto" w:fill="D9D9D9" w:themeFill="background1" w:themeFillShade="D9"/>
            <w:vAlign w:val="center"/>
          </w:tcPr>
          <w:p w:rsidR="007D5C8F" w:rsidRPr="00AE0058" w:rsidRDefault="007D5C8F" w:rsidP="00C65795">
            <w:pPr>
              <w:keepNext/>
              <w:rPr>
                <w:b/>
                <w:color w:val="000000" w:themeColor="text1"/>
                <w:sz w:val="16"/>
                <w:szCs w:val="16"/>
              </w:rPr>
            </w:pPr>
          </w:p>
        </w:tc>
        <w:tc>
          <w:tcPr>
            <w:tcW w:w="3053" w:type="pct"/>
            <w:gridSpan w:val="3"/>
            <w:shd w:val="clear" w:color="auto" w:fill="D9D9D9" w:themeFill="background1" w:themeFillShade="D9"/>
            <w:vAlign w:val="center"/>
          </w:tcPr>
          <w:p w:rsidR="007D5C8F" w:rsidRPr="00AE0058" w:rsidRDefault="007D5C8F" w:rsidP="00C65795">
            <w:pPr>
              <w:keepNext/>
              <w:jc w:val="center"/>
              <w:rPr>
                <w:b/>
                <w:color w:val="000000" w:themeColor="text1"/>
                <w:sz w:val="16"/>
                <w:szCs w:val="16"/>
              </w:rPr>
            </w:pPr>
            <w:r>
              <w:rPr>
                <w:b/>
                <w:color w:val="000000" w:themeColor="text1"/>
                <w:sz w:val="16"/>
                <w:szCs w:val="16"/>
              </w:rPr>
              <w:t>In thousands of EUR</w:t>
            </w:r>
          </w:p>
        </w:tc>
      </w:tr>
      <w:tr w:rsidR="007D5C8F" w:rsidRPr="00AE0058" w:rsidTr="006C07FA">
        <w:tc>
          <w:tcPr>
            <w:tcW w:w="294" w:type="pct"/>
            <w:vAlign w:val="center"/>
          </w:tcPr>
          <w:p w:rsidR="007D5C8F" w:rsidRPr="00AE0058" w:rsidRDefault="007D5C8F" w:rsidP="006805A7">
            <w:pPr>
              <w:rPr>
                <w:color w:val="000000" w:themeColor="text1"/>
                <w:sz w:val="16"/>
                <w:szCs w:val="16"/>
              </w:rPr>
            </w:pPr>
            <w:r>
              <w:rPr>
                <w:color w:val="000000" w:themeColor="text1"/>
                <w:sz w:val="16"/>
                <w:szCs w:val="16"/>
              </w:rPr>
              <w:t>13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D5C8F" w:rsidRPr="00AE0058" w:rsidRDefault="007D5C8F" w:rsidP="006805A7">
            <w:pPr>
              <w:rPr>
                <w:rFonts w:eastAsia="Times New Roman" w:cs="Times New Roman"/>
                <w:color w:val="000000" w:themeColor="text1"/>
                <w:sz w:val="16"/>
                <w:szCs w:val="16"/>
              </w:rPr>
            </w:pPr>
            <w:r>
              <w:rPr>
                <w:color w:val="000000" w:themeColor="text1"/>
                <w:sz w:val="16"/>
                <w:szCs w:val="16"/>
              </w:rPr>
              <w:t>§ 3 to § 16 UStatG</w:t>
            </w:r>
          </w:p>
        </w:tc>
        <w:tc>
          <w:tcPr>
            <w:tcW w:w="1173" w:type="pct"/>
            <w:vAlign w:val="center"/>
          </w:tcPr>
          <w:p w:rsidR="007D5C8F" w:rsidRPr="00AE0058" w:rsidRDefault="007D5C8F" w:rsidP="006805A7">
            <w:pPr>
              <w:rPr>
                <w:rFonts w:ascii="MetaNormalLF-Roman" w:hAnsi="MetaNormalLF-Roman" w:cs="Calibri"/>
                <w:color w:val="000000" w:themeColor="text1"/>
                <w:sz w:val="16"/>
                <w:szCs w:val="18"/>
              </w:rPr>
            </w:pPr>
            <w:r>
              <w:rPr>
                <w:color w:val="000000" w:themeColor="text1"/>
                <w:sz w:val="16"/>
                <w:szCs w:val="16"/>
              </w:rPr>
              <w:t>Surveys by the statistical offices of the federal states</w:t>
            </w:r>
          </w:p>
        </w:tc>
        <w:tc>
          <w:tcPr>
            <w:tcW w:w="944" w:type="pct"/>
            <w:tcBorders>
              <w:top w:val="single" w:sz="4" w:space="0" w:color="auto"/>
              <w:left w:val="nil"/>
              <w:bottom w:val="single" w:sz="4" w:space="0" w:color="auto"/>
              <w:right w:val="single" w:sz="4" w:space="0" w:color="auto"/>
            </w:tcBorders>
            <w:shd w:val="clear" w:color="auto" w:fill="auto"/>
            <w:vAlign w:val="center"/>
          </w:tcPr>
          <w:p w:rsidR="007D5C8F" w:rsidRPr="00AE0058" w:rsidRDefault="007D5C8F" w:rsidP="006805A7">
            <w:pPr>
              <w:jc w:val="right"/>
              <w:rPr>
                <w:rFonts w:eastAsia="Times New Roman" w:cs="Times New Roman"/>
                <w:color w:val="000000" w:themeColor="text1"/>
                <w:sz w:val="16"/>
                <w:szCs w:val="16"/>
              </w:rPr>
            </w:pPr>
            <w:r>
              <w:rPr>
                <w:color w:val="000000" w:themeColor="text1"/>
                <w:sz w:val="16"/>
                <w:szCs w:val="16"/>
              </w:rPr>
              <w:t>1 619</w:t>
            </w:r>
          </w:p>
        </w:tc>
        <w:tc>
          <w:tcPr>
            <w:tcW w:w="939" w:type="pct"/>
            <w:tcBorders>
              <w:top w:val="single" w:sz="4" w:space="0" w:color="auto"/>
              <w:left w:val="single" w:sz="4" w:space="0" w:color="auto"/>
              <w:bottom w:val="single" w:sz="4" w:space="0" w:color="auto"/>
              <w:right w:val="single" w:sz="12" w:space="0" w:color="auto"/>
            </w:tcBorders>
            <w:shd w:val="clear" w:color="auto" w:fill="auto"/>
            <w:vAlign w:val="center"/>
          </w:tcPr>
          <w:p w:rsidR="007D5C8F" w:rsidRPr="00AE0058" w:rsidRDefault="007D5C8F" w:rsidP="006805A7">
            <w:pPr>
              <w:jc w:val="right"/>
              <w:rPr>
                <w:rFonts w:eastAsia="Times New Roman" w:cs="Times New Roman"/>
                <w:color w:val="000000" w:themeColor="text1"/>
                <w:sz w:val="16"/>
                <w:szCs w:val="16"/>
              </w:rPr>
            </w:pPr>
            <w:r>
              <w:rPr>
                <w:rFonts w:ascii="MetaNormalLF-Roman" w:hAnsi="MetaNormalLF-Roman"/>
                <w:sz w:val="16"/>
                <w:szCs w:val="16"/>
              </w:rPr>
              <w:t>266</w:t>
            </w:r>
          </w:p>
        </w:tc>
        <w:tc>
          <w:tcPr>
            <w:tcW w:w="1170" w:type="pct"/>
            <w:tcBorders>
              <w:top w:val="single" w:sz="4" w:space="0" w:color="auto"/>
              <w:left w:val="single" w:sz="12" w:space="0" w:color="auto"/>
              <w:bottom w:val="single" w:sz="4" w:space="0" w:color="auto"/>
              <w:right w:val="single" w:sz="4" w:space="0" w:color="auto"/>
            </w:tcBorders>
            <w:shd w:val="clear" w:color="auto" w:fill="auto"/>
            <w:vAlign w:val="center"/>
          </w:tcPr>
          <w:p w:rsidR="007D5C8F" w:rsidRPr="00AE0058" w:rsidRDefault="007D5C8F" w:rsidP="006805A7">
            <w:pPr>
              <w:jc w:val="right"/>
              <w:rPr>
                <w:rFonts w:eastAsia="Times New Roman" w:cs="Times New Roman"/>
                <w:color w:val="000000" w:themeColor="text1"/>
                <w:sz w:val="16"/>
                <w:szCs w:val="16"/>
              </w:rPr>
            </w:pPr>
            <w:r>
              <w:rPr>
                <w:rFonts w:ascii="MetaNormalLF-Roman" w:hAnsi="MetaNormalLF-Roman"/>
                <w:sz w:val="16"/>
                <w:szCs w:val="16"/>
              </w:rPr>
              <w:t>1 885</w:t>
            </w:r>
          </w:p>
        </w:tc>
      </w:tr>
      <w:tr w:rsidR="007D5C8F" w:rsidRPr="00AE0058" w:rsidTr="006C07FA">
        <w:tc>
          <w:tcPr>
            <w:tcW w:w="1947" w:type="pct"/>
            <w:gridSpan w:val="3"/>
            <w:shd w:val="clear" w:color="auto" w:fill="D9D9D9" w:themeFill="background1" w:themeFillShade="D9"/>
            <w:vAlign w:val="center"/>
          </w:tcPr>
          <w:p w:rsidR="007D5C8F" w:rsidRPr="00AE0058" w:rsidRDefault="007D5C8F" w:rsidP="006805A7">
            <w:pPr>
              <w:rPr>
                <w:b/>
                <w:color w:val="000000" w:themeColor="text1"/>
                <w:sz w:val="16"/>
                <w:szCs w:val="16"/>
              </w:rPr>
            </w:pPr>
            <w:r>
              <w:rPr>
                <w:b/>
                <w:color w:val="000000" w:themeColor="text1"/>
                <w:sz w:val="16"/>
                <w:szCs w:val="16"/>
              </w:rPr>
              <w:t>Total (incl. IT costs combined)</w:t>
            </w:r>
          </w:p>
        </w:tc>
        <w:tc>
          <w:tcPr>
            <w:tcW w:w="944" w:type="pct"/>
            <w:shd w:val="clear" w:color="auto" w:fill="D9D9D9" w:themeFill="background1" w:themeFillShade="D9"/>
            <w:vAlign w:val="center"/>
          </w:tcPr>
          <w:p w:rsidR="007D5C8F" w:rsidRPr="00AE0058" w:rsidRDefault="007D5C8F" w:rsidP="006805A7">
            <w:pPr>
              <w:jc w:val="right"/>
              <w:rPr>
                <w:b/>
                <w:bCs/>
                <w:color w:val="000000" w:themeColor="text1"/>
                <w:sz w:val="16"/>
                <w:szCs w:val="16"/>
              </w:rPr>
            </w:pPr>
            <w:r>
              <w:rPr>
                <w:b/>
                <w:bCs/>
                <w:color w:val="000000" w:themeColor="text1"/>
                <w:sz w:val="16"/>
                <w:szCs w:val="16"/>
              </w:rPr>
              <w:t>1 619</w:t>
            </w:r>
          </w:p>
        </w:tc>
        <w:tc>
          <w:tcPr>
            <w:tcW w:w="939" w:type="pct"/>
            <w:shd w:val="clear" w:color="auto" w:fill="D9D9D9" w:themeFill="background1" w:themeFillShade="D9"/>
            <w:vAlign w:val="center"/>
          </w:tcPr>
          <w:p w:rsidR="007D5C8F" w:rsidRPr="00AE0058" w:rsidRDefault="007D5C8F" w:rsidP="006805A7">
            <w:pPr>
              <w:jc w:val="right"/>
              <w:rPr>
                <w:b/>
                <w:bCs/>
                <w:color w:val="000000" w:themeColor="text1"/>
                <w:sz w:val="16"/>
                <w:szCs w:val="16"/>
              </w:rPr>
            </w:pPr>
            <w:r>
              <w:rPr>
                <w:b/>
                <w:bCs/>
                <w:color w:val="000000" w:themeColor="text1"/>
                <w:sz w:val="16"/>
                <w:szCs w:val="16"/>
              </w:rPr>
              <w:t>266</w:t>
            </w:r>
          </w:p>
        </w:tc>
        <w:tc>
          <w:tcPr>
            <w:tcW w:w="1170" w:type="pct"/>
            <w:tcBorders>
              <w:left w:val="single" w:sz="12" w:space="0" w:color="auto"/>
            </w:tcBorders>
            <w:shd w:val="clear" w:color="auto" w:fill="D9D9D9" w:themeFill="background1" w:themeFillShade="D9"/>
            <w:vAlign w:val="center"/>
          </w:tcPr>
          <w:p w:rsidR="007D5C8F" w:rsidRPr="00AE0058" w:rsidRDefault="007D5C8F" w:rsidP="006805A7">
            <w:pPr>
              <w:jc w:val="right"/>
              <w:rPr>
                <w:b/>
                <w:bCs/>
                <w:color w:val="000000" w:themeColor="text1"/>
                <w:sz w:val="16"/>
                <w:szCs w:val="16"/>
              </w:rPr>
            </w:pPr>
            <w:r>
              <w:rPr>
                <w:b/>
                <w:bCs/>
                <w:color w:val="000000" w:themeColor="text1"/>
                <w:sz w:val="16"/>
                <w:szCs w:val="16"/>
              </w:rPr>
              <w:t>1 885</w:t>
            </w:r>
          </w:p>
        </w:tc>
      </w:tr>
    </w:tbl>
    <w:p w:rsidR="007D5C8F" w:rsidRPr="00AE0058" w:rsidRDefault="007D5C8F" w:rsidP="00AD27DC">
      <w:pPr>
        <w:spacing w:line="360" w:lineRule="auto"/>
        <w:rPr>
          <w:color w:val="000000" w:themeColor="text1"/>
        </w:rPr>
      </w:pPr>
    </w:p>
    <w:p w:rsidR="00AD27DC" w:rsidRPr="00AE0058" w:rsidRDefault="00AD27DC" w:rsidP="00632288">
      <w:pPr>
        <w:pStyle w:val="ListParagraph"/>
        <w:keepNext/>
        <w:numPr>
          <w:ilvl w:val="0"/>
          <w:numId w:val="6"/>
        </w:numPr>
        <w:spacing w:after="120" w:line="360" w:lineRule="auto"/>
        <w:ind w:firstLine="0"/>
        <w:jc w:val="both"/>
        <w:rPr>
          <w:rFonts w:ascii="MetaNormalLF-Roman" w:eastAsia="Times New Roman" w:hAnsi="MetaNormalLF-Roman" w:cs="Times New Roman"/>
          <w:b/>
          <w:color w:val="000000" w:themeColor="text1"/>
        </w:rPr>
      </w:pPr>
      <w:r>
        <w:rPr>
          <w:rFonts w:ascii="MetaNormalLF-Roman" w:hAnsi="MetaNormalLF-Roman"/>
          <w:b/>
          <w:color w:val="000000" w:themeColor="text1"/>
        </w:rPr>
        <w:t>Other administrations</w:t>
      </w:r>
    </w:p>
    <w:p w:rsidR="009F66BB" w:rsidRPr="00AE0058" w:rsidRDefault="009F66BB" w:rsidP="009F66BB">
      <w:pPr>
        <w:rPr>
          <w:color w:val="000000" w:themeColor="text1"/>
        </w:rPr>
      </w:pPr>
      <w:r>
        <w:rPr>
          <w:color w:val="000000" w:themeColor="text1"/>
        </w:rPr>
        <w:t>As the amendment covers three statistical domains (waste statistics, statistics on water management and climate-relevant substances, and environmental economic statistics), these are divided into case groups. In the table below (Table 10: Change in compliance costs for other administrations by case group), the changes in the respective statistics are first summarised. The case groups are then presented and described individually. Overall, the annual compliance costs for other administrations will change by around EUR 51 000. Of this amount, around EUR 50 000 is incurred at the federal state level and around EUR 70 at the federal level.</w:t>
      </w:r>
    </w:p>
    <w:p w:rsidR="00FB2F0D" w:rsidRPr="00AE0058" w:rsidRDefault="00FB2F0D" w:rsidP="00C65795">
      <w:pPr>
        <w:pStyle w:val="Caption"/>
        <w:keepNext/>
        <w:rPr>
          <w:b/>
          <w:color w:val="000000" w:themeColor="text1"/>
        </w:rPr>
      </w:pPr>
      <w:r>
        <w:rPr>
          <w:b/>
          <w:color w:val="000000" w:themeColor="text1"/>
        </w:rPr>
        <w:t>Table 8 – Change in compliance costs of other administrations by case groups</w:t>
      </w:r>
    </w:p>
    <w:tbl>
      <w:tblPr>
        <w:tblStyle w:val="TableGrid"/>
        <w:tblW w:w="4938" w:type="pct"/>
        <w:tblInd w:w="57" w:type="dxa"/>
        <w:tblLayout w:type="fixed"/>
        <w:tblCellMar>
          <w:left w:w="57" w:type="dxa"/>
          <w:right w:w="57" w:type="dxa"/>
        </w:tblCellMar>
        <w:tblLook w:val="04A0" w:firstRow="1" w:lastRow="0" w:firstColumn="1" w:lastColumn="0" w:noHBand="0" w:noVBand="1"/>
      </w:tblPr>
      <w:tblGrid>
        <w:gridCol w:w="670"/>
        <w:gridCol w:w="1874"/>
        <w:gridCol w:w="952"/>
        <w:gridCol w:w="938"/>
        <w:gridCol w:w="1075"/>
        <w:gridCol w:w="994"/>
        <w:gridCol w:w="1085"/>
        <w:gridCol w:w="1082"/>
      </w:tblGrid>
      <w:tr w:rsidR="009F66BB" w:rsidRPr="00AE0058" w:rsidTr="006C07FA">
        <w:tc>
          <w:tcPr>
            <w:tcW w:w="386" w:type="pct"/>
            <w:shd w:val="clear" w:color="auto" w:fill="D9D9D9" w:themeFill="background1" w:themeFillShade="D9"/>
            <w:vAlign w:val="center"/>
          </w:tcPr>
          <w:p w:rsidR="009F66BB" w:rsidRPr="00AE0058" w:rsidRDefault="009F66BB" w:rsidP="00C65795">
            <w:pPr>
              <w:keepNext/>
              <w:spacing w:line="360" w:lineRule="auto"/>
              <w:rPr>
                <w:b/>
                <w:color w:val="000000" w:themeColor="text1"/>
                <w:sz w:val="16"/>
                <w:szCs w:val="16"/>
              </w:rPr>
            </w:pPr>
          </w:p>
        </w:tc>
        <w:tc>
          <w:tcPr>
            <w:tcW w:w="1081" w:type="pct"/>
            <w:shd w:val="clear" w:color="auto" w:fill="D9D9D9" w:themeFill="background1" w:themeFillShade="D9"/>
            <w:vAlign w:val="center"/>
          </w:tcPr>
          <w:p w:rsidR="009F66BB" w:rsidRPr="00AE0058" w:rsidRDefault="009F66BB" w:rsidP="00C65795">
            <w:pPr>
              <w:keepNext/>
              <w:spacing w:line="360" w:lineRule="auto"/>
              <w:rPr>
                <w:b/>
                <w:color w:val="000000" w:themeColor="text1"/>
                <w:sz w:val="16"/>
                <w:szCs w:val="16"/>
              </w:rPr>
            </w:pPr>
          </w:p>
        </w:tc>
        <w:tc>
          <w:tcPr>
            <w:tcW w:w="1710" w:type="pct"/>
            <w:gridSpan w:val="3"/>
            <w:tcBorders>
              <w:right w:val="single" w:sz="12" w:space="0" w:color="auto"/>
            </w:tcBorders>
            <w:shd w:val="clear" w:color="auto" w:fill="D9D9D9" w:themeFill="background1" w:themeFillShade="D9"/>
            <w:vAlign w:val="center"/>
          </w:tcPr>
          <w:p w:rsidR="009F66BB" w:rsidRPr="00AE0058" w:rsidRDefault="009F66BB" w:rsidP="00C65795">
            <w:pPr>
              <w:keepNext/>
              <w:spacing w:line="360" w:lineRule="auto"/>
              <w:rPr>
                <w:b/>
                <w:color w:val="000000" w:themeColor="text1"/>
                <w:sz w:val="16"/>
                <w:szCs w:val="16"/>
              </w:rPr>
            </w:pPr>
            <w:r>
              <w:rPr>
                <w:b/>
                <w:color w:val="000000" w:themeColor="text1"/>
                <w:sz w:val="16"/>
                <w:szCs w:val="16"/>
              </w:rPr>
              <w:t>Annual compliance costs</w:t>
            </w:r>
          </w:p>
        </w:tc>
        <w:tc>
          <w:tcPr>
            <w:tcW w:w="1823" w:type="pct"/>
            <w:gridSpan w:val="3"/>
            <w:tcBorders>
              <w:left w:val="single" w:sz="12" w:space="0" w:color="auto"/>
            </w:tcBorders>
            <w:shd w:val="clear" w:color="auto" w:fill="D9D9D9" w:themeFill="background1" w:themeFillShade="D9"/>
            <w:vAlign w:val="center"/>
          </w:tcPr>
          <w:p w:rsidR="009F66BB" w:rsidRPr="00AE0058" w:rsidRDefault="009F66BB" w:rsidP="00C65795">
            <w:pPr>
              <w:keepNext/>
              <w:spacing w:line="360" w:lineRule="auto"/>
              <w:rPr>
                <w:b/>
                <w:color w:val="000000" w:themeColor="text1"/>
                <w:sz w:val="16"/>
                <w:szCs w:val="16"/>
              </w:rPr>
            </w:pPr>
            <w:r>
              <w:rPr>
                <w:b/>
                <w:color w:val="000000" w:themeColor="text1"/>
                <w:sz w:val="16"/>
                <w:szCs w:val="16"/>
              </w:rPr>
              <w:t>One-off compliance costs</w:t>
            </w:r>
          </w:p>
        </w:tc>
      </w:tr>
      <w:tr w:rsidR="009F66BB" w:rsidRPr="00AE0058" w:rsidTr="006C07FA">
        <w:tc>
          <w:tcPr>
            <w:tcW w:w="386" w:type="pct"/>
            <w:shd w:val="clear" w:color="auto" w:fill="D9D9D9" w:themeFill="background1" w:themeFillShade="D9"/>
            <w:vAlign w:val="center"/>
          </w:tcPr>
          <w:p w:rsidR="009F66BB" w:rsidRPr="00AE0058" w:rsidRDefault="009F66BB" w:rsidP="00C65795">
            <w:pPr>
              <w:keepNext/>
              <w:spacing w:line="360" w:lineRule="auto"/>
              <w:rPr>
                <w:b/>
                <w:color w:val="000000" w:themeColor="text1"/>
                <w:sz w:val="16"/>
                <w:szCs w:val="16"/>
              </w:rPr>
            </w:pPr>
            <w:r>
              <w:rPr>
                <w:b/>
                <w:color w:val="000000" w:themeColor="text1"/>
                <w:sz w:val="16"/>
                <w:szCs w:val="16"/>
              </w:rPr>
              <w:t>Case group</w:t>
            </w:r>
          </w:p>
        </w:tc>
        <w:tc>
          <w:tcPr>
            <w:tcW w:w="1081" w:type="pct"/>
            <w:shd w:val="clear" w:color="auto" w:fill="D9D9D9" w:themeFill="background1" w:themeFillShade="D9"/>
            <w:vAlign w:val="center"/>
          </w:tcPr>
          <w:p w:rsidR="009F66BB" w:rsidRPr="00AE0058" w:rsidRDefault="009F66BB" w:rsidP="00C65795">
            <w:pPr>
              <w:keepNext/>
              <w:spacing w:line="360" w:lineRule="auto"/>
              <w:rPr>
                <w:b/>
                <w:color w:val="000000" w:themeColor="text1"/>
                <w:sz w:val="16"/>
                <w:szCs w:val="16"/>
              </w:rPr>
            </w:pPr>
            <w:r>
              <w:rPr>
                <w:b/>
                <w:color w:val="000000" w:themeColor="text1"/>
                <w:sz w:val="16"/>
                <w:szCs w:val="16"/>
              </w:rPr>
              <w:t xml:space="preserve">Designation </w:t>
            </w:r>
          </w:p>
        </w:tc>
        <w:tc>
          <w:tcPr>
            <w:tcW w:w="549" w:type="pct"/>
            <w:shd w:val="clear" w:color="auto" w:fill="D9D9D9" w:themeFill="background1" w:themeFillShade="D9"/>
            <w:vAlign w:val="center"/>
          </w:tcPr>
          <w:p w:rsidR="009F66BB" w:rsidRPr="00AE0058" w:rsidRDefault="009F66BB" w:rsidP="00C65795">
            <w:pPr>
              <w:keepNext/>
              <w:spacing w:line="360" w:lineRule="auto"/>
              <w:rPr>
                <w:b/>
                <w:color w:val="000000" w:themeColor="text1"/>
                <w:sz w:val="16"/>
                <w:szCs w:val="16"/>
              </w:rPr>
            </w:pPr>
            <w:r>
              <w:rPr>
                <w:b/>
                <w:color w:val="000000" w:themeColor="text1"/>
                <w:sz w:val="16"/>
                <w:szCs w:val="16"/>
              </w:rPr>
              <w:t>Personnel costs</w:t>
            </w:r>
          </w:p>
        </w:tc>
        <w:tc>
          <w:tcPr>
            <w:tcW w:w="541" w:type="pct"/>
            <w:shd w:val="clear" w:color="auto" w:fill="D9D9D9" w:themeFill="background1" w:themeFillShade="D9"/>
            <w:vAlign w:val="center"/>
          </w:tcPr>
          <w:p w:rsidR="009F66BB" w:rsidRPr="00AE0058" w:rsidRDefault="009F66BB" w:rsidP="00C65795">
            <w:pPr>
              <w:keepNext/>
              <w:spacing w:line="360" w:lineRule="auto"/>
              <w:rPr>
                <w:b/>
                <w:color w:val="000000" w:themeColor="text1"/>
                <w:sz w:val="16"/>
                <w:szCs w:val="16"/>
              </w:rPr>
            </w:pPr>
            <w:r>
              <w:rPr>
                <w:b/>
                <w:color w:val="000000" w:themeColor="text1"/>
                <w:sz w:val="16"/>
                <w:szCs w:val="16"/>
              </w:rPr>
              <w:t>Material costs</w:t>
            </w:r>
          </w:p>
        </w:tc>
        <w:tc>
          <w:tcPr>
            <w:tcW w:w="620" w:type="pct"/>
            <w:tcBorders>
              <w:left w:val="single" w:sz="12" w:space="0" w:color="auto"/>
            </w:tcBorders>
            <w:shd w:val="clear" w:color="auto" w:fill="D9D9D9" w:themeFill="background1" w:themeFillShade="D9"/>
            <w:vAlign w:val="center"/>
          </w:tcPr>
          <w:p w:rsidR="009F66BB" w:rsidRPr="00AE0058" w:rsidRDefault="009F66BB" w:rsidP="00C65795">
            <w:pPr>
              <w:keepNext/>
              <w:spacing w:line="360" w:lineRule="auto"/>
              <w:rPr>
                <w:b/>
                <w:color w:val="000000" w:themeColor="text1"/>
                <w:sz w:val="16"/>
                <w:szCs w:val="16"/>
              </w:rPr>
            </w:pPr>
            <w:r>
              <w:rPr>
                <w:b/>
                <w:color w:val="000000" w:themeColor="text1"/>
                <w:sz w:val="16"/>
                <w:szCs w:val="16"/>
              </w:rPr>
              <w:t>Total costs</w:t>
            </w:r>
          </w:p>
        </w:tc>
        <w:tc>
          <w:tcPr>
            <w:tcW w:w="573" w:type="pct"/>
            <w:tcBorders>
              <w:left w:val="single" w:sz="12" w:space="0" w:color="auto"/>
              <w:right w:val="single" w:sz="4" w:space="0" w:color="auto"/>
            </w:tcBorders>
            <w:shd w:val="clear" w:color="auto" w:fill="D9D9D9" w:themeFill="background1" w:themeFillShade="D9"/>
            <w:vAlign w:val="center"/>
          </w:tcPr>
          <w:p w:rsidR="009F66BB" w:rsidRPr="00AE0058" w:rsidRDefault="009F66BB" w:rsidP="00C65795">
            <w:pPr>
              <w:keepNext/>
              <w:spacing w:line="360" w:lineRule="auto"/>
              <w:rPr>
                <w:b/>
                <w:color w:val="000000" w:themeColor="text1"/>
                <w:sz w:val="16"/>
                <w:szCs w:val="16"/>
              </w:rPr>
            </w:pPr>
            <w:r>
              <w:rPr>
                <w:b/>
                <w:color w:val="000000" w:themeColor="text1"/>
                <w:sz w:val="16"/>
                <w:szCs w:val="16"/>
              </w:rPr>
              <w:t>Personnel costs</w:t>
            </w:r>
          </w:p>
        </w:tc>
        <w:tc>
          <w:tcPr>
            <w:tcW w:w="626" w:type="pct"/>
            <w:tcBorders>
              <w:left w:val="single" w:sz="4" w:space="0" w:color="auto"/>
              <w:right w:val="single" w:sz="12" w:space="0" w:color="auto"/>
            </w:tcBorders>
            <w:shd w:val="clear" w:color="auto" w:fill="D9D9D9" w:themeFill="background1" w:themeFillShade="D9"/>
            <w:vAlign w:val="center"/>
          </w:tcPr>
          <w:p w:rsidR="009F66BB" w:rsidRPr="00AE0058" w:rsidRDefault="009F66BB" w:rsidP="00C65795">
            <w:pPr>
              <w:keepNext/>
              <w:spacing w:line="360" w:lineRule="auto"/>
              <w:rPr>
                <w:b/>
                <w:color w:val="000000" w:themeColor="text1"/>
                <w:sz w:val="16"/>
                <w:szCs w:val="16"/>
              </w:rPr>
            </w:pPr>
            <w:r>
              <w:rPr>
                <w:b/>
                <w:color w:val="000000" w:themeColor="text1"/>
                <w:sz w:val="16"/>
                <w:szCs w:val="16"/>
              </w:rPr>
              <w:t>Material costs</w:t>
            </w:r>
          </w:p>
        </w:tc>
        <w:tc>
          <w:tcPr>
            <w:tcW w:w="624" w:type="pct"/>
            <w:tcBorders>
              <w:left w:val="single" w:sz="12" w:space="0" w:color="auto"/>
            </w:tcBorders>
            <w:shd w:val="clear" w:color="auto" w:fill="D9D9D9" w:themeFill="background1" w:themeFillShade="D9"/>
            <w:vAlign w:val="center"/>
          </w:tcPr>
          <w:p w:rsidR="009F66BB" w:rsidRPr="00AE0058" w:rsidRDefault="009F66BB" w:rsidP="00C65795">
            <w:pPr>
              <w:keepNext/>
              <w:spacing w:line="360" w:lineRule="auto"/>
              <w:rPr>
                <w:b/>
                <w:color w:val="000000" w:themeColor="text1"/>
                <w:sz w:val="16"/>
                <w:szCs w:val="16"/>
              </w:rPr>
            </w:pPr>
            <w:r>
              <w:rPr>
                <w:b/>
                <w:color w:val="000000" w:themeColor="text1"/>
                <w:sz w:val="16"/>
                <w:szCs w:val="16"/>
              </w:rPr>
              <w:t>Total costs</w:t>
            </w:r>
          </w:p>
        </w:tc>
      </w:tr>
      <w:tr w:rsidR="009F66BB" w:rsidRPr="00AE0058" w:rsidTr="006C07FA">
        <w:tc>
          <w:tcPr>
            <w:tcW w:w="386" w:type="pct"/>
            <w:shd w:val="clear" w:color="auto" w:fill="D9D9D9" w:themeFill="background1" w:themeFillShade="D9"/>
            <w:vAlign w:val="center"/>
          </w:tcPr>
          <w:p w:rsidR="009F66BB" w:rsidRPr="00AE0058" w:rsidRDefault="009F66BB" w:rsidP="00C65795">
            <w:pPr>
              <w:keepNext/>
              <w:spacing w:line="360" w:lineRule="auto"/>
              <w:rPr>
                <w:b/>
                <w:color w:val="000000" w:themeColor="text1"/>
                <w:sz w:val="16"/>
                <w:szCs w:val="16"/>
              </w:rPr>
            </w:pPr>
          </w:p>
        </w:tc>
        <w:tc>
          <w:tcPr>
            <w:tcW w:w="1081" w:type="pct"/>
            <w:shd w:val="clear" w:color="auto" w:fill="D9D9D9" w:themeFill="background1" w:themeFillShade="D9"/>
            <w:vAlign w:val="center"/>
          </w:tcPr>
          <w:p w:rsidR="009F66BB" w:rsidRPr="00AE0058" w:rsidRDefault="009F66BB" w:rsidP="00C65795">
            <w:pPr>
              <w:keepNext/>
              <w:spacing w:line="360" w:lineRule="auto"/>
              <w:rPr>
                <w:b/>
                <w:color w:val="000000" w:themeColor="text1"/>
                <w:sz w:val="16"/>
                <w:szCs w:val="16"/>
              </w:rPr>
            </w:pPr>
          </w:p>
        </w:tc>
        <w:tc>
          <w:tcPr>
            <w:tcW w:w="3533" w:type="pct"/>
            <w:gridSpan w:val="6"/>
            <w:shd w:val="clear" w:color="auto" w:fill="D9D9D9" w:themeFill="background1" w:themeFillShade="D9"/>
            <w:vAlign w:val="center"/>
          </w:tcPr>
          <w:p w:rsidR="009F66BB" w:rsidRPr="00AE0058" w:rsidRDefault="009F66BB" w:rsidP="00C65795">
            <w:pPr>
              <w:keepNext/>
              <w:spacing w:line="360" w:lineRule="auto"/>
              <w:jc w:val="center"/>
              <w:rPr>
                <w:b/>
                <w:color w:val="000000" w:themeColor="text1"/>
                <w:sz w:val="16"/>
                <w:szCs w:val="16"/>
              </w:rPr>
            </w:pPr>
            <w:r>
              <w:rPr>
                <w:b/>
                <w:color w:val="000000" w:themeColor="text1"/>
                <w:sz w:val="16"/>
                <w:szCs w:val="16"/>
              </w:rPr>
              <w:t>In thousands of EUR</w:t>
            </w:r>
          </w:p>
        </w:tc>
      </w:tr>
      <w:tr w:rsidR="009F66BB" w:rsidRPr="00AE0058" w:rsidTr="006C07FA">
        <w:tc>
          <w:tcPr>
            <w:tcW w:w="386" w:type="pct"/>
            <w:vAlign w:val="center"/>
          </w:tcPr>
          <w:p w:rsidR="009F66BB" w:rsidRPr="00AE0058" w:rsidRDefault="009F66BB" w:rsidP="00FB2F0D">
            <w:pPr>
              <w:rPr>
                <w:color w:val="000000" w:themeColor="text1"/>
                <w:sz w:val="16"/>
                <w:szCs w:val="16"/>
              </w:rPr>
            </w:pPr>
            <w:r>
              <w:rPr>
                <w:color w:val="000000" w:themeColor="text1"/>
                <w:sz w:val="16"/>
                <w:szCs w:val="16"/>
              </w:rPr>
              <w:t>A</w:t>
            </w:r>
          </w:p>
        </w:tc>
        <w:tc>
          <w:tcPr>
            <w:tcW w:w="1081" w:type="pct"/>
            <w:vAlign w:val="center"/>
          </w:tcPr>
          <w:p w:rsidR="009F66BB" w:rsidRPr="00AE0058" w:rsidRDefault="009F66BB" w:rsidP="00FB2F0D">
            <w:pPr>
              <w:rPr>
                <w:color w:val="000000" w:themeColor="text1"/>
                <w:sz w:val="16"/>
                <w:szCs w:val="16"/>
              </w:rPr>
            </w:pPr>
            <w:r>
              <w:rPr>
                <w:color w:val="000000" w:themeColor="text1"/>
                <w:sz w:val="16"/>
                <w:szCs w:val="16"/>
              </w:rPr>
              <w:t>Waste statistics</w:t>
            </w:r>
          </w:p>
        </w:tc>
        <w:tc>
          <w:tcPr>
            <w:tcW w:w="549" w:type="pct"/>
            <w:vAlign w:val="center"/>
          </w:tcPr>
          <w:p w:rsidR="009F66BB" w:rsidRPr="00AE0058" w:rsidRDefault="008E5208" w:rsidP="00BF23C2">
            <w:pPr>
              <w:jc w:val="right"/>
              <w:rPr>
                <w:color w:val="000000" w:themeColor="text1"/>
                <w:sz w:val="16"/>
                <w:szCs w:val="16"/>
              </w:rPr>
            </w:pPr>
            <w:r>
              <w:rPr>
                <w:color w:val="000000" w:themeColor="text1"/>
                <w:sz w:val="16"/>
                <w:szCs w:val="16"/>
              </w:rPr>
              <w:t>+9</w:t>
            </w:r>
          </w:p>
        </w:tc>
        <w:tc>
          <w:tcPr>
            <w:tcW w:w="541" w:type="pct"/>
            <w:vAlign w:val="center"/>
          </w:tcPr>
          <w:p w:rsidR="009F66BB" w:rsidRPr="00AE0058" w:rsidRDefault="009F66BB" w:rsidP="00FB2F0D">
            <w:pPr>
              <w:jc w:val="right"/>
              <w:rPr>
                <w:color w:val="000000" w:themeColor="text1"/>
                <w:sz w:val="16"/>
                <w:szCs w:val="16"/>
              </w:rPr>
            </w:pPr>
            <w:r>
              <w:rPr>
                <w:color w:val="000000" w:themeColor="text1"/>
                <w:sz w:val="16"/>
                <w:szCs w:val="16"/>
              </w:rPr>
              <w:t>-</w:t>
            </w:r>
          </w:p>
        </w:tc>
        <w:tc>
          <w:tcPr>
            <w:tcW w:w="620" w:type="pct"/>
            <w:tcBorders>
              <w:left w:val="single" w:sz="12" w:space="0" w:color="auto"/>
            </w:tcBorders>
            <w:vAlign w:val="center"/>
          </w:tcPr>
          <w:p w:rsidR="009F66BB" w:rsidRPr="00AE0058" w:rsidRDefault="008E5208" w:rsidP="00BF23C2">
            <w:pPr>
              <w:jc w:val="right"/>
              <w:rPr>
                <w:color w:val="000000" w:themeColor="text1"/>
                <w:sz w:val="16"/>
                <w:szCs w:val="16"/>
              </w:rPr>
            </w:pPr>
            <w:r>
              <w:rPr>
                <w:color w:val="000000" w:themeColor="text1"/>
                <w:sz w:val="16"/>
                <w:szCs w:val="16"/>
              </w:rPr>
              <w:t>+9</w:t>
            </w:r>
          </w:p>
        </w:tc>
        <w:tc>
          <w:tcPr>
            <w:tcW w:w="573" w:type="pct"/>
            <w:tcBorders>
              <w:left w:val="single" w:sz="12" w:space="0" w:color="auto"/>
              <w:right w:val="single" w:sz="4" w:space="0" w:color="auto"/>
            </w:tcBorders>
            <w:vAlign w:val="center"/>
          </w:tcPr>
          <w:p w:rsidR="009F66BB" w:rsidRPr="00AE0058" w:rsidRDefault="009F66BB" w:rsidP="00FB2F0D">
            <w:pPr>
              <w:jc w:val="right"/>
              <w:rPr>
                <w:color w:val="000000" w:themeColor="text1"/>
                <w:sz w:val="16"/>
                <w:szCs w:val="16"/>
              </w:rPr>
            </w:pPr>
            <w:r>
              <w:rPr>
                <w:color w:val="000000" w:themeColor="text1"/>
                <w:sz w:val="16"/>
                <w:szCs w:val="16"/>
              </w:rPr>
              <w:t>-</w:t>
            </w:r>
          </w:p>
        </w:tc>
        <w:tc>
          <w:tcPr>
            <w:tcW w:w="626" w:type="pct"/>
            <w:tcBorders>
              <w:left w:val="single" w:sz="4" w:space="0" w:color="auto"/>
            </w:tcBorders>
            <w:vAlign w:val="center"/>
          </w:tcPr>
          <w:p w:rsidR="009F66BB" w:rsidRPr="00AE0058" w:rsidRDefault="009F66BB" w:rsidP="00FB2F0D">
            <w:pPr>
              <w:jc w:val="right"/>
              <w:rPr>
                <w:color w:val="000000" w:themeColor="text1"/>
                <w:sz w:val="16"/>
                <w:szCs w:val="16"/>
              </w:rPr>
            </w:pPr>
            <w:r>
              <w:rPr>
                <w:color w:val="000000" w:themeColor="text1"/>
                <w:sz w:val="16"/>
                <w:szCs w:val="16"/>
              </w:rPr>
              <w:t>-</w:t>
            </w:r>
          </w:p>
        </w:tc>
        <w:tc>
          <w:tcPr>
            <w:tcW w:w="624" w:type="pct"/>
            <w:tcBorders>
              <w:left w:val="single" w:sz="12" w:space="0" w:color="auto"/>
            </w:tcBorders>
            <w:vAlign w:val="center"/>
          </w:tcPr>
          <w:p w:rsidR="009F66BB" w:rsidRPr="00AE0058" w:rsidRDefault="009F66BB" w:rsidP="00FB2F0D">
            <w:pPr>
              <w:jc w:val="right"/>
              <w:rPr>
                <w:color w:val="000000" w:themeColor="text1"/>
                <w:sz w:val="16"/>
                <w:szCs w:val="16"/>
              </w:rPr>
            </w:pPr>
            <w:r>
              <w:rPr>
                <w:color w:val="000000" w:themeColor="text1"/>
                <w:sz w:val="16"/>
                <w:szCs w:val="16"/>
              </w:rPr>
              <w:t>-</w:t>
            </w:r>
          </w:p>
        </w:tc>
      </w:tr>
      <w:tr w:rsidR="009F66BB" w:rsidRPr="00AE0058" w:rsidTr="006C07FA">
        <w:tc>
          <w:tcPr>
            <w:tcW w:w="386" w:type="pct"/>
            <w:vAlign w:val="center"/>
          </w:tcPr>
          <w:p w:rsidR="009F66BB" w:rsidRPr="00AE0058" w:rsidRDefault="009F66BB" w:rsidP="00FB2F0D">
            <w:pPr>
              <w:rPr>
                <w:color w:val="000000" w:themeColor="text1"/>
                <w:sz w:val="16"/>
                <w:szCs w:val="16"/>
              </w:rPr>
            </w:pPr>
            <w:r>
              <w:rPr>
                <w:color w:val="000000" w:themeColor="text1"/>
                <w:sz w:val="16"/>
                <w:szCs w:val="16"/>
              </w:rPr>
              <w:t>B</w:t>
            </w:r>
          </w:p>
        </w:tc>
        <w:tc>
          <w:tcPr>
            <w:tcW w:w="1081" w:type="pct"/>
            <w:vAlign w:val="center"/>
          </w:tcPr>
          <w:p w:rsidR="009F66BB" w:rsidRPr="00AE0058" w:rsidRDefault="009F66BB" w:rsidP="00FB2F0D">
            <w:pPr>
              <w:rPr>
                <w:color w:val="000000" w:themeColor="text1"/>
                <w:sz w:val="16"/>
                <w:szCs w:val="16"/>
              </w:rPr>
            </w:pPr>
            <w:r>
              <w:rPr>
                <w:color w:val="000000" w:themeColor="text1"/>
                <w:sz w:val="16"/>
                <w:szCs w:val="16"/>
              </w:rPr>
              <w:t>Water statistics</w:t>
            </w:r>
          </w:p>
        </w:tc>
        <w:tc>
          <w:tcPr>
            <w:tcW w:w="549" w:type="pct"/>
            <w:vAlign w:val="center"/>
          </w:tcPr>
          <w:p w:rsidR="009F66BB" w:rsidRPr="00AE0058" w:rsidRDefault="009F66BB" w:rsidP="00FB2F0D">
            <w:pPr>
              <w:jc w:val="right"/>
              <w:rPr>
                <w:color w:val="000000" w:themeColor="text1"/>
                <w:sz w:val="16"/>
                <w:szCs w:val="16"/>
              </w:rPr>
            </w:pPr>
            <w:r>
              <w:rPr>
                <w:color w:val="000000" w:themeColor="text1"/>
                <w:sz w:val="16"/>
                <w:szCs w:val="16"/>
              </w:rPr>
              <w:t>+41</w:t>
            </w:r>
          </w:p>
        </w:tc>
        <w:tc>
          <w:tcPr>
            <w:tcW w:w="541" w:type="pct"/>
            <w:vAlign w:val="center"/>
          </w:tcPr>
          <w:p w:rsidR="009F66BB" w:rsidRPr="00AE0058" w:rsidRDefault="009F66BB" w:rsidP="00FB2F0D">
            <w:pPr>
              <w:jc w:val="right"/>
              <w:rPr>
                <w:color w:val="000000" w:themeColor="text1"/>
                <w:sz w:val="16"/>
                <w:szCs w:val="16"/>
              </w:rPr>
            </w:pPr>
            <w:r>
              <w:rPr>
                <w:color w:val="000000" w:themeColor="text1"/>
                <w:sz w:val="16"/>
                <w:szCs w:val="16"/>
              </w:rPr>
              <w:t>-</w:t>
            </w:r>
          </w:p>
        </w:tc>
        <w:tc>
          <w:tcPr>
            <w:tcW w:w="620" w:type="pct"/>
            <w:tcBorders>
              <w:left w:val="single" w:sz="12" w:space="0" w:color="auto"/>
            </w:tcBorders>
            <w:vAlign w:val="center"/>
          </w:tcPr>
          <w:p w:rsidR="009F66BB" w:rsidRPr="00AE0058" w:rsidRDefault="009F66BB" w:rsidP="00FB2F0D">
            <w:pPr>
              <w:jc w:val="right"/>
              <w:rPr>
                <w:color w:val="000000" w:themeColor="text1"/>
                <w:sz w:val="16"/>
                <w:szCs w:val="16"/>
              </w:rPr>
            </w:pPr>
            <w:r>
              <w:rPr>
                <w:color w:val="000000" w:themeColor="text1"/>
                <w:sz w:val="16"/>
                <w:szCs w:val="16"/>
              </w:rPr>
              <w:t>+41</w:t>
            </w:r>
          </w:p>
        </w:tc>
        <w:tc>
          <w:tcPr>
            <w:tcW w:w="573" w:type="pct"/>
            <w:tcBorders>
              <w:left w:val="single" w:sz="12" w:space="0" w:color="auto"/>
              <w:right w:val="single" w:sz="4" w:space="0" w:color="auto"/>
            </w:tcBorders>
            <w:vAlign w:val="center"/>
          </w:tcPr>
          <w:p w:rsidR="009F66BB" w:rsidRPr="00AE0058" w:rsidRDefault="009F66BB" w:rsidP="00FB2F0D">
            <w:pPr>
              <w:jc w:val="right"/>
              <w:rPr>
                <w:color w:val="000000" w:themeColor="text1"/>
                <w:sz w:val="16"/>
                <w:szCs w:val="16"/>
              </w:rPr>
            </w:pPr>
            <w:r>
              <w:rPr>
                <w:color w:val="000000" w:themeColor="text1"/>
                <w:sz w:val="16"/>
                <w:szCs w:val="16"/>
              </w:rPr>
              <w:t>-</w:t>
            </w:r>
          </w:p>
        </w:tc>
        <w:tc>
          <w:tcPr>
            <w:tcW w:w="626" w:type="pct"/>
            <w:tcBorders>
              <w:left w:val="single" w:sz="4" w:space="0" w:color="auto"/>
            </w:tcBorders>
            <w:vAlign w:val="center"/>
          </w:tcPr>
          <w:p w:rsidR="009F66BB" w:rsidRPr="00AE0058" w:rsidRDefault="009F66BB" w:rsidP="00FB2F0D">
            <w:pPr>
              <w:jc w:val="right"/>
              <w:rPr>
                <w:color w:val="000000" w:themeColor="text1"/>
                <w:sz w:val="16"/>
                <w:szCs w:val="16"/>
              </w:rPr>
            </w:pPr>
            <w:r>
              <w:rPr>
                <w:color w:val="000000" w:themeColor="text1"/>
                <w:sz w:val="16"/>
                <w:szCs w:val="16"/>
              </w:rPr>
              <w:t>-</w:t>
            </w:r>
          </w:p>
        </w:tc>
        <w:tc>
          <w:tcPr>
            <w:tcW w:w="624" w:type="pct"/>
            <w:tcBorders>
              <w:left w:val="single" w:sz="12" w:space="0" w:color="auto"/>
            </w:tcBorders>
            <w:vAlign w:val="center"/>
          </w:tcPr>
          <w:p w:rsidR="009F66BB" w:rsidRPr="00AE0058" w:rsidRDefault="009F66BB" w:rsidP="00FB2F0D">
            <w:pPr>
              <w:jc w:val="right"/>
              <w:rPr>
                <w:color w:val="000000" w:themeColor="text1"/>
                <w:sz w:val="16"/>
                <w:szCs w:val="16"/>
              </w:rPr>
            </w:pPr>
            <w:r>
              <w:rPr>
                <w:color w:val="000000" w:themeColor="text1"/>
                <w:sz w:val="16"/>
                <w:szCs w:val="16"/>
              </w:rPr>
              <w:t>-</w:t>
            </w:r>
          </w:p>
        </w:tc>
      </w:tr>
      <w:tr w:rsidR="009F66BB" w:rsidRPr="00AE0058" w:rsidTr="006C07FA">
        <w:tc>
          <w:tcPr>
            <w:tcW w:w="386" w:type="pct"/>
            <w:vAlign w:val="center"/>
          </w:tcPr>
          <w:p w:rsidR="009F66BB" w:rsidRPr="00AE0058" w:rsidRDefault="009F66BB" w:rsidP="00FB2F0D">
            <w:pPr>
              <w:rPr>
                <w:color w:val="000000" w:themeColor="text1"/>
                <w:sz w:val="16"/>
                <w:szCs w:val="16"/>
              </w:rPr>
            </w:pPr>
            <w:r>
              <w:rPr>
                <w:color w:val="000000" w:themeColor="text1"/>
                <w:sz w:val="16"/>
                <w:szCs w:val="16"/>
              </w:rPr>
              <w:lastRenderedPageBreak/>
              <w:t>C</w:t>
            </w:r>
          </w:p>
        </w:tc>
        <w:tc>
          <w:tcPr>
            <w:tcW w:w="1081" w:type="pct"/>
            <w:vAlign w:val="center"/>
          </w:tcPr>
          <w:p w:rsidR="009F66BB" w:rsidRPr="00AE0058" w:rsidRDefault="009F66BB" w:rsidP="00FB2F0D">
            <w:pPr>
              <w:rPr>
                <w:color w:val="000000" w:themeColor="text1"/>
                <w:sz w:val="16"/>
                <w:szCs w:val="16"/>
              </w:rPr>
            </w:pPr>
            <w:r>
              <w:rPr>
                <w:color w:val="000000" w:themeColor="text1"/>
                <w:sz w:val="16"/>
                <w:szCs w:val="16"/>
              </w:rPr>
              <w:t>Environmental-economic statistics</w:t>
            </w:r>
          </w:p>
        </w:tc>
        <w:tc>
          <w:tcPr>
            <w:tcW w:w="549" w:type="pct"/>
            <w:vAlign w:val="center"/>
          </w:tcPr>
          <w:p w:rsidR="009F66BB" w:rsidRPr="00AE0058" w:rsidRDefault="009F66BB" w:rsidP="00FB2F0D">
            <w:pPr>
              <w:jc w:val="right"/>
              <w:rPr>
                <w:color w:val="000000" w:themeColor="text1"/>
                <w:sz w:val="16"/>
                <w:szCs w:val="16"/>
              </w:rPr>
            </w:pPr>
            <w:r>
              <w:rPr>
                <w:color w:val="000000" w:themeColor="text1"/>
                <w:sz w:val="16"/>
                <w:szCs w:val="16"/>
              </w:rPr>
              <w:t>-</w:t>
            </w:r>
          </w:p>
        </w:tc>
        <w:tc>
          <w:tcPr>
            <w:tcW w:w="541" w:type="pct"/>
            <w:vAlign w:val="center"/>
          </w:tcPr>
          <w:p w:rsidR="009F66BB" w:rsidRPr="00AE0058" w:rsidRDefault="009F66BB" w:rsidP="00FB2F0D">
            <w:pPr>
              <w:jc w:val="right"/>
              <w:rPr>
                <w:color w:val="000000" w:themeColor="text1"/>
                <w:sz w:val="16"/>
                <w:szCs w:val="16"/>
              </w:rPr>
            </w:pPr>
            <w:r>
              <w:rPr>
                <w:color w:val="000000" w:themeColor="text1"/>
                <w:sz w:val="16"/>
                <w:szCs w:val="16"/>
              </w:rPr>
              <w:t>-</w:t>
            </w:r>
          </w:p>
        </w:tc>
        <w:tc>
          <w:tcPr>
            <w:tcW w:w="620" w:type="pct"/>
            <w:tcBorders>
              <w:left w:val="single" w:sz="12" w:space="0" w:color="auto"/>
            </w:tcBorders>
            <w:vAlign w:val="center"/>
          </w:tcPr>
          <w:p w:rsidR="009F66BB" w:rsidRPr="00AE0058" w:rsidRDefault="009F66BB" w:rsidP="00FB2F0D">
            <w:pPr>
              <w:jc w:val="right"/>
              <w:rPr>
                <w:color w:val="000000" w:themeColor="text1"/>
                <w:sz w:val="16"/>
                <w:szCs w:val="16"/>
              </w:rPr>
            </w:pPr>
            <w:r>
              <w:rPr>
                <w:color w:val="000000" w:themeColor="text1"/>
                <w:sz w:val="16"/>
                <w:szCs w:val="16"/>
              </w:rPr>
              <w:t>-</w:t>
            </w:r>
          </w:p>
        </w:tc>
        <w:tc>
          <w:tcPr>
            <w:tcW w:w="573" w:type="pct"/>
            <w:tcBorders>
              <w:left w:val="single" w:sz="12" w:space="0" w:color="auto"/>
              <w:right w:val="single" w:sz="4" w:space="0" w:color="auto"/>
            </w:tcBorders>
            <w:vAlign w:val="center"/>
          </w:tcPr>
          <w:p w:rsidR="009F66BB" w:rsidRPr="00AE0058" w:rsidRDefault="009F66BB" w:rsidP="00FB2F0D">
            <w:pPr>
              <w:jc w:val="right"/>
              <w:rPr>
                <w:color w:val="000000" w:themeColor="text1"/>
                <w:sz w:val="16"/>
                <w:szCs w:val="16"/>
              </w:rPr>
            </w:pPr>
            <w:r>
              <w:rPr>
                <w:color w:val="000000" w:themeColor="text1"/>
                <w:sz w:val="16"/>
                <w:szCs w:val="16"/>
              </w:rPr>
              <w:t>-</w:t>
            </w:r>
          </w:p>
        </w:tc>
        <w:tc>
          <w:tcPr>
            <w:tcW w:w="626" w:type="pct"/>
            <w:tcBorders>
              <w:left w:val="single" w:sz="4" w:space="0" w:color="auto"/>
            </w:tcBorders>
            <w:vAlign w:val="center"/>
          </w:tcPr>
          <w:p w:rsidR="009F66BB" w:rsidRPr="00AE0058" w:rsidRDefault="009F66BB" w:rsidP="00FB2F0D">
            <w:pPr>
              <w:jc w:val="right"/>
              <w:rPr>
                <w:color w:val="000000" w:themeColor="text1"/>
                <w:sz w:val="16"/>
                <w:szCs w:val="16"/>
              </w:rPr>
            </w:pPr>
            <w:r>
              <w:rPr>
                <w:color w:val="000000" w:themeColor="text1"/>
                <w:sz w:val="16"/>
                <w:szCs w:val="16"/>
              </w:rPr>
              <w:t>-</w:t>
            </w:r>
          </w:p>
        </w:tc>
        <w:tc>
          <w:tcPr>
            <w:tcW w:w="624" w:type="pct"/>
            <w:tcBorders>
              <w:left w:val="single" w:sz="12" w:space="0" w:color="auto"/>
            </w:tcBorders>
            <w:vAlign w:val="center"/>
          </w:tcPr>
          <w:p w:rsidR="009F66BB" w:rsidRPr="00AE0058" w:rsidRDefault="009F66BB" w:rsidP="00FB2F0D">
            <w:pPr>
              <w:jc w:val="right"/>
              <w:rPr>
                <w:color w:val="000000" w:themeColor="text1"/>
                <w:sz w:val="16"/>
                <w:szCs w:val="16"/>
              </w:rPr>
            </w:pPr>
            <w:r>
              <w:rPr>
                <w:color w:val="000000" w:themeColor="text1"/>
                <w:sz w:val="16"/>
                <w:szCs w:val="16"/>
              </w:rPr>
              <w:t>-</w:t>
            </w:r>
          </w:p>
        </w:tc>
      </w:tr>
      <w:tr w:rsidR="009F66BB" w:rsidRPr="00AE0058" w:rsidTr="006C07FA">
        <w:tc>
          <w:tcPr>
            <w:tcW w:w="1467" w:type="pct"/>
            <w:gridSpan w:val="2"/>
            <w:shd w:val="clear" w:color="auto" w:fill="F2F2F2" w:themeFill="background1" w:themeFillShade="F2"/>
            <w:vAlign w:val="center"/>
          </w:tcPr>
          <w:p w:rsidR="009F66BB" w:rsidRPr="00AE0058" w:rsidRDefault="009F66BB" w:rsidP="00FB2F0D">
            <w:pPr>
              <w:spacing w:line="360" w:lineRule="auto"/>
              <w:rPr>
                <w:color w:val="000000" w:themeColor="text1"/>
                <w:sz w:val="16"/>
                <w:szCs w:val="16"/>
              </w:rPr>
            </w:pPr>
            <w:r>
              <w:rPr>
                <w:color w:val="000000" w:themeColor="text1"/>
                <w:sz w:val="16"/>
                <w:szCs w:val="16"/>
              </w:rPr>
              <w:t>Total due to implementation of EU law</w:t>
            </w:r>
          </w:p>
        </w:tc>
        <w:tc>
          <w:tcPr>
            <w:tcW w:w="549" w:type="pct"/>
            <w:shd w:val="clear" w:color="auto" w:fill="F2F2F2" w:themeFill="background1" w:themeFillShade="F2"/>
            <w:vAlign w:val="center"/>
          </w:tcPr>
          <w:p w:rsidR="009F66BB" w:rsidRPr="00AE0058" w:rsidRDefault="008E5208" w:rsidP="00BF23C2">
            <w:pPr>
              <w:spacing w:line="360" w:lineRule="auto"/>
              <w:jc w:val="right"/>
              <w:rPr>
                <w:bCs/>
                <w:color w:val="000000" w:themeColor="text1"/>
                <w:sz w:val="16"/>
                <w:szCs w:val="16"/>
              </w:rPr>
            </w:pPr>
            <w:r>
              <w:rPr>
                <w:bCs/>
                <w:color w:val="000000" w:themeColor="text1"/>
                <w:sz w:val="16"/>
                <w:szCs w:val="16"/>
              </w:rPr>
              <w:t>+51</w:t>
            </w:r>
          </w:p>
        </w:tc>
        <w:tc>
          <w:tcPr>
            <w:tcW w:w="541" w:type="pct"/>
            <w:shd w:val="clear" w:color="auto" w:fill="F2F2F2" w:themeFill="background1" w:themeFillShade="F2"/>
            <w:vAlign w:val="center"/>
          </w:tcPr>
          <w:p w:rsidR="009F66BB" w:rsidRPr="00AE0058" w:rsidRDefault="009F66BB" w:rsidP="00FB2F0D">
            <w:pPr>
              <w:spacing w:line="360" w:lineRule="auto"/>
              <w:jc w:val="right"/>
              <w:rPr>
                <w:bCs/>
                <w:color w:val="000000" w:themeColor="text1"/>
                <w:sz w:val="16"/>
                <w:szCs w:val="16"/>
              </w:rPr>
            </w:pPr>
            <w:r>
              <w:rPr>
                <w:bCs/>
                <w:color w:val="000000" w:themeColor="text1"/>
                <w:sz w:val="16"/>
                <w:szCs w:val="16"/>
              </w:rPr>
              <w:t>-</w:t>
            </w:r>
          </w:p>
        </w:tc>
        <w:tc>
          <w:tcPr>
            <w:tcW w:w="620" w:type="pct"/>
            <w:tcBorders>
              <w:left w:val="single" w:sz="12" w:space="0" w:color="auto"/>
            </w:tcBorders>
            <w:shd w:val="clear" w:color="auto" w:fill="F2F2F2" w:themeFill="background1" w:themeFillShade="F2"/>
            <w:vAlign w:val="center"/>
          </w:tcPr>
          <w:p w:rsidR="009F66BB" w:rsidRPr="00AE0058" w:rsidRDefault="008E5208" w:rsidP="00BF23C2">
            <w:pPr>
              <w:spacing w:line="360" w:lineRule="auto"/>
              <w:jc w:val="right"/>
              <w:rPr>
                <w:bCs/>
                <w:color w:val="000000" w:themeColor="text1"/>
                <w:sz w:val="16"/>
                <w:szCs w:val="16"/>
              </w:rPr>
            </w:pPr>
            <w:r>
              <w:rPr>
                <w:bCs/>
                <w:color w:val="000000" w:themeColor="text1"/>
                <w:sz w:val="16"/>
                <w:szCs w:val="16"/>
              </w:rPr>
              <w:t>+51</w:t>
            </w:r>
          </w:p>
        </w:tc>
        <w:tc>
          <w:tcPr>
            <w:tcW w:w="573" w:type="pct"/>
            <w:tcBorders>
              <w:left w:val="single" w:sz="12" w:space="0" w:color="auto"/>
              <w:right w:val="single" w:sz="4" w:space="0" w:color="auto"/>
            </w:tcBorders>
            <w:shd w:val="clear" w:color="auto" w:fill="F2F2F2" w:themeFill="background1" w:themeFillShade="F2"/>
            <w:vAlign w:val="center"/>
          </w:tcPr>
          <w:p w:rsidR="009F66BB" w:rsidRPr="00AE0058" w:rsidRDefault="009F66BB" w:rsidP="00FB2F0D">
            <w:pPr>
              <w:spacing w:line="360" w:lineRule="auto"/>
              <w:jc w:val="right"/>
              <w:rPr>
                <w:bCs/>
                <w:color w:val="000000" w:themeColor="text1"/>
                <w:sz w:val="16"/>
                <w:szCs w:val="16"/>
              </w:rPr>
            </w:pPr>
            <w:r>
              <w:rPr>
                <w:bCs/>
                <w:color w:val="000000" w:themeColor="text1"/>
                <w:sz w:val="16"/>
                <w:szCs w:val="16"/>
              </w:rPr>
              <w:t>-</w:t>
            </w:r>
          </w:p>
        </w:tc>
        <w:tc>
          <w:tcPr>
            <w:tcW w:w="626" w:type="pct"/>
            <w:tcBorders>
              <w:left w:val="single" w:sz="4" w:space="0" w:color="auto"/>
            </w:tcBorders>
            <w:shd w:val="clear" w:color="auto" w:fill="F2F2F2" w:themeFill="background1" w:themeFillShade="F2"/>
            <w:vAlign w:val="center"/>
          </w:tcPr>
          <w:p w:rsidR="009F66BB" w:rsidRPr="00AE0058" w:rsidRDefault="009F66BB" w:rsidP="00FB2F0D">
            <w:pPr>
              <w:spacing w:line="360" w:lineRule="auto"/>
              <w:jc w:val="right"/>
              <w:rPr>
                <w:bCs/>
                <w:color w:val="000000" w:themeColor="text1"/>
                <w:sz w:val="16"/>
                <w:szCs w:val="16"/>
              </w:rPr>
            </w:pPr>
            <w:r>
              <w:rPr>
                <w:bCs/>
                <w:color w:val="000000" w:themeColor="text1"/>
                <w:sz w:val="16"/>
                <w:szCs w:val="16"/>
              </w:rPr>
              <w:t>-</w:t>
            </w:r>
          </w:p>
        </w:tc>
        <w:tc>
          <w:tcPr>
            <w:tcW w:w="624" w:type="pct"/>
            <w:tcBorders>
              <w:left w:val="single" w:sz="12" w:space="0" w:color="auto"/>
            </w:tcBorders>
            <w:shd w:val="clear" w:color="auto" w:fill="F2F2F2" w:themeFill="background1" w:themeFillShade="F2"/>
            <w:vAlign w:val="center"/>
          </w:tcPr>
          <w:p w:rsidR="009F66BB" w:rsidRPr="00AE0058" w:rsidRDefault="009F66BB" w:rsidP="00FB2F0D">
            <w:pPr>
              <w:spacing w:line="360" w:lineRule="auto"/>
              <w:jc w:val="right"/>
              <w:rPr>
                <w:bCs/>
                <w:color w:val="000000" w:themeColor="text1"/>
                <w:sz w:val="16"/>
                <w:szCs w:val="16"/>
              </w:rPr>
            </w:pPr>
            <w:r>
              <w:rPr>
                <w:bCs/>
                <w:color w:val="000000" w:themeColor="text1"/>
                <w:sz w:val="16"/>
                <w:szCs w:val="16"/>
              </w:rPr>
              <w:t>-</w:t>
            </w:r>
          </w:p>
        </w:tc>
      </w:tr>
      <w:tr w:rsidR="009F66BB" w:rsidRPr="00AE0058" w:rsidTr="006C07FA">
        <w:tc>
          <w:tcPr>
            <w:tcW w:w="1467" w:type="pct"/>
            <w:gridSpan w:val="2"/>
            <w:shd w:val="clear" w:color="auto" w:fill="F2F2F2" w:themeFill="background1" w:themeFillShade="F2"/>
            <w:vAlign w:val="center"/>
          </w:tcPr>
          <w:p w:rsidR="009F66BB" w:rsidRPr="00AE0058" w:rsidRDefault="009F66BB" w:rsidP="00FB2F0D">
            <w:pPr>
              <w:spacing w:line="360" w:lineRule="auto"/>
              <w:jc w:val="right"/>
              <w:rPr>
                <w:color w:val="000000" w:themeColor="text1"/>
                <w:sz w:val="16"/>
                <w:szCs w:val="16"/>
              </w:rPr>
            </w:pPr>
            <w:r>
              <w:rPr>
                <w:color w:val="000000" w:themeColor="text1"/>
                <w:sz w:val="16"/>
                <w:szCs w:val="16"/>
              </w:rPr>
              <w:t>of which at federal level</w:t>
            </w:r>
          </w:p>
        </w:tc>
        <w:tc>
          <w:tcPr>
            <w:tcW w:w="549" w:type="pct"/>
            <w:shd w:val="clear" w:color="auto" w:fill="F2F2F2" w:themeFill="background1" w:themeFillShade="F2"/>
            <w:vAlign w:val="center"/>
          </w:tcPr>
          <w:p w:rsidR="009F66BB" w:rsidRPr="00AE0058" w:rsidRDefault="008E5208" w:rsidP="00FB2F0D">
            <w:pPr>
              <w:spacing w:line="360" w:lineRule="auto"/>
              <w:jc w:val="right"/>
              <w:rPr>
                <w:bCs/>
                <w:color w:val="000000" w:themeColor="text1"/>
                <w:sz w:val="16"/>
                <w:szCs w:val="16"/>
              </w:rPr>
            </w:pPr>
            <w:r>
              <w:rPr>
                <w:bCs/>
                <w:color w:val="000000" w:themeColor="text1"/>
                <w:sz w:val="16"/>
                <w:szCs w:val="16"/>
              </w:rPr>
              <w:t>+0.07</w:t>
            </w:r>
          </w:p>
        </w:tc>
        <w:tc>
          <w:tcPr>
            <w:tcW w:w="541" w:type="pct"/>
            <w:shd w:val="clear" w:color="auto" w:fill="F2F2F2" w:themeFill="background1" w:themeFillShade="F2"/>
            <w:vAlign w:val="center"/>
          </w:tcPr>
          <w:p w:rsidR="009F66BB" w:rsidRPr="00AE0058" w:rsidRDefault="009F66BB" w:rsidP="00FB2F0D">
            <w:pPr>
              <w:spacing w:line="360" w:lineRule="auto"/>
              <w:jc w:val="right"/>
              <w:rPr>
                <w:bCs/>
                <w:color w:val="000000" w:themeColor="text1"/>
                <w:sz w:val="16"/>
                <w:szCs w:val="16"/>
              </w:rPr>
            </w:pPr>
            <w:r>
              <w:rPr>
                <w:bCs/>
                <w:color w:val="000000" w:themeColor="text1"/>
                <w:sz w:val="16"/>
                <w:szCs w:val="16"/>
              </w:rPr>
              <w:t>-</w:t>
            </w:r>
          </w:p>
        </w:tc>
        <w:tc>
          <w:tcPr>
            <w:tcW w:w="620" w:type="pct"/>
            <w:tcBorders>
              <w:left w:val="single" w:sz="12" w:space="0" w:color="auto"/>
            </w:tcBorders>
            <w:shd w:val="clear" w:color="auto" w:fill="F2F2F2" w:themeFill="background1" w:themeFillShade="F2"/>
            <w:vAlign w:val="center"/>
          </w:tcPr>
          <w:p w:rsidR="009F66BB" w:rsidRPr="00AE0058" w:rsidRDefault="008E5208" w:rsidP="00FB2F0D">
            <w:pPr>
              <w:spacing w:line="360" w:lineRule="auto"/>
              <w:jc w:val="right"/>
              <w:rPr>
                <w:bCs/>
                <w:color w:val="000000" w:themeColor="text1"/>
                <w:sz w:val="16"/>
                <w:szCs w:val="16"/>
              </w:rPr>
            </w:pPr>
            <w:r>
              <w:rPr>
                <w:bCs/>
                <w:color w:val="000000" w:themeColor="text1"/>
                <w:sz w:val="16"/>
                <w:szCs w:val="16"/>
              </w:rPr>
              <w:t>+0.07</w:t>
            </w:r>
          </w:p>
        </w:tc>
        <w:tc>
          <w:tcPr>
            <w:tcW w:w="573" w:type="pct"/>
            <w:tcBorders>
              <w:left w:val="single" w:sz="12" w:space="0" w:color="auto"/>
              <w:right w:val="single" w:sz="4" w:space="0" w:color="auto"/>
            </w:tcBorders>
            <w:shd w:val="clear" w:color="auto" w:fill="F2F2F2" w:themeFill="background1" w:themeFillShade="F2"/>
            <w:vAlign w:val="center"/>
          </w:tcPr>
          <w:p w:rsidR="009F66BB" w:rsidRPr="00AE0058" w:rsidRDefault="009F66BB" w:rsidP="00FB2F0D">
            <w:pPr>
              <w:spacing w:line="360" w:lineRule="auto"/>
              <w:jc w:val="right"/>
              <w:rPr>
                <w:bCs/>
                <w:color w:val="000000" w:themeColor="text1"/>
                <w:sz w:val="16"/>
                <w:szCs w:val="16"/>
              </w:rPr>
            </w:pPr>
            <w:r>
              <w:rPr>
                <w:bCs/>
                <w:color w:val="000000" w:themeColor="text1"/>
                <w:sz w:val="16"/>
                <w:szCs w:val="16"/>
              </w:rPr>
              <w:t>-</w:t>
            </w:r>
          </w:p>
        </w:tc>
        <w:tc>
          <w:tcPr>
            <w:tcW w:w="626" w:type="pct"/>
            <w:tcBorders>
              <w:left w:val="single" w:sz="4" w:space="0" w:color="auto"/>
            </w:tcBorders>
            <w:shd w:val="clear" w:color="auto" w:fill="F2F2F2" w:themeFill="background1" w:themeFillShade="F2"/>
            <w:vAlign w:val="center"/>
          </w:tcPr>
          <w:p w:rsidR="009F66BB" w:rsidRPr="00AE0058" w:rsidRDefault="009F66BB" w:rsidP="00FB2F0D">
            <w:pPr>
              <w:spacing w:line="360" w:lineRule="auto"/>
              <w:jc w:val="right"/>
              <w:rPr>
                <w:bCs/>
                <w:color w:val="000000" w:themeColor="text1"/>
                <w:sz w:val="16"/>
                <w:szCs w:val="16"/>
              </w:rPr>
            </w:pPr>
            <w:r>
              <w:rPr>
                <w:bCs/>
                <w:color w:val="000000" w:themeColor="text1"/>
                <w:sz w:val="16"/>
                <w:szCs w:val="16"/>
              </w:rPr>
              <w:t>-</w:t>
            </w:r>
          </w:p>
        </w:tc>
        <w:tc>
          <w:tcPr>
            <w:tcW w:w="624" w:type="pct"/>
            <w:tcBorders>
              <w:left w:val="single" w:sz="12" w:space="0" w:color="auto"/>
            </w:tcBorders>
            <w:shd w:val="clear" w:color="auto" w:fill="F2F2F2" w:themeFill="background1" w:themeFillShade="F2"/>
            <w:vAlign w:val="center"/>
          </w:tcPr>
          <w:p w:rsidR="009F66BB" w:rsidRPr="00AE0058" w:rsidRDefault="009F66BB" w:rsidP="00FB2F0D">
            <w:pPr>
              <w:spacing w:line="360" w:lineRule="auto"/>
              <w:jc w:val="right"/>
              <w:rPr>
                <w:bCs/>
                <w:color w:val="000000" w:themeColor="text1"/>
                <w:sz w:val="16"/>
                <w:szCs w:val="16"/>
              </w:rPr>
            </w:pPr>
            <w:r>
              <w:rPr>
                <w:bCs/>
                <w:color w:val="000000" w:themeColor="text1"/>
                <w:sz w:val="16"/>
                <w:szCs w:val="16"/>
              </w:rPr>
              <w:t>-</w:t>
            </w:r>
          </w:p>
        </w:tc>
      </w:tr>
      <w:tr w:rsidR="009F66BB" w:rsidRPr="00AE0058" w:rsidTr="006C07FA">
        <w:tc>
          <w:tcPr>
            <w:tcW w:w="1467" w:type="pct"/>
            <w:gridSpan w:val="2"/>
            <w:shd w:val="clear" w:color="auto" w:fill="F2F2F2" w:themeFill="background1" w:themeFillShade="F2"/>
            <w:vAlign w:val="center"/>
          </w:tcPr>
          <w:p w:rsidR="009F66BB" w:rsidRPr="00AE0058" w:rsidRDefault="009F66BB" w:rsidP="00FB2F0D">
            <w:pPr>
              <w:spacing w:line="360" w:lineRule="auto"/>
              <w:jc w:val="right"/>
              <w:rPr>
                <w:color w:val="000000" w:themeColor="text1"/>
                <w:sz w:val="16"/>
                <w:szCs w:val="16"/>
              </w:rPr>
            </w:pPr>
            <w:r>
              <w:rPr>
                <w:color w:val="000000" w:themeColor="text1"/>
                <w:sz w:val="16"/>
                <w:szCs w:val="16"/>
              </w:rPr>
              <w:t>of which at federal state level</w:t>
            </w:r>
          </w:p>
        </w:tc>
        <w:tc>
          <w:tcPr>
            <w:tcW w:w="549" w:type="pct"/>
            <w:shd w:val="clear" w:color="auto" w:fill="F2F2F2" w:themeFill="background1" w:themeFillShade="F2"/>
            <w:vAlign w:val="center"/>
          </w:tcPr>
          <w:p w:rsidR="009F66BB" w:rsidRPr="00AE0058" w:rsidRDefault="008E5208" w:rsidP="00BF23C2">
            <w:pPr>
              <w:spacing w:line="360" w:lineRule="auto"/>
              <w:jc w:val="right"/>
              <w:rPr>
                <w:bCs/>
                <w:color w:val="000000" w:themeColor="text1"/>
                <w:sz w:val="16"/>
                <w:szCs w:val="16"/>
              </w:rPr>
            </w:pPr>
            <w:r>
              <w:rPr>
                <w:bCs/>
                <w:color w:val="000000" w:themeColor="text1"/>
                <w:sz w:val="16"/>
                <w:szCs w:val="16"/>
              </w:rPr>
              <w:t>+50</w:t>
            </w:r>
          </w:p>
        </w:tc>
        <w:tc>
          <w:tcPr>
            <w:tcW w:w="541" w:type="pct"/>
            <w:shd w:val="clear" w:color="auto" w:fill="F2F2F2" w:themeFill="background1" w:themeFillShade="F2"/>
            <w:vAlign w:val="center"/>
          </w:tcPr>
          <w:p w:rsidR="009F66BB" w:rsidRPr="00AE0058" w:rsidRDefault="009F66BB" w:rsidP="00FB2F0D">
            <w:pPr>
              <w:spacing w:line="360" w:lineRule="auto"/>
              <w:jc w:val="right"/>
              <w:rPr>
                <w:bCs/>
                <w:color w:val="000000" w:themeColor="text1"/>
                <w:sz w:val="16"/>
                <w:szCs w:val="16"/>
              </w:rPr>
            </w:pPr>
            <w:r>
              <w:rPr>
                <w:bCs/>
                <w:color w:val="000000" w:themeColor="text1"/>
                <w:sz w:val="16"/>
                <w:szCs w:val="16"/>
              </w:rPr>
              <w:t>-</w:t>
            </w:r>
          </w:p>
        </w:tc>
        <w:tc>
          <w:tcPr>
            <w:tcW w:w="620" w:type="pct"/>
            <w:tcBorders>
              <w:left w:val="single" w:sz="12" w:space="0" w:color="auto"/>
            </w:tcBorders>
            <w:shd w:val="clear" w:color="auto" w:fill="F2F2F2" w:themeFill="background1" w:themeFillShade="F2"/>
            <w:vAlign w:val="center"/>
          </w:tcPr>
          <w:p w:rsidR="009F66BB" w:rsidRPr="00AE0058" w:rsidRDefault="008E5208" w:rsidP="00BF23C2">
            <w:pPr>
              <w:spacing w:line="360" w:lineRule="auto"/>
              <w:jc w:val="right"/>
              <w:rPr>
                <w:bCs/>
                <w:color w:val="000000" w:themeColor="text1"/>
                <w:sz w:val="16"/>
                <w:szCs w:val="16"/>
              </w:rPr>
            </w:pPr>
            <w:r>
              <w:rPr>
                <w:bCs/>
                <w:color w:val="000000" w:themeColor="text1"/>
                <w:sz w:val="16"/>
                <w:szCs w:val="16"/>
              </w:rPr>
              <w:t>+50</w:t>
            </w:r>
          </w:p>
        </w:tc>
        <w:tc>
          <w:tcPr>
            <w:tcW w:w="573" w:type="pct"/>
            <w:tcBorders>
              <w:left w:val="single" w:sz="12" w:space="0" w:color="auto"/>
              <w:right w:val="single" w:sz="4" w:space="0" w:color="auto"/>
            </w:tcBorders>
            <w:shd w:val="clear" w:color="auto" w:fill="F2F2F2" w:themeFill="background1" w:themeFillShade="F2"/>
            <w:vAlign w:val="center"/>
          </w:tcPr>
          <w:p w:rsidR="009F66BB" w:rsidRPr="00AE0058" w:rsidRDefault="009F66BB" w:rsidP="00FB2F0D">
            <w:pPr>
              <w:spacing w:line="360" w:lineRule="auto"/>
              <w:jc w:val="right"/>
              <w:rPr>
                <w:bCs/>
                <w:color w:val="000000" w:themeColor="text1"/>
                <w:sz w:val="16"/>
                <w:szCs w:val="16"/>
              </w:rPr>
            </w:pPr>
            <w:r>
              <w:rPr>
                <w:bCs/>
                <w:color w:val="000000" w:themeColor="text1"/>
                <w:sz w:val="16"/>
                <w:szCs w:val="16"/>
              </w:rPr>
              <w:t>-</w:t>
            </w:r>
          </w:p>
        </w:tc>
        <w:tc>
          <w:tcPr>
            <w:tcW w:w="626" w:type="pct"/>
            <w:tcBorders>
              <w:left w:val="single" w:sz="4" w:space="0" w:color="auto"/>
            </w:tcBorders>
            <w:shd w:val="clear" w:color="auto" w:fill="F2F2F2" w:themeFill="background1" w:themeFillShade="F2"/>
            <w:vAlign w:val="center"/>
          </w:tcPr>
          <w:p w:rsidR="009F66BB" w:rsidRPr="00AE0058" w:rsidRDefault="009F66BB" w:rsidP="00FB2F0D">
            <w:pPr>
              <w:spacing w:line="360" w:lineRule="auto"/>
              <w:jc w:val="right"/>
              <w:rPr>
                <w:bCs/>
                <w:color w:val="000000" w:themeColor="text1"/>
                <w:sz w:val="16"/>
                <w:szCs w:val="16"/>
              </w:rPr>
            </w:pPr>
            <w:r>
              <w:rPr>
                <w:bCs/>
                <w:color w:val="000000" w:themeColor="text1"/>
                <w:sz w:val="16"/>
                <w:szCs w:val="16"/>
              </w:rPr>
              <w:t>-</w:t>
            </w:r>
          </w:p>
        </w:tc>
        <w:tc>
          <w:tcPr>
            <w:tcW w:w="624" w:type="pct"/>
            <w:tcBorders>
              <w:left w:val="single" w:sz="12" w:space="0" w:color="auto"/>
            </w:tcBorders>
            <w:shd w:val="clear" w:color="auto" w:fill="F2F2F2" w:themeFill="background1" w:themeFillShade="F2"/>
            <w:vAlign w:val="center"/>
          </w:tcPr>
          <w:p w:rsidR="009F66BB" w:rsidRPr="00AE0058" w:rsidRDefault="009F66BB" w:rsidP="00FB2F0D">
            <w:pPr>
              <w:spacing w:line="360" w:lineRule="auto"/>
              <w:jc w:val="right"/>
              <w:rPr>
                <w:bCs/>
                <w:color w:val="000000" w:themeColor="text1"/>
                <w:sz w:val="16"/>
                <w:szCs w:val="16"/>
              </w:rPr>
            </w:pPr>
            <w:r>
              <w:rPr>
                <w:bCs/>
                <w:color w:val="000000" w:themeColor="text1"/>
                <w:sz w:val="16"/>
                <w:szCs w:val="16"/>
              </w:rPr>
              <w:t>-</w:t>
            </w:r>
          </w:p>
        </w:tc>
      </w:tr>
    </w:tbl>
    <w:p w:rsidR="00AD27DC" w:rsidRPr="00AE0058" w:rsidRDefault="00AD27DC" w:rsidP="00AD27DC">
      <w:pPr>
        <w:spacing w:line="360" w:lineRule="auto"/>
        <w:rPr>
          <w:rFonts w:ascii="MetaNormalLF-Roman" w:eastAsia="Times New Roman" w:hAnsi="MetaNormalLF-Roman" w:cs="Times New Roman"/>
          <w:color w:val="000000" w:themeColor="text1"/>
          <w:lang w:eastAsia="de-DE"/>
        </w:rPr>
      </w:pPr>
    </w:p>
    <w:p w:rsidR="009F66BB" w:rsidRPr="00AE0058" w:rsidRDefault="009F66BB" w:rsidP="00C65795">
      <w:pPr>
        <w:pStyle w:val="Text"/>
        <w:keepNext/>
        <w:rPr>
          <w:rFonts w:ascii="MetaNormalLF-Roman" w:hAnsi="MetaNormalLF-Roman"/>
          <w:i/>
          <w:color w:val="000000" w:themeColor="text1"/>
          <w:u w:val="single"/>
        </w:rPr>
      </w:pPr>
      <w:r>
        <w:rPr>
          <w:rFonts w:ascii="MetaNormalLF-Roman" w:hAnsi="MetaNormalLF-Roman"/>
          <w:i/>
          <w:color w:val="000000" w:themeColor="text1"/>
          <w:u w:val="single"/>
        </w:rPr>
        <w:t>Case group A: Waste statistics</w:t>
      </w:r>
    </w:p>
    <w:p w:rsidR="009F66BB" w:rsidRPr="00AE0058" w:rsidRDefault="009F66BB" w:rsidP="009F66BB">
      <w:pPr>
        <w:pStyle w:val="Text"/>
        <w:rPr>
          <w:rStyle w:val="Marker"/>
          <w:color w:val="000000" w:themeColor="text1"/>
        </w:rPr>
      </w:pPr>
      <w:r>
        <w:rPr>
          <w:rStyle w:val="Marker"/>
          <w:color w:val="000000" w:themeColor="text1"/>
        </w:rPr>
        <w:t>Changes in waste statistics will change the annual compliance costs by around EUR 9 000. Case group A – Waste statistics is presented below for the administrative addressees (other administrations) for each individual requirement.</w:t>
      </w:r>
    </w:p>
    <w:p w:rsidR="00FB2F0D" w:rsidRPr="00AE0058" w:rsidRDefault="00FB2F0D" w:rsidP="00C65795">
      <w:pPr>
        <w:pStyle w:val="Caption"/>
        <w:keepNext/>
        <w:rPr>
          <w:b/>
          <w:color w:val="000000" w:themeColor="text1"/>
        </w:rPr>
      </w:pPr>
      <w:r>
        <w:rPr>
          <w:b/>
          <w:color w:val="000000" w:themeColor="text1"/>
        </w:rPr>
        <w:t xml:space="preserve">Table 9 – Case group A – Waste statistics; </w:t>
      </w:r>
      <w:r>
        <w:rPr>
          <w:b/>
          <w:color w:val="000000" w:themeColor="text1"/>
          <w:u w:val="single"/>
        </w:rPr>
        <w:t>annual</w:t>
      </w:r>
      <w:r>
        <w:rPr>
          <w:b/>
          <w:color w:val="000000" w:themeColor="text1"/>
        </w:rPr>
        <w:t xml:space="preserve"> compliance costs for other administrations</w:t>
      </w:r>
    </w:p>
    <w:tbl>
      <w:tblPr>
        <w:tblStyle w:val="TableGrid"/>
        <w:tblW w:w="4938" w:type="pct"/>
        <w:tblInd w:w="57" w:type="dxa"/>
        <w:tblLayout w:type="fixed"/>
        <w:tblCellMar>
          <w:left w:w="57" w:type="dxa"/>
          <w:right w:w="57" w:type="dxa"/>
        </w:tblCellMar>
        <w:tblLook w:val="04A0" w:firstRow="1" w:lastRow="0" w:firstColumn="1" w:lastColumn="0" w:noHBand="0" w:noVBand="1"/>
      </w:tblPr>
      <w:tblGrid>
        <w:gridCol w:w="504"/>
        <w:gridCol w:w="568"/>
        <w:gridCol w:w="1417"/>
        <w:gridCol w:w="888"/>
        <w:gridCol w:w="810"/>
        <w:gridCol w:w="12"/>
        <w:gridCol w:w="805"/>
        <w:gridCol w:w="810"/>
        <w:gridCol w:w="16"/>
        <w:gridCol w:w="929"/>
        <w:gridCol w:w="1911"/>
      </w:tblGrid>
      <w:tr w:rsidR="009F66BB" w:rsidRPr="00AE0058" w:rsidTr="006C07FA">
        <w:tc>
          <w:tcPr>
            <w:tcW w:w="291" w:type="pct"/>
            <w:shd w:val="clear" w:color="auto" w:fill="D9D9D9" w:themeFill="background1" w:themeFillShade="D9"/>
            <w:vAlign w:val="center"/>
          </w:tcPr>
          <w:p w:rsidR="009F66BB" w:rsidRPr="00AE0058" w:rsidRDefault="009F66BB" w:rsidP="00C65795">
            <w:pPr>
              <w:keepNext/>
              <w:rPr>
                <w:b/>
                <w:color w:val="000000" w:themeColor="text1"/>
                <w:sz w:val="16"/>
                <w:szCs w:val="16"/>
              </w:rPr>
            </w:pPr>
          </w:p>
        </w:tc>
        <w:tc>
          <w:tcPr>
            <w:tcW w:w="328" w:type="pct"/>
            <w:shd w:val="clear" w:color="auto" w:fill="D9D9D9" w:themeFill="background1" w:themeFillShade="D9"/>
            <w:vAlign w:val="center"/>
          </w:tcPr>
          <w:p w:rsidR="009F66BB" w:rsidRPr="00AE0058" w:rsidRDefault="009F66BB" w:rsidP="00C65795">
            <w:pPr>
              <w:keepNext/>
              <w:rPr>
                <w:b/>
                <w:color w:val="000000" w:themeColor="text1"/>
                <w:sz w:val="16"/>
                <w:szCs w:val="16"/>
              </w:rPr>
            </w:pPr>
          </w:p>
        </w:tc>
        <w:tc>
          <w:tcPr>
            <w:tcW w:w="817" w:type="pct"/>
            <w:shd w:val="clear" w:color="auto" w:fill="D9D9D9" w:themeFill="background1" w:themeFillShade="D9"/>
            <w:vAlign w:val="center"/>
          </w:tcPr>
          <w:p w:rsidR="009F66BB" w:rsidRPr="00AE0058" w:rsidRDefault="009F66BB" w:rsidP="00C65795">
            <w:pPr>
              <w:keepNext/>
              <w:rPr>
                <w:b/>
                <w:color w:val="000000" w:themeColor="text1"/>
                <w:sz w:val="16"/>
                <w:szCs w:val="16"/>
              </w:rPr>
            </w:pPr>
          </w:p>
        </w:tc>
        <w:tc>
          <w:tcPr>
            <w:tcW w:w="512" w:type="pct"/>
            <w:shd w:val="clear" w:color="auto" w:fill="D9D9D9" w:themeFill="background1" w:themeFillShade="D9"/>
            <w:vAlign w:val="center"/>
          </w:tcPr>
          <w:p w:rsidR="009F66BB" w:rsidRPr="00AE0058" w:rsidRDefault="009F66BB" w:rsidP="00C65795">
            <w:pPr>
              <w:keepNext/>
              <w:rPr>
                <w:b/>
                <w:color w:val="000000" w:themeColor="text1"/>
                <w:sz w:val="16"/>
                <w:szCs w:val="16"/>
              </w:rPr>
            </w:pPr>
          </w:p>
        </w:tc>
        <w:tc>
          <w:tcPr>
            <w:tcW w:w="938" w:type="pct"/>
            <w:gridSpan w:val="3"/>
            <w:shd w:val="clear" w:color="auto" w:fill="D9D9D9" w:themeFill="background1" w:themeFillShade="D9"/>
            <w:vAlign w:val="center"/>
          </w:tcPr>
          <w:p w:rsidR="009F66BB" w:rsidRPr="00AE0058" w:rsidRDefault="009F66BB" w:rsidP="00C65795">
            <w:pPr>
              <w:keepNext/>
              <w:rPr>
                <w:b/>
                <w:color w:val="000000" w:themeColor="text1"/>
                <w:sz w:val="16"/>
                <w:szCs w:val="16"/>
              </w:rPr>
            </w:pPr>
            <w:r>
              <w:rPr>
                <w:b/>
                <w:color w:val="000000" w:themeColor="text1"/>
                <w:sz w:val="16"/>
                <w:szCs w:val="16"/>
              </w:rPr>
              <w:t>Annual additional costs</w:t>
            </w:r>
          </w:p>
        </w:tc>
        <w:tc>
          <w:tcPr>
            <w:tcW w:w="1012" w:type="pct"/>
            <w:gridSpan w:val="3"/>
            <w:tcBorders>
              <w:right w:val="single" w:sz="12" w:space="0" w:color="auto"/>
            </w:tcBorders>
            <w:shd w:val="clear" w:color="auto" w:fill="D9D9D9" w:themeFill="background1" w:themeFillShade="D9"/>
            <w:vAlign w:val="center"/>
          </w:tcPr>
          <w:p w:rsidR="009F66BB" w:rsidRPr="00AE0058" w:rsidRDefault="009F66BB" w:rsidP="00C65795">
            <w:pPr>
              <w:keepNext/>
              <w:rPr>
                <w:b/>
                <w:color w:val="000000" w:themeColor="text1"/>
                <w:sz w:val="16"/>
                <w:szCs w:val="16"/>
              </w:rPr>
            </w:pPr>
            <w:r>
              <w:rPr>
                <w:b/>
                <w:color w:val="000000" w:themeColor="text1"/>
                <w:sz w:val="16"/>
                <w:szCs w:val="16"/>
              </w:rPr>
              <w:t>Annual reduction in costs</w:t>
            </w:r>
          </w:p>
        </w:tc>
        <w:tc>
          <w:tcPr>
            <w:tcW w:w="1102" w:type="pct"/>
            <w:tcBorders>
              <w:left w:val="single" w:sz="12" w:space="0" w:color="auto"/>
            </w:tcBorders>
            <w:shd w:val="clear" w:color="auto" w:fill="D9D9D9" w:themeFill="background1" w:themeFillShade="D9"/>
            <w:vAlign w:val="center"/>
          </w:tcPr>
          <w:p w:rsidR="009F66BB" w:rsidRPr="00AE0058" w:rsidRDefault="009F66BB" w:rsidP="00C65795">
            <w:pPr>
              <w:keepNext/>
              <w:rPr>
                <w:b/>
                <w:color w:val="000000" w:themeColor="text1"/>
                <w:sz w:val="16"/>
                <w:szCs w:val="16"/>
              </w:rPr>
            </w:pPr>
            <w:r>
              <w:rPr>
                <w:b/>
                <w:color w:val="000000" w:themeColor="text1"/>
                <w:sz w:val="16"/>
                <w:szCs w:val="16"/>
              </w:rPr>
              <w:t>Change in the annual compliance costs</w:t>
            </w:r>
          </w:p>
        </w:tc>
      </w:tr>
      <w:tr w:rsidR="009F66BB" w:rsidRPr="00AE0058" w:rsidTr="006C07FA">
        <w:tc>
          <w:tcPr>
            <w:tcW w:w="291" w:type="pct"/>
            <w:shd w:val="clear" w:color="auto" w:fill="D9D9D9" w:themeFill="background1" w:themeFillShade="D9"/>
            <w:vAlign w:val="center"/>
          </w:tcPr>
          <w:p w:rsidR="009F66BB" w:rsidRPr="00AE0058" w:rsidRDefault="009F66BB" w:rsidP="00C65795">
            <w:pPr>
              <w:keepNext/>
              <w:rPr>
                <w:b/>
                <w:color w:val="000000" w:themeColor="text1"/>
                <w:sz w:val="16"/>
                <w:szCs w:val="16"/>
              </w:rPr>
            </w:pPr>
            <w:r>
              <w:rPr>
                <w:b/>
                <w:color w:val="000000" w:themeColor="text1"/>
                <w:sz w:val="16"/>
                <w:szCs w:val="16"/>
              </w:rPr>
              <w:t>Target</w:t>
            </w:r>
          </w:p>
        </w:tc>
        <w:tc>
          <w:tcPr>
            <w:tcW w:w="328" w:type="pct"/>
            <w:shd w:val="clear" w:color="auto" w:fill="D9D9D9" w:themeFill="background1" w:themeFillShade="D9"/>
            <w:vAlign w:val="center"/>
          </w:tcPr>
          <w:p w:rsidR="009F66BB" w:rsidRPr="00AE0058" w:rsidRDefault="009F66BB" w:rsidP="00C65795">
            <w:pPr>
              <w:keepNext/>
              <w:rPr>
                <w:b/>
                <w:color w:val="000000" w:themeColor="text1"/>
                <w:sz w:val="16"/>
                <w:szCs w:val="16"/>
              </w:rPr>
            </w:pPr>
            <w:r>
              <w:rPr>
                <w:b/>
                <w:color w:val="000000" w:themeColor="text1"/>
                <w:sz w:val="16"/>
                <w:szCs w:val="16"/>
              </w:rPr>
              <w:t>Paragraph</w:t>
            </w:r>
          </w:p>
        </w:tc>
        <w:tc>
          <w:tcPr>
            <w:tcW w:w="817" w:type="pct"/>
            <w:shd w:val="clear" w:color="auto" w:fill="D9D9D9" w:themeFill="background1" w:themeFillShade="D9"/>
            <w:vAlign w:val="center"/>
          </w:tcPr>
          <w:p w:rsidR="009F66BB" w:rsidRPr="00AE0058" w:rsidRDefault="009F66BB" w:rsidP="00C65795">
            <w:pPr>
              <w:keepNext/>
              <w:rPr>
                <w:b/>
                <w:color w:val="000000" w:themeColor="text1"/>
                <w:sz w:val="16"/>
                <w:szCs w:val="16"/>
              </w:rPr>
            </w:pPr>
            <w:r>
              <w:rPr>
                <w:b/>
                <w:color w:val="000000" w:themeColor="text1"/>
                <w:sz w:val="16"/>
                <w:szCs w:val="16"/>
              </w:rPr>
              <w:t>Target description</w:t>
            </w:r>
          </w:p>
        </w:tc>
        <w:tc>
          <w:tcPr>
            <w:tcW w:w="512" w:type="pct"/>
            <w:shd w:val="clear" w:color="auto" w:fill="D9D9D9" w:themeFill="background1" w:themeFillShade="D9"/>
            <w:vAlign w:val="center"/>
          </w:tcPr>
          <w:p w:rsidR="009F66BB" w:rsidRPr="00AE0058" w:rsidRDefault="009F66BB" w:rsidP="00C65795">
            <w:pPr>
              <w:keepNext/>
              <w:rPr>
                <w:b/>
                <w:color w:val="000000" w:themeColor="text1"/>
                <w:sz w:val="16"/>
                <w:szCs w:val="16"/>
              </w:rPr>
            </w:pPr>
            <w:r>
              <w:rPr>
                <w:b/>
                <w:color w:val="000000" w:themeColor="text1"/>
                <w:sz w:val="16"/>
                <w:szCs w:val="16"/>
              </w:rPr>
              <w:t>Hierarchy level</w:t>
            </w:r>
          </w:p>
        </w:tc>
        <w:tc>
          <w:tcPr>
            <w:tcW w:w="467" w:type="pct"/>
            <w:shd w:val="clear" w:color="auto" w:fill="D9D9D9" w:themeFill="background1" w:themeFillShade="D9"/>
            <w:vAlign w:val="center"/>
          </w:tcPr>
          <w:p w:rsidR="009F66BB" w:rsidRPr="00AE0058" w:rsidRDefault="009F66BB" w:rsidP="00C65795">
            <w:pPr>
              <w:keepNext/>
              <w:rPr>
                <w:b/>
                <w:color w:val="000000" w:themeColor="text1"/>
                <w:sz w:val="16"/>
                <w:szCs w:val="16"/>
              </w:rPr>
            </w:pPr>
            <w:r>
              <w:rPr>
                <w:b/>
                <w:color w:val="000000" w:themeColor="text1"/>
                <w:sz w:val="16"/>
                <w:szCs w:val="16"/>
              </w:rPr>
              <w:t>Personnel costs</w:t>
            </w:r>
          </w:p>
        </w:tc>
        <w:tc>
          <w:tcPr>
            <w:tcW w:w="471" w:type="pct"/>
            <w:gridSpan w:val="2"/>
            <w:shd w:val="clear" w:color="auto" w:fill="D9D9D9" w:themeFill="background1" w:themeFillShade="D9"/>
            <w:vAlign w:val="center"/>
          </w:tcPr>
          <w:p w:rsidR="009F66BB" w:rsidRPr="00AE0058" w:rsidRDefault="009F66BB" w:rsidP="00C65795">
            <w:pPr>
              <w:keepNext/>
              <w:rPr>
                <w:b/>
                <w:color w:val="000000" w:themeColor="text1"/>
                <w:sz w:val="16"/>
                <w:szCs w:val="16"/>
              </w:rPr>
            </w:pPr>
            <w:r>
              <w:rPr>
                <w:b/>
                <w:color w:val="000000" w:themeColor="text1"/>
                <w:sz w:val="16"/>
                <w:szCs w:val="16"/>
              </w:rPr>
              <w:t>Material costs</w:t>
            </w:r>
          </w:p>
        </w:tc>
        <w:tc>
          <w:tcPr>
            <w:tcW w:w="467" w:type="pct"/>
            <w:shd w:val="clear" w:color="auto" w:fill="D9D9D9" w:themeFill="background1" w:themeFillShade="D9"/>
            <w:vAlign w:val="center"/>
          </w:tcPr>
          <w:p w:rsidR="009F66BB" w:rsidRPr="00AE0058" w:rsidRDefault="009F66BB" w:rsidP="00C65795">
            <w:pPr>
              <w:keepNext/>
              <w:rPr>
                <w:b/>
                <w:color w:val="000000" w:themeColor="text1"/>
                <w:sz w:val="16"/>
                <w:szCs w:val="16"/>
              </w:rPr>
            </w:pPr>
            <w:r>
              <w:rPr>
                <w:b/>
                <w:color w:val="000000" w:themeColor="text1"/>
                <w:sz w:val="16"/>
                <w:szCs w:val="16"/>
              </w:rPr>
              <w:t>Personnel costs</w:t>
            </w:r>
          </w:p>
        </w:tc>
        <w:tc>
          <w:tcPr>
            <w:tcW w:w="545" w:type="pct"/>
            <w:gridSpan w:val="2"/>
            <w:tcBorders>
              <w:right w:val="single" w:sz="12" w:space="0" w:color="auto"/>
            </w:tcBorders>
            <w:shd w:val="clear" w:color="auto" w:fill="D9D9D9" w:themeFill="background1" w:themeFillShade="D9"/>
            <w:vAlign w:val="center"/>
          </w:tcPr>
          <w:p w:rsidR="009F66BB" w:rsidRPr="00AE0058" w:rsidRDefault="009F66BB" w:rsidP="00C65795">
            <w:pPr>
              <w:keepNext/>
              <w:rPr>
                <w:b/>
                <w:color w:val="000000" w:themeColor="text1"/>
                <w:sz w:val="16"/>
                <w:szCs w:val="16"/>
              </w:rPr>
            </w:pPr>
            <w:r>
              <w:rPr>
                <w:b/>
                <w:color w:val="000000" w:themeColor="text1"/>
                <w:sz w:val="16"/>
                <w:szCs w:val="16"/>
              </w:rPr>
              <w:t>Material costs</w:t>
            </w:r>
          </w:p>
        </w:tc>
        <w:tc>
          <w:tcPr>
            <w:tcW w:w="1102" w:type="pct"/>
            <w:tcBorders>
              <w:left w:val="single" w:sz="12" w:space="0" w:color="auto"/>
            </w:tcBorders>
            <w:shd w:val="clear" w:color="auto" w:fill="D9D9D9" w:themeFill="background1" w:themeFillShade="D9"/>
            <w:vAlign w:val="center"/>
          </w:tcPr>
          <w:p w:rsidR="009F66BB" w:rsidRPr="00AE0058" w:rsidRDefault="009F66BB" w:rsidP="00C65795">
            <w:pPr>
              <w:keepNext/>
              <w:rPr>
                <w:b/>
                <w:color w:val="000000" w:themeColor="text1"/>
                <w:sz w:val="16"/>
                <w:szCs w:val="16"/>
              </w:rPr>
            </w:pPr>
            <w:r>
              <w:rPr>
                <w:b/>
                <w:color w:val="000000" w:themeColor="text1"/>
                <w:sz w:val="16"/>
                <w:szCs w:val="16"/>
              </w:rPr>
              <w:t>Total costs</w:t>
            </w:r>
          </w:p>
        </w:tc>
      </w:tr>
      <w:tr w:rsidR="009F66BB" w:rsidRPr="00AE0058" w:rsidTr="006C07FA">
        <w:tc>
          <w:tcPr>
            <w:tcW w:w="291" w:type="pct"/>
            <w:shd w:val="clear" w:color="auto" w:fill="D9D9D9" w:themeFill="background1" w:themeFillShade="D9"/>
            <w:vAlign w:val="center"/>
          </w:tcPr>
          <w:p w:rsidR="009F66BB" w:rsidRPr="00AE0058" w:rsidRDefault="009F66BB" w:rsidP="00C65795">
            <w:pPr>
              <w:keepNext/>
              <w:rPr>
                <w:b/>
                <w:color w:val="000000" w:themeColor="text1"/>
                <w:sz w:val="16"/>
                <w:szCs w:val="16"/>
              </w:rPr>
            </w:pPr>
          </w:p>
        </w:tc>
        <w:tc>
          <w:tcPr>
            <w:tcW w:w="328" w:type="pct"/>
            <w:shd w:val="clear" w:color="auto" w:fill="D9D9D9" w:themeFill="background1" w:themeFillShade="D9"/>
            <w:vAlign w:val="center"/>
          </w:tcPr>
          <w:p w:rsidR="009F66BB" w:rsidRPr="00AE0058" w:rsidRDefault="009F66BB" w:rsidP="00C65795">
            <w:pPr>
              <w:keepNext/>
              <w:rPr>
                <w:b/>
                <w:color w:val="000000" w:themeColor="text1"/>
                <w:sz w:val="16"/>
                <w:szCs w:val="16"/>
              </w:rPr>
            </w:pPr>
          </w:p>
        </w:tc>
        <w:tc>
          <w:tcPr>
            <w:tcW w:w="817" w:type="pct"/>
            <w:shd w:val="clear" w:color="auto" w:fill="D9D9D9" w:themeFill="background1" w:themeFillShade="D9"/>
            <w:vAlign w:val="center"/>
          </w:tcPr>
          <w:p w:rsidR="009F66BB" w:rsidRPr="00AE0058" w:rsidRDefault="009F66BB" w:rsidP="00C65795">
            <w:pPr>
              <w:keepNext/>
              <w:rPr>
                <w:b/>
                <w:color w:val="000000" w:themeColor="text1"/>
                <w:sz w:val="16"/>
                <w:szCs w:val="16"/>
              </w:rPr>
            </w:pPr>
          </w:p>
        </w:tc>
        <w:tc>
          <w:tcPr>
            <w:tcW w:w="512" w:type="pct"/>
            <w:shd w:val="clear" w:color="auto" w:fill="D9D9D9" w:themeFill="background1" w:themeFillShade="D9"/>
            <w:vAlign w:val="center"/>
          </w:tcPr>
          <w:p w:rsidR="009F66BB" w:rsidRPr="00AE0058" w:rsidRDefault="009F66BB" w:rsidP="00C65795">
            <w:pPr>
              <w:keepNext/>
              <w:rPr>
                <w:b/>
                <w:color w:val="000000" w:themeColor="text1"/>
                <w:sz w:val="16"/>
                <w:szCs w:val="16"/>
              </w:rPr>
            </w:pPr>
          </w:p>
        </w:tc>
        <w:tc>
          <w:tcPr>
            <w:tcW w:w="3052" w:type="pct"/>
            <w:gridSpan w:val="7"/>
            <w:shd w:val="clear" w:color="auto" w:fill="D9D9D9" w:themeFill="background1" w:themeFillShade="D9"/>
            <w:vAlign w:val="center"/>
          </w:tcPr>
          <w:p w:rsidR="009F66BB" w:rsidRPr="00AE0058" w:rsidRDefault="009F66BB" w:rsidP="00C65795">
            <w:pPr>
              <w:keepNext/>
              <w:jc w:val="center"/>
              <w:rPr>
                <w:b/>
                <w:color w:val="000000" w:themeColor="text1"/>
                <w:sz w:val="16"/>
                <w:szCs w:val="16"/>
              </w:rPr>
            </w:pPr>
            <w:r>
              <w:rPr>
                <w:b/>
                <w:color w:val="000000" w:themeColor="text1"/>
                <w:sz w:val="16"/>
                <w:szCs w:val="16"/>
              </w:rPr>
              <w:t>In thousands of EUR</w:t>
            </w:r>
          </w:p>
        </w:tc>
      </w:tr>
      <w:tr w:rsidR="009F66BB" w:rsidRPr="00AE0058" w:rsidTr="006C07FA">
        <w:tc>
          <w:tcPr>
            <w:tcW w:w="291" w:type="pct"/>
            <w:vAlign w:val="center"/>
          </w:tcPr>
          <w:p w:rsidR="009F66BB" w:rsidRPr="00AE0058" w:rsidRDefault="007D5C8F" w:rsidP="007D5C8F">
            <w:pPr>
              <w:keepNext/>
              <w:rPr>
                <w:color w:val="000000" w:themeColor="text1"/>
                <w:sz w:val="16"/>
                <w:szCs w:val="16"/>
              </w:rPr>
            </w:pPr>
            <w:r>
              <w:rPr>
                <w:color w:val="000000" w:themeColor="text1"/>
                <w:sz w:val="16"/>
                <w:szCs w:val="16"/>
              </w:rPr>
              <w:t>14</w:t>
            </w:r>
          </w:p>
        </w:tc>
        <w:tc>
          <w:tcPr>
            <w:tcW w:w="328" w:type="pct"/>
            <w:vAlign w:val="center"/>
          </w:tcPr>
          <w:p w:rsidR="009F66BB" w:rsidRPr="00AE0058" w:rsidRDefault="009F66BB" w:rsidP="007E4C79">
            <w:pPr>
              <w:keepNext/>
              <w:rPr>
                <w:color w:val="000000" w:themeColor="text1"/>
                <w:sz w:val="16"/>
                <w:szCs w:val="16"/>
              </w:rPr>
            </w:pPr>
            <w:r>
              <w:rPr>
                <w:color w:val="000000" w:themeColor="text1"/>
                <w:sz w:val="16"/>
                <w:szCs w:val="16"/>
              </w:rPr>
              <w:t>§ 5a(1) UStatG</w:t>
            </w:r>
          </w:p>
        </w:tc>
        <w:tc>
          <w:tcPr>
            <w:tcW w:w="817" w:type="pct"/>
            <w:shd w:val="clear" w:color="auto" w:fill="auto"/>
            <w:vAlign w:val="center"/>
          </w:tcPr>
          <w:p w:rsidR="009F66BB" w:rsidRPr="00AE0058" w:rsidRDefault="009F66BB" w:rsidP="007E4C79">
            <w:pPr>
              <w:keepNext/>
              <w:rPr>
                <w:color w:val="000000" w:themeColor="text1"/>
                <w:sz w:val="16"/>
                <w:szCs w:val="16"/>
              </w:rPr>
            </w:pPr>
            <w:r>
              <w:rPr>
                <w:color w:val="000000" w:themeColor="text1"/>
                <w:sz w:val="16"/>
                <w:szCs w:val="16"/>
              </w:rPr>
              <w:t>Survey of the placing on the market and disposal of certain products – Central Agency Packaging Register</w:t>
            </w:r>
          </w:p>
        </w:tc>
        <w:tc>
          <w:tcPr>
            <w:tcW w:w="512" w:type="pct"/>
            <w:shd w:val="clear" w:color="auto" w:fill="auto"/>
            <w:vAlign w:val="center"/>
          </w:tcPr>
          <w:p w:rsidR="009F66BB" w:rsidRPr="00AE0058" w:rsidRDefault="009F66BB" w:rsidP="007E4C79">
            <w:pPr>
              <w:keepNext/>
              <w:rPr>
                <w:color w:val="000000" w:themeColor="text1"/>
                <w:sz w:val="16"/>
                <w:szCs w:val="16"/>
              </w:rPr>
            </w:pPr>
            <w:r>
              <w:rPr>
                <w:color w:val="000000" w:themeColor="text1"/>
                <w:sz w:val="16"/>
                <w:szCs w:val="16"/>
              </w:rPr>
              <w:t>Federal Government</w:t>
            </w:r>
          </w:p>
        </w:tc>
        <w:tc>
          <w:tcPr>
            <w:tcW w:w="474" w:type="pct"/>
            <w:gridSpan w:val="2"/>
            <w:vAlign w:val="center"/>
          </w:tcPr>
          <w:p w:rsidR="009F66BB" w:rsidRPr="00AE0058" w:rsidRDefault="009F66BB" w:rsidP="007E4C79">
            <w:pPr>
              <w:keepNext/>
              <w:jc w:val="right"/>
              <w:rPr>
                <w:color w:val="000000" w:themeColor="text1"/>
                <w:sz w:val="16"/>
                <w:szCs w:val="16"/>
              </w:rPr>
            </w:pPr>
            <w:r>
              <w:rPr>
                <w:color w:val="000000" w:themeColor="text1"/>
                <w:sz w:val="16"/>
                <w:szCs w:val="16"/>
              </w:rPr>
              <w:t>0.07</w:t>
            </w:r>
          </w:p>
        </w:tc>
        <w:tc>
          <w:tcPr>
            <w:tcW w:w="464" w:type="pct"/>
            <w:vAlign w:val="center"/>
          </w:tcPr>
          <w:p w:rsidR="009F66BB" w:rsidRPr="00AE0058" w:rsidRDefault="009F66BB" w:rsidP="007E4C79">
            <w:pPr>
              <w:keepNext/>
              <w:jc w:val="right"/>
              <w:rPr>
                <w:color w:val="000000" w:themeColor="text1"/>
                <w:sz w:val="16"/>
                <w:szCs w:val="16"/>
              </w:rPr>
            </w:pPr>
            <w:r>
              <w:rPr>
                <w:color w:val="000000" w:themeColor="text1"/>
                <w:sz w:val="16"/>
                <w:szCs w:val="16"/>
              </w:rPr>
              <w:t>-</w:t>
            </w:r>
          </w:p>
        </w:tc>
        <w:tc>
          <w:tcPr>
            <w:tcW w:w="476" w:type="pct"/>
            <w:gridSpan w:val="2"/>
            <w:vAlign w:val="center"/>
          </w:tcPr>
          <w:p w:rsidR="009F66BB" w:rsidRPr="00AE0058" w:rsidRDefault="009F66BB" w:rsidP="007E4C79">
            <w:pPr>
              <w:keepNext/>
              <w:jc w:val="right"/>
              <w:rPr>
                <w:color w:val="000000" w:themeColor="text1"/>
                <w:sz w:val="16"/>
                <w:szCs w:val="16"/>
              </w:rPr>
            </w:pPr>
            <w:r>
              <w:rPr>
                <w:color w:val="000000" w:themeColor="text1"/>
                <w:sz w:val="16"/>
                <w:szCs w:val="16"/>
              </w:rPr>
              <w:t>-</w:t>
            </w:r>
          </w:p>
        </w:tc>
        <w:tc>
          <w:tcPr>
            <w:tcW w:w="536" w:type="pct"/>
            <w:tcBorders>
              <w:right w:val="single" w:sz="12" w:space="0" w:color="auto"/>
            </w:tcBorders>
            <w:vAlign w:val="center"/>
          </w:tcPr>
          <w:p w:rsidR="009F66BB" w:rsidRPr="00AE0058" w:rsidRDefault="009F66BB" w:rsidP="007E4C79">
            <w:pPr>
              <w:keepNext/>
              <w:jc w:val="right"/>
              <w:rPr>
                <w:color w:val="000000" w:themeColor="text1"/>
                <w:sz w:val="16"/>
                <w:szCs w:val="16"/>
              </w:rPr>
            </w:pPr>
            <w:r>
              <w:rPr>
                <w:color w:val="000000" w:themeColor="text1"/>
                <w:sz w:val="16"/>
                <w:szCs w:val="16"/>
              </w:rPr>
              <w:t>-</w:t>
            </w:r>
          </w:p>
        </w:tc>
        <w:tc>
          <w:tcPr>
            <w:tcW w:w="1102" w:type="pct"/>
            <w:tcBorders>
              <w:left w:val="single" w:sz="12" w:space="0" w:color="auto"/>
            </w:tcBorders>
            <w:vAlign w:val="center"/>
          </w:tcPr>
          <w:p w:rsidR="009F66BB" w:rsidRPr="00AE0058" w:rsidRDefault="009F66BB" w:rsidP="007E4C79">
            <w:pPr>
              <w:keepNext/>
              <w:jc w:val="right"/>
              <w:rPr>
                <w:color w:val="000000" w:themeColor="text1"/>
                <w:sz w:val="16"/>
                <w:szCs w:val="16"/>
              </w:rPr>
            </w:pPr>
            <w:r>
              <w:rPr>
                <w:color w:val="000000" w:themeColor="text1"/>
                <w:sz w:val="16"/>
                <w:szCs w:val="16"/>
              </w:rPr>
              <w:t>0.07</w:t>
            </w:r>
          </w:p>
        </w:tc>
      </w:tr>
      <w:tr w:rsidR="009F66BB" w:rsidRPr="00AE0058" w:rsidTr="006C07FA">
        <w:tc>
          <w:tcPr>
            <w:tcW w:w="291" w:type="pct"/>
            <w:vAlign w:val="center"/>
          </w:tcPr>
          <w:p w:rsidR="009F66BB" w:rsidRPr="00AE0058" w:rsidRDefault="007D5C8F" w:rsidP="007D5C8F">
            <w:pPr>
              <w:rPr>
                <w:color w:val="000000" w:themeColor="text1"/>
                <w:sz w:val="16"/>
                <w:szCs w:val="16"/>
              </w:rPr>
            </w:pPr>
            <w:r>
              <w:rPr>
                <w:color w:val="000000" w:themeColor="text1"/>
                <w:sz w:val="16"/>
                <w:szCs w:val="16"/>
              </w:rPr>
              <w:t>15</w:t>
            </w:r>
          </w:p>
        </w:tc>
        <w:tc>
          <w:tcPr>
            <w:tcW w:w="328" w:type="pct"/>
            <w:vAlign w:val="center"/>
          </w:tcPr>
          <w:p w:rsidR="009F66BB" w:rsidRPr="00AE0058" w:rsidRDefault="009F66BB" w:rsidP="00372E31">
            <w:pPr>
              <w:rPr>
                <w:color w:val="000000" w:themeColor="text1"/>
                <w:sz w:val="16"/>
                <w:szCs w:val="16"/>
              </w:rPr>
            </w:pPr>
            <w:r>
              <w:rPr>
                <w:color w:val="000000" w:themeColor="text1"/>
                <w:sz w:val="16"/>
                <w:szCs w:val="16"/>
              </w:rPr>
              <w:t>§ 5a(6) UStatG</w:t>
            </w:r>
          </w:p>
        </w:tc>
        <w:tc>
          <w:tcPr>
            <w:tcW w:w="817" w:type="pct"/>
            <w:shd w:val="clear" w:color="auto" w:fill="auto"/>
            <w:vAlign w:val="center"/>
          </w:tcPr>
          <w:p w:rsidR="009F66BB" w:rsidRPr="00AE0058" w:rsidRDefault="009F66BB" w:rsidP="00372E31">
            <w:pPr>
              <w:rPr>
                <w:color w:val="000000" w:themeColor="text1"/>
                <w:sz w:val="16"/>
                <w:szCs w:val="16"/>
              </w:rPr>
            </w:pPr>
            <w:r>
              <w:rPr>
                <w:color w:val="000000" w:themeColor="text1"/>
                <w:sz w:val="16"/>
                <w:szCs w:val="16"/>
              </w:rPr>
              <w:t>Survey of the placing on the market and disposal of certain products – Enterprises, bodies and entities that collect and dispose of products</w:t>
            </w:r>
          </w:p>
        </w:tc>
        <w:tc>
          <w:tcPr>
            <w:tcW w:w="512" w:type="pct"/>
            <w:shd w:val="clear" w:color="auto" w:fill="auto"/>
            <w:vAlign w:val="center"/>
          </w:tcPr>
          <w:p w:rsidR="009F66BB" w:rsidRPr="00AE0058" w:rsidRDefault="009F66BB" w:rsidP="00FB2F0D">
            <w:pPr>
              <w:rPr>
                <w:color w:val="000000" w:themeColor="text1"/>
                <w:sz w:val="16"/>
                <w:szCs w:val="16"/>
              </w:rPr>
            </w:pPr>
            <w:r>
              <w:rPr>
                <w:color w:val="000000" w:themeColor="text1"/>
                <w:sz w:val="16"/>
                <w:szCs w:val="16"/>
              </w:rPr>
              <w:t>Federal state</w:t>
            </w:r>
          </w:p>
        </w:tc>
        <w:tc>
          <w:tcPr>
            <w:tcW w:w="474" w:type="pct"/>
            <w:gridSpan w:val="2"/>
            <w:vAlign w:val="center"/>
          </w:tcPr>
          <w:p w:rsidR="009F66BB" w:rsidRPr="00AE0058" w:rsidRDefault="00BF23C2" w:rsidP="00FB2F0D">
            <w:pPr>
              <w:jc w:val="right"/>
              <w:rPr>
                <w:color w:val="000000" w:themeColor="text1"/>
                <w:sz w:val="16"/>
                <w:szCs w:val="16"/>
              </w:rPr>
            </w:pPr>
            <w:r>
              <w:rPr>
                <w:color w:val="000000" w:themeColor="text1"/>
                <w:sz w:val="16"/>
                <w:szCs w:val="16"/>
              </w:rPr>
              <w:t>18</w:t>
            </w:r>
          </w:p>
        </w:tc>
        <w:tc>
          <w:tcPr>
            <w:tcW w:w="464" w:type="pct"/>
            <w:vAlign w:val="center"/>
          </w:tcPr>
          <w:p w:rsidR="009F66BB" w:rsidRPr="00AE0058" w:rsidRDefault="009F66BB" w:rsidP="00FB2F0D">
            <w:pPr>
              <w:jc w:val="right"/>
              <w:rPr>
                <w:color w:val="000000" w:themeColor="text1"/>
                <w:sz w:val="16"/>
                <w:szCs w:val="16"/>
              </w:rPr>
            </w:pPr>
            <w:r>
              <w:rPr>
                <w:color w:val="000000" w:themeColor="text1"/>
                <w:sz w:val="16"/>
                <w:szCs w:val="16"/>
              </w:rPr>
              <w:t>-</w:t>
            </w:r>
          </w:p>
        </w:tc>
        <w:tc>
          <w:tcPr>
            <w:tcW w:w="476" w:type="pct"/>
            <w:gridSpan w:val="2"/>
            <w:vAlign w:val="center"/>
          </w:tcPr>
          <w:p w:rsidR="009F66BB" w:rsidRPr="00AE0058" w:rsidRDefault="009F66BB" w:rsidP="00FB2F0D">
            <w:pPr>
              <w:jc w:val="right"/>
              <w:rPr>
                <w:color w:val="000000" w:themeColor="text1"/>
                <w:sz w:val="16"/>
                <w:szCs w:val="16"/>
              </w:rPr>
            </w:pPr>
            <w:r>
              <w:rPr>
                <w:color w:val="000000" w:themeColor="text1"/>
                <w:sz w:val="16"/>
                <w:szCs w:val="16"/>
              </w:rPr>
              <w:t>-</w:t>
            </w:r>
          </w:p>
        </w:tc>
        <w:tc>
          <w:tcPr>
            <w:tcW w:w="536" w:type="pct"/>
            <w:tcBorders>
              <w:right w:val="single" w:sz="12" w:space="0" w:color="auto"/>
            </w:tcBorders>
            <w:vAlign w:val="center"/>
          </w:tcPr>
          <w:p w:rsidR="009F66BB" w:rsidRPr="00AE0058" w:rsidRDefault="009F66BB" w:rsidP="00FB2F0D">
            <w:pPr>
              <w:jc w:val="right"/>
              <w:rPr>
                <w:color w:val="000000" w:themeColor="text1"/>
                <w:sz w:val="16"/>
                <w:szCs w:val="16"/>
              </w:rPr>
            </w:pPr>
            <w:r>
              <w:rPr>
                <w:color w:val="000000" w:themeColor="text1"/>
                <w:sz w:val="16"/>
                <w:szCs w:val="16"/>
              </w:rPr>
              <w:t>-</w:t>
            </w:r>
          </w:p>
        </w:tc>
        <w:tc>
          <w:tcPr>
            <w:tcW w:w="1102" w:type="pct"/>
            <w:tcBorders>
              <w:left w:val="single" w:sz="12" w:space="0" w:color="auto"/>
            </w:tcBorders>
            <w:vAlign w:val="center"/>
          </w:tcPr>
          <w:p w:rsidR="009F66BB" w:rsidRPr="00AE0058" w:rsidRDefault="00BF23C2" w:rsidP="00FB2F0D">
            <w:pPr>
              <w:jc w:val="right"/>
              <w:rPr>
                <w:color w:val="000000" w:themeColor="text1"/>
                <w:sz w:val="16"/>
                <w:szCs w:val="16"/>
              </w:rPr>
            </w:pPr>
            <w:r>
              <w:rPr>
                <w:color w:val="000000" w:themeColor="text1"/>
                <w:sz w:val="16"/>
                <w:szCs w:val="16"/>
              </w:rPr>
              <w:t>18</w:t>
            </w:r>
          </w:p>
        </w:tc>
      </w:tr>
      <w:tr w:rsidR="009F66BB" w:rsidRPr="00AE0058" w:rsidTr="006C07FA">
        <w:tc>
          <w:tcPr>
            <w:tcW w:w="1948" w:type="pct"/>
            <w:gridSpan w:val="4"/>
            <w:shd w:val="clear" w:color="auto" w:fill="D9D9D9" w:themeFill="background1" w:themeFillShade="D9"/>
            <w:vAlign w:val="center"/>
          </w:tcPr>
          <w:p w:rsidR="009F66BB" w:rsidRPr="00AE0058" w:rsidRDefault="009F66BB" w:rsidP="00FB2F0D">
            <w:pPr>
              <w:rPr>
                <w:b/>
                <w:color w:val="000000" w:themeColor="text1"/>
                <w:sz w:val="16"/>
                <w:szCs w:val="16"/>
              </w:rPr>
            </w:pPr>
            <w:r>
              <w:rPr>
                <w:b/>
                <w:color w:val="000000" w:themeColor="text1"/>
                <w:sz w:val="16"/>
                <w:szCs w:val="16"/>
              </w:rPr>
              <w:t>Total</w:t>
            </w:r>
          </w:p>
        </w:tc>
        <w:tc>
          <w:tcPr>
            <w:tcW w:w="474" w:type="pct"/>
            <w:gridSpan w:val="2"/>
            <w:shd w:val="clear" w:color="auto" w:fill="D9D9D9" w:themeFill="background1" w:themeFillShade="D9"/>
            <w:vAlign w:val="center"/>
          </w:tcPr>
          <w:p w:rsidR="009F66BB" w:rsidRPr="00AE0058" w:rsidRDefault="00BF23C2" w:rsidP="00FB2F0D">
            <w:pPr>
              <w:jc w:val="right"/>
              <w:rPr>
                <w:b/>
                <w:bCs/>
                <w:color w:val="000000" w:themeColor="text1"/>
                <w:sz w:val="16"/>
                <w:szCs w:val="16"/>
              </w:rPr>
            </w:pPr>
            <w:r>
              <w:rPr>
                <w:b/>
                <w:bCs/>
                <w:color w:val="000000" w:themeColor="text1"/>
                <w:sz w:val="16"/>
                <w:szCs w:val="16"/>
              </w:rPr>
              <w:t>18</w:t>
            </w:r>
          </w:p>
        </w:tc>
        <w:tc>
          <w:tcPr>
            <w:tcW w:w="464" w:type="pct"/>
            <w:shd w:val="clear" w:color="auto" w:fill="D9D9D9" w:themeFill="background1" w:themeFillShade="D9"/>
            <w:vAlign w:val="center"/>
          </w:tcPr>
          <w:p w:rsidR="009F66BB" w:rsidRPr="00AE0058" w:rsidRDefault="009F66BB" w:rsidP="00FB2F0D">
            <w:pPr>
              <w:jc w:val="right"/>
              <w:rPr>
                <w:b/>
                <w:bCs/>
                <w:color w:val="000000" w:themeColor="text1"/>
                <w:sz w:val="16"/>
                <w:szCs w:val="16"/>
              </w:rPr>
            </w:pPr>
            <w:r>
              <w:rPr>
                <w:b/>
                <w:bCs/>
                <w:color w:val="000000" w:themeColor="text1"/>
                <w:sz w:val="16"/>
                <w:szCs w:val="16"/>
              </w:rPr>
              <w:t>-</w:t>
            </w:r>
          </w:p>
        </w:tc>
        <w:tc>
          <w:tcPr>
            <w:tcW w:w="476" w:type="pct"/>
            <w:gridSpan w:val="2"/>
            <w:shd w:val="clear" w:color="auto" w:fill="D9D9D9" w:themeFill="background1" w:themeFillShade="D9"/>
            <w:vAlign w:val="center"/>
          </w:tcPr>
          <w:p w:rsidR="009F66BB" w:rsidRPr="00AE0058" w:rsidRDefault="009F66BB" w:rsidP="00FB2F0D">
            <w:pPr>
              <w:jc w:val="right"/>
              <w:rPr>
                <w:b/>
                <w:bCs/>
                <w:color w:val="000000" w:themeColor="text1"/>
                <w:sz w:val="16"/>
                <w:szCs w:val="16"/>
              </w:rPr>
            </w:pPr>
            <w:r>
              <w:rPr>
                <w:b/>
                <w:bCs/>
                <w:color w:val="000000" w:themeColor="text1"/>
                <w:sz w:val="16"/>
                <w:szCs w:val="16"/>
              </w:rPr>
              <w:t>-</w:t>
            </w:r>
          </w:p>
        </w:tc>
        <w:tc>
          <w:tcPr>
            <w:tcW w:w="536" w:type="pct"/>
            <w:tcBorders>
              <w:right w:val="single" w:sz="12" w:space="0" w:color="auto"/>
            </w:tcBorders>
            <w:shd w:val="clear" w:color="auto" w:fill="D9D9D9" w:themeFill="background1" w:themeFillShade="D9"/>
            <w:vAlign w:val="center"/>
          </w:tcPr>
          <w:p w:rsidR="009F66BB" w:rsidRPr="00AE0058" w:rsidRDefault="009F66BB" w:rsidP="00FB2F0D">
            <w:pPr>
              <w:jc w:val="right"/>
              <w:rPr>
                <w:b/>
                <w:bCs/>
                <w:color w:val="000000" w:themeColor="text1"/>
                <w:sz w:val="16"/>
                <w:szCs w:val="16"/>
              </w:rPr>
            </w:pPr>
            <w:r>
              <w:rPr>
                <w:b/>
                <w:bCs/>
                <w:color w:val="000000" w:themeColor="text1"/>
                <w:sz w:val="16"/>
                <w:szCs w:val="16"/>
              </w:rPr>
              <w:t>-</w:t>
            </w:r>
          </w:p>
        </w:tc>
        <w:tc>
          <w:tcPr>
            <w:tcW w:w="1102" w:type="pct"/>
            <w:tcBorders>
              <w:left w:val="single" w:sz="12" w:space="0" w:color="auto"/>
            </w:tcBorders>
            <w:shd w:val="clear" w:color="auto" w:fill="D9D9D9" w:themeFill="background1" w:themeFillShade="D9"/>
            <w:vAlign w:val="center"/>
          </w:tcPr>
          <w:p w:rsidR="009F66BB" w:rsidRPr="00AE0058" w:rsidRDefault="00BF23C2" w:rsidP="00FB2F0D">
            <w:pPr>
              <w:jc w:val="right"/>
              <w:rPr>
                <w:b/>
                <w:bCs/>
                <w:color w:val="000000" w:themeColor="text1"/>
                <w:sz w:val="16"/>
                <w:szCs w:val="16"/>
              </w:rPr>
            </w:pPr>
            <w:r>
              <w:rPr>
                <w:b/>
                <w:bCs/>
                <w:color w:val="000000" w:themeColor="text1"/>
                <w:sz w:val="16"/>
                <w:szCs w:val="16"/>
              </w:rPr>
              <w:t>18</w:t>
            </w:r>
          </w:p>
        </w:tc>
      </w:tr>
      <w:tr w:rsidR="009F66BB" w:rsidRPr="00AE0058" w:rsidTr="006C07FA">
        <w:tc>
          <w:tcPr>
            <w:tcW w:w="1948" w:type="pct"/>
            <w:gridSpan w:val="4"/>
            <w:shd w:val="clear" w:color="auto" w:fill="F2F2F2" w:themeFill="background1" w:themeFillShade="F2"/>
            <w:vAlign w:val="center"/>
          </w:tcPr>
          <w:p w:rsidR="009F66BB" w:rsidRPr="00AE0058" w:rsidRDefault="009F66BB" w:rsidP="00F031E5">
            <w:pPr>
              <w:jc w:val="right"/>
              <w:rPr>
                <w:color w:val="000000" w:themeColor="text1"/>
                <w:sz w:val="16"/>
                <w:szCs w:val="16"/>
              </w:rPr>
            </w:pPr>
            <w:r>
              <w:rPr>
                <w:color w:val="000000" w:themeColor="text1"/>
                <w:sz w:val="16"/>
                <w:szCs w:val="16"/>
              </w:rPr>
              <w:t>of which at federal level</w:t>
            </w:r>
          </w:p>
        </w:tc>
        <w:tc>
          <w:tcPr>
            <w:tcW w:w="474" w:type="pct"/>
            <w:gridSpan w:val="2"/>
            <w:shd w:val="clear" w:color="auto" w:fill="F2F2F2" w:themeFill="background1" w:themeFillShade="F2"/>
            <w:vAlign w:val="center"/>
          </w:tcPr>
          <w:p w:rsidR="009F66BB" w:rsidRPr="00AE0058" w:rsidRDefault="009F66BB" w:rsidP="00FB2F0D">
            <w:pPr>
              <w:jc w:val="right"/>
              <w:rPr>
                <w:bCs/>
                <w:color w:val="000000" w:themeColor="text1"/>
                <w:sz w:val="16"/>
                <w:szCs w:val="16"/>
              </w:rPr>
            </w:pPr>
            <w:r>
              <w:rPr>
                <w:bCs/>
                <w:color w:val="000000" w:themeColor="text1"/>
                <w:sz w:val="16"/>
                <w:szCs w:val="16"/>
              </w:rPr>
              <w:t>0.07</w:t>
            </w:r>
          </w:p>
        </w:tc>
        <w:tc>
          <w:tcPr>
            <w:tcW w:w="464" w:type="pct"/>
            <w:shd w:val="clear" w:color="auto" w:fill="F2F2F2" w:themeFill="background1" w:themeFillShade="F2"/>
            <w:vAlign w:val="center"/>
          </w:tcPr>
          <w:p w:rsidR="009F66BB" w:rsidRPr="00AE0058" w:rsidRDefault="009F66BB" w:rsidP="00FB2F0D">
            <w:pPr>
              <w:jc w:val="right"/>
              <w:rPr>
                <w:bCs/>
                <w:color w:val="000000" w:themeColor="text1"/>
                <w:sz w:val="16"/>
                <w:szCs w:val="16"/>
              </w:rPr>
            </w:pPr>
            <w:r>
              <w:rPr>
                <w:bCs/>
                <w:color w:val="000000" w:themeColor="text1"/>
                <w:sz w:val="16"/>
                <w:szCs w:val="16"/>
              </w:rPr>
              <w:t>-</w:t>
            </w:r>
          </w:p>
        </w:tc>
        <w:tc>
          <w:tcPr>
            <w:tcW w:w="476" w:type="pct"/>
            <w:gridSpan w:val="2"/>
            <w:shd w:val="clear" w:color="auto" w:fill="F2F2F2" w:themeFill="background1" w:themeFillShade="F2"/>
            <w:vAlign w:val="center"/>
          </w:tcPr>
          <w:p w:rsidR="009F66BB" w:rsidRPr="00AE0058" w:rsidRDefault="009F66BB" w:rsidP="00FB2F0D">
            <w:pPr>
              <w:jc w:val="right"/>
              <w:rPr>
                <w:bCs/>
                <w:color w:val="000000" w:themeColor="text1"/>
                <w:sz w:val="16"/>
                <w:szCs w:val="16"/>
              </w:rPr>
            </w:pPr>
            <w:r>
              <w:rPr>
                <w:bCs/>
                <w:color w:val="000000" w:themeColor="text1"/>
                <w:sz w:val="16"/>
                <w:szCs w:val="16"/>
              </w:rPr>
              <w:t>-</w:t>
            </w:r>
          </w:p>
        </w:tc>
        <w:tc>
          <w:tcPr>
            <w:tcW w:w="536" w:type="pct"/>
            <w:tcBorders>
              <w:right w:val="single" w:sz="12" w:space="0" w:color="auto"/>
            </w:tcBorders>
            <w:shd w:val="clear" w:color="auto" w:fill="F2F2F2" w:themeFill="background1" w:themeFillShade="F2"/>
            <w:vAlign w:val="center"/>
          </w:tcPr>
          <w:p w:rsidR="009F66BB" w:rsidRPr="00AE0058" w:rsidRDefault="009F66BB" w:rsidP="00FB2F0D">
            <w:pPr>
              <w:jc w:val="right"/>
              <w:rPr>
                <w:bCs/>
                <w:color w:val="000000" w:themeColor="text1"/>
                <w:sz w:val="16"/>
                <w:szCs w:val="16"/>
              </w:rPr>
            </w:pPr>
            <w:r>
              <w:rPr>
                <w:bCs/>
                <w:color w:val="000000" w:themeColor="text1"/>
                <w:sz w:val="16"/>
                <w:szCs w:val="16"/>
              </w:rPr>
              <w:t>-</w:t>
            </w:r>
          </w:p>
        </w:tc>
        <w:tc>
          <w:tcPr>
            <w:tcW w:w="1102" w:type="pct"/>
            <w:tcBorders>
              <w:left w:val="single" w:sz="12" w:space="0" w:color="auto"/>
            </w:tcBorders>
            <w:shd w:val="clear" w:color="auto" w:fill="F2F2F2" w:themeFill="background1" w:themeFillShade="F2"/>
            <w:vAlign w:val="center"/>
          </w:tcPr>
          <w:p w:rsidR="009F66BB" w:rsidRPr="00AE0058" w:rsidRDefault="009F66BB" w:rsidP="00FB2F0D">
            <w:pPr>
              <w:jc w:val="right"/>
              <w:rPr>
                <w:bCs/>
                <w:color w:val="000000" w:themeColor="text1"/>
                <w:sz w:val="16"/>
                <w:szCs w:val="16"/>
              </w:rPr>
            </w:pPr>
            <w:r>
              <w:rPr>
                <w:bCs/>
                <w:color w:val="000000" w:themeColor="text1"/>
                <w:sz w:val="16"/>
                <w:szCs w:val="16"/>
              </w:rPr>
              <w:t>0.07</w:t>
            </w:r>
          </w:p>
        </w:tc>
      </w:tr>
      <w:tr w:rsidR="009F66BB" w:rsidRPr="00AE0058" w:rsidTr="006C07FA">
        <w:tc>
          <w:tcPr>
            <w:tcW w:w="1948" w:type="pct"/>
            <w:gridSpan w:val="4"/>
            <w:shd w:val="clear" w:color="auto" w:fill="F2F2F2" w:themeFill="background1" w:themeFillShade="F2"/>
            <w:vAlign w:val="center"/>
          </w:tcPr>
          <w:p w:rsidR="009F66BB" w:rsidRPr="00AE0058" w:rsidRDefault="009F66BB" w:rsidP="00F031E5">
            <w:pPr>
              <w:jc w:val="right"/>
              <w:rPr>
                <w:color w:val="000000" w:themeColor="text1"/>
                <w:sz w:val="16"/>
                <w:szCs w:val="16"/>
              </w:rPr>
            </w:pPr>
            <w:r>
              <w:rPr>
                <w:color w:val="000000" w:themeColor="text1"/>
                <w:sz w:val="16"/>
                <w:szCs w:val="16"/>
              </w:rPr>
              <w:t>of which at federal state level</w:t>
            </w:r>
          </w:p>
        </w:tc>
        <w:tc>
          <w:tcPr>
            <w:tcW w:w="474" w:type="pct"/>
            <w:gridSpan w:val="2"/>
            <w:shd w:val="clear" w:color="auto" w:fill="F2F2F2" w:themeFill="background1" w:themeFillShade="F2"/>
            <w:vAlign w:val="center"/>
          </w:tcPr>
          <w:p w:rsidR="009F66BB" w:rsidRPr="00AE0058" w:rsidRDefault="00BF23C2" w:rsidP="00FB2F0D">
            <w:pPr>
              <w:jc w:val="right"/>
              <w:rPr>
                <w:bCs/>
                <w:color w:val="000000" w:themeColor="text1"/>
                <w:sz w:val="16"/>
                <w:szCs w:val="16"/>
              </w:rPr>
            </w:pPr>
            <w:r>
              <w:rPr>
                <w:bCs/>
                <w:color w:val="000000" w:themeColor="text1"/>
                <w:sz w:val="16"/>
                <w:szCs w:val="16"/>
              </w:rPr>
              <w:t>18</w:t>
            </w:r>
          </w:p>
        </w:tc>
        <w:tc>
          <w:tcPr>
            <w:tcW w:w="464" w:type="pct"/>
            <w:shd w:val="clear" w:color="auto" w:fill="F2F2F2" w:themeFill="background1" w:themeFillShade="F2"/>
            <w:vAlign w:val="center"/>
          </w:tcPr>
          <w:p w:rsidR="009F66BB" w:rsidRPr="00AE0058" w:rsidRDefault="009F66BB" w:rsidP="00FB2F0D">
            <w:pPr>
              <w:jc w:val="right"/>
              <w:rPr>
                <w:bCs/>
                <w:color w:val="000000" w:themeColor="text1"/>
                <w:sz w:val="16"/>
                <w:szCs w:val="16"/>
              </w:rPr>
            </w:pPr>
            <w:r>
              <w:rPr>
                <w:bCs/>
                <w:color w:val="000000" w:themeColor="text1"/>
                <w:sz w:val="16"/>
                <w:szCs w:val="16"/>
              </w:rPr>
              <w:t>-</w:t>
            </w:r>
          </w:p>
        </w:tc>
        <w:tc>
          <w:tcPr>
            <w:tcW w:w="476" w:type="pct"/>
            <w:gridSpan w:val="2"/>
            <w:shd w:val="clear" w:color="auto" w:fill="F2F2F2" w:themeFill="background1" w:themeFillShade="F2"/>
            <w:vAlign w:val="center"/>
          </w:tcPr>
          <w:p w:rsidR="009F66BB" w:rsidRPr="00AE0058" w:rsidRDefault="009F66BB" w:rsidP="00FB2F0D">
            <w:pPr>
              <w:jc w:val="right"/>
              <w:rPr>
                <w:bCs/>
                <w:color w:val="000000" w:themeColor="text1"/>
                <w:sz w:val="16"/>
                <w:szCs w:val="16"/>
              </w:rPr>
            </w:pPr>
            <w:r>
              <w:rPr>
                <w:bCs/>
                <w:color w:val="000000" w:themeColor="text1"/>
                <w:sz w:val="16"/>
                <w:szCs w:val="16"/>
              </w:rPr>
              <w:t>-</w:t>
            </w:r>
          </w:p>
        </w:tc>
        <w:tc>
          <w:tcPr>
            <w:tcW w:w="536" w:type="pct"/>
            <w:tcBorders>
              <w:right w:val="single" w:sz="12" w:space="0" w:color="auto"/>
            </w:tcBorders>
            <w:shd w:val="clear" w:color="auto" w:fill="F2F2F2" w:themeFill="background1" w:themeFillShade="F2"/>
            <w:vAlign w:val="center"/>
          </w:tcPr>
          <w:p w:rsidR="009F66BB" w:rsidRPr="00AE0058" w:rsidRDefault="009F66BB" w:rsidP="00FB2F0D">
            <w:pPr>
              <w:jc w:val="right"/>
              <w:rPr>
                <w:bCs/>
                <w:color w:val="000000" w:themeColor="text1"/>
                <w:sz w:val="16"/>
                <w:szCs w:val="16"/>
              </w:rPr>
            </w:pPr>
            <w:r>
              <w:rPr>
                <w:bCs/>
                <w:color w:val="000000" w:themeColor="text1"/>
                <w:sz w:val="16"/>
                <w:szCs w:val="16"/>
              </w:rPr>
              <w:t>-</w:t>
            </w:r>
          </w:p>
        </w:tc>
        <w:tc>
          <w:tcPr>
            <w:tcW w:w="1102" w:type="pct"/>
            <w:tcBorders>
              <w:left w:val="single" w:sz="12" w:space="0" w:color="auto"/>
            </w:tcBorders>
            <w:shd w:val="clear" w:color="auto" w:fill="F2F2F2" w:themeFill="background1" w:themeFillShade="F2"/>
            <w:vAlign w:val="center"/>
          </w:tcPr>
          <w:p w:rsidR="009F66BB" w:rsidRPr="00AE0058" w:rsidRDefault="00BF23C2" w:rsidP="00FB2F0D">
            <w:pPr>
              <w:jc w:val="right"/>
              <w:rPr>
                <w:bCs/>
                <w:color w:val="000000" w:themeColor="text1"/>
                <w:sz w:val="16"/>
                <w:szCs w:val="16"/>
              </w:rPr>
            </w:pPr>
            <w:r>
              <w:rPr>
                <w:bCs/>
                <w:color w:val="000000" w:themeColor="text1"/>
                <w:sz w:val="16"/>
                <w:szCs w:val="16"/>
              </w:rPr>
              <w:t>18</w:t>
            </w:r>
          </w:p>
        </w:tc>
      </w:tr>
    </w:tbl>
    <w:p w:rsidR="009F66BB" w:rsidRPr="00AE0058" w:rsidRDefault="009F66BB" w:rsidP="00AD27DC">
      <w:pPr>
        <w:spacing w:line="360" w:lineRule="auto"/>
        <w:rPr>
          <w:rFonts w:ascii="MetaNormalLF-Roman" w:eastAsia="Times New Roman" w:hAnsi="MetaNormalLF-Roman" w:cs="Times New Roman"/>
          <w:color w:val="000000" w:themeColor="text1"/>
          <w:lang w:eastAsia="de-DE"/>
        </w:rPr>
      </w:pPr>
    </w:p>
    <w:p w:rsidR="008A066F" w:rsidRPr="00AE0058" w:rsidRDefault="00FB2F0D" w:rsidP="00C65795">
      <w:pPr>
        <w:pStyle w:val="Text"/>
        <w:keepNext/>
        <w:rPr>
          <w:rFonts w:ascii="MetaNormalLF-Roman" w:hAnsi="MetaNormalLF-Roman"/>
          <w:i/>
          <w:color w:val="000000" w:themeColor="text1"/>
          <w:u w:val="single"/>
        </w:rPr>
      </w:pPr>
      <w:r>
        <w:rPr>
          <w:rFonts w:ascii="MetaNormalLF-Roman" w:hAnsi="MetaNormalLF-Roman"/>
          <w:i/>
          <w:color w:val="000000" w:themeColor="text1"/>
          <w:u w:val="single"/>
        </w:rPr>
        <w:t xml:space="preserve">Case group B: Statistics on water management and climate-relevant substances </w:t>
      </w:r>
    </w:p>
    <w:p w:rsidR="00FB2F0D" w:rsidRPr="00AE0058" w:rsidRDefault="00FB2F0D" w:rsidP="00FB2F0D">
      <w:pPr>
        <w:pStyle w:val="Text"/>
        <w:rPr>
          <w:rStyle w:val="Marker"/>
          <w:color w:val="000000" w:themeColor="text1"/>
        </w:rPr>
      </w:pPr>
      <w:r>
        <w:rPr>
          <w:rStyle w:val="Marker"/>
          <w:color w:val="000000" w:themeColor="text1"/>
        </w:rPr>
        <w:t xml:space="preserve">Changes in water statistics will change the annual compliance costs by around EUR 41 000. Case group B – Water statistics is presented below for the administrative addressees of the standard for each individual requirement. </w:t>
      </w:r>
    </w:p>
    <w:p w:rsidR="00BD6352" w:rsidRPr="00AE0058" w:rsidRDefault="00BD6352" w:rsidP="00C65795">
      <w:pPr>
        <w:pStyle w:val="Caption"/>
        <w:keepNext/>
        <w:rPr>
          <w:b/>
          <w:color w:val="000000" w:themeColor="text1"/>
        </w:rPr>
      </w:pPr>
      <w:r>
        <w:rPr>
          <w:b/>
          <w:color w:val="000000" w:themeColor="text1"/>
        </w:rPr>
        <w:lastRenderedPageBreak/>
        <w:t>Table 8: Case group B – Statistics on water management and climate-relevant substances; annual change in compliance costs for other administrations</w:t>
      </w:r>
    </w:p>
    <w:tbl>
      <w:tblPr>
        <w:tblStyle w:val="TableGrid"/>
        <w:tblW w:w="4938" w:type="pct"/>
        <w:tblInd w:w="57" w:type="dxa"/>
        <w:tblLayout w:type="fixed"/>
        <w:tblCellMar>
          <w:left w:w="57" w:type="dxa"/>
          <w:right w:w="57" w:type="dxa"/>
        </w:tblCellMar>
        <w:tblLook w:val="04A0" w:firstRow="1" w:lastRow="0" w:firstColumn="1" w:lastColumn="0" w:noHBand="0" w:noVBand="1"/>
      </w:tblPr>
      <w:tblGrid>
        <w:gridCol w:w="504"/>
        <w:gridCol w:w="832"/>
        <w:gridCol w:w="1020"/>
        <w:gridCol w:w="1021"/>
        <w:gridCol w:w="810"/>
        <w:gridCol w:w="12"/>
        <w:gridCol w:w="805"/>
        <w:gridCol w:w="810"/>
        <w:gridCol w:w="16"/>
        <w:gridCol w:w="929"/>
        <w:gridCol w:w="1911"/>
      </w:tblGrid>
      <w:tr w:rsidR="00FB2F0D" w:rsidRPr="00AE0058" w:rsidTr="006C07FA">
        <w:tc>
          <w:tcPr>
            <w:tcW w:w="291" w:type="pct"/>
            <w:shd w:val="clear" w:color="auto" w:fill="D9D9D9" w:themeFill="background1" w:themeFillShade="D9"/>
            <w:vAlign w:val="center"/>
          </w:tcPr>
          <w:p w:rsidR="00FB2F0D" w:rsidRPr="00AE0058" w:rsidRDefault="00FB2F0D" w:rsidP="00C65795">
            <w:pPr>
              <w:keepNext/>
              <w:rPr>
                <w:b/>
                <w:color w:val="000000" w:themeColor="text1"/>
                <w:sz w:val="16"/>
                <w:szCs w:val="16"/>
              </w:rPr>
            </w:pPr>
          </w:p>
        </w:tc>
        <w:tc>
          <w:tcPr>
            <w:tcW w:w="480" w:type="pct"/>
            <w:shd w:val="clear" w:color="auto" w:fill="D9D9D9" w:themeFill="background1" w:themeFillShade="D9"/>
            <w:vAlign w:val="center"/>
          </w:tcPr>
          <w:p w:rsidR="00FB2F0D" w:rsidRPr="00AE0058" w:rsidRDefault="00FB2F0D" w:rsidP="00C65795">
            <w:pPr>
              <w:keepNext/>
              <w:rPr>
                <w:b/>
                <w:color w:val="000000" w:themeColor="text1"/>
                <w:sz w:val="16"/>
                <w:szCs w:val="16"/>
              </w:rPr>
            </w:pPr>
          </w:p>
        </w:tc>
        <w:tc>
          <w:tcPr>
            <w:tcW w:w="588" w:type="pct"/>
            <w:shd w:val="clear" w:color="auto" w:fill="D9D9D9" w:themeFill="background1" w:themeFillShade="D9"/>
            <w:vAlign w:val="center"/>
          </w:tcPr>
          <w:p w:rsidR="00FB2F0D" w:rsidRPr="00AE0058" w:rsidRDefault="00FB2F0D" w:rsidP="00C65795">
            <w:pPr>
              <w:keepNext/>
              <w:rPr>
                <w:b/>
                <w:color w:val="000000" w:themeColor="text1"/>
                <w:sz w:val="16"/>
                <w:szCs w:val="16"/>
              </w:rPr>
            </w:pPr>
          </w:p>
        </w:tc>
        <w:tc>
          <w:tcPr>
            <w:tcW w:w="588" w:type="pct"/>
            <w:shd w:val="clear" w:color="auto" w:fill="D9D9D9" w:themeFill="background1" w:themeFillShade="D9"/>
            <w:vAlign w:val="center"/>
          </w:tcPr>
          <w:p w:rsidR="00FB2F0D" w:rsidRPr="00AE0058" w:rsidRDefault="00FB2F0D" w:rsidP="00C65795">
            <w:pPr>
              <w:keepNext/>
              <w:rPr>
                <w:b/>
                <w:color w:val="000000" w:themeColor="text1"/>
                <w:sz w:val="16"/>
                <w:szCs w:val="16"/>
              </w:rPr>
            </w:pPr>
          </w:p>
        </w:tc>
        <w:tc>
          <w:tcPr>
            <w:tcW w:w="938" w:type="pct"/>
            <w:gridSpan w:val="3"/>
            <w:shd w:val="clear" w:color="auto" w:fill="D9D9D9" w:themeFill="background1" w:themeFillShade="D9"/>
            <w:vAlign w:val="center"/>
          </w:tcPr>
          <w:p w:rsidR="00FB2F0D" w:rsidRPr="00AE0058" w:rsidRDefault="00FB2F0D" w:rsidP="00C65795">
            <w:pPr>
              <w:keepNext/>
              <w:rPr>
                <w:b/>
                <w:color w:val="000000" w:themeColor="text1"/>
                <w:sz w:val="16"/>
                <w:szCs w:val="16"/>
              </w:rPr>
            </w:pPr>
            <w:r>
              <w:rPr>
                <w:b/>
                <w:color w:val="000000" w:themeColor="text1"/>
                <w:sz w:val="16"/>
                <w:szCs w:val="16"/>
              </w:rPr>
              <w:t>Annual additional costs</w:t>
            </w:r>
          </w:p>
        </w:tc>
        <w:tc>
          <w:tcPr>
            <w:tcW w:w="1012" w:type="pct"/>
            <w:gridSpan w:val="3"/>
            <w:tcBorders>
              <w:right w:val="single" w:sz="12" w:space="0" w:color="auto"/>
            </w:tcBorders>
            <w:shd w:val="clear" w:color="auto" w:fill="D9D9D9" w:themeFill="background1" w:themeFillShade="D9"/>
            <w:vAlign w:val="center"/>
          </w:tcPr>
          <w:p w:rsidR="00FB2F0D" w:rsidRPr="00AE0058" w:rsidRDefault="00FB2F0D" w:rsidP="00C65795">
            <w:pPr>
              <w:keepNext/>
              <w:rPr>
                <w:b/>
                <w:color w:val="000000" w:themeColor="text1"/>
                <w:sz w:val="16"/>
                <w:szCs w:val="16"/>
              </w:rPr>
            </w:pPr>
            <w:r>
              <w:rPr>
                <w:b/>
                <w:color w:val="000000" w:themeColor="text1"/>
                <w:sz w:val="16"/>
                <w:szCs w:val="16"/>
              </w:rPr>
              <w:t>Annual reduction in costs</w:t>
            </w:r>
          </w:p>
        </w:tc>
        <w:tc>
          <w:tcPr>
            <w:tcW w:w="1102" w:type="pct"/>
            <w:tcBorders>
              <w:left w:val="single" w:sz="12" w:space="0" w:color="auto"/>
            </w:tcBorders>
            <w:shd w:val="clear" w:color="auto" w:fill="D9D9D9" w:themeFill="background1" w:themeFillShade="D9"/>
            <w:vAlign w:val="center"/>
          </w:tcPr>
          <w:p w:rsidR="00FB2F0D" w:rsidRPr="00AE0058" w:rsidRDefault="00FB2F0D" w:rsidP="00C65795">
            <w:pPr>
              <w:keepNext/>
              <w:rPr>
                <w:b/>
                <w:color w:val="000000" w:themeColor="text1"/>
                <w:sz w:val="16"/>
                <w:szCs w:val="16"/>
              </w:rPr>
            </w:pPr>
            <w:r>
              <w:rPr>
                <w:b/>
                <w:color w:val="000000" w:themeColor="text1"/>
                <w:sz w:val="16"/>
                <w:szCs w:val="16"/>
              </w:rPr>
              <w:t>Change in the annual compliance costs</w:t>
            </w:r>
          </w:p>
        </w:tc>
      </w:tr>
      <w:tr w:rsidR="00FB2F0D" w:rsidRPr="00AE0058" w:rsidTr="006C07FA">
        <w:tc>
          <w:tcPr>
            <w:tcW w:w="291" w:type="pct"/>
            <w:shd w:val="clear" w:color="auto" w:fill="D9D9D9" w:themeFill="background1" w:themeFillShade="D9"/>
            <w:vAlign w:val="center"/>
          </w:tcPr>
          <w:p w:rsidR="00FB2F0D" w:rsidRPr="00AE0058" w:rsidRDefault="00FB2F0D" w:rsidP="00C65795">
            <w:pPr>
              <w:keepNext/>
              <w:rPr>
                <w:b/>
                <w:color w:val="000000" w:themeColor="text1"/>
                <w:sz w:val="16"/>
                <w:szCs w:val="16"/>
              </w:rPr>
            </w:pPr>
            <w:r>
              <w:rPr>
                <w:b/>
                <w:color w:val="000000" w:themeColor="text1"/>
                <w:sz w:val="16"/>
                <w:szCs w:val="16"/>
              </w:rPr>
              <w:t>Target</w:t>
            </w:r>
          </w:p>
        </w:tc>
        <w:tc>
          <w:tcPr>
            <w:tcW w:w="480" w:type="pct"/>
            <w:shd w:val="clear" w:color="auto" w:fill="D9D9D9" w:themeFill="background1" w:themeFillShade="D9"/>
            <w:vAlign w:val="center"/>
          </w:tcPr>
          <w:p w:rsidR="00FB2F0D" w:rsidRPr="00AE0058" w:rsidRDefault="00FB2F0D" w:rsidP="00C65795">
            <w:pPr>
              <w:keepNext/>
              <w:rPr>
                <w:b/>
                <w:color w:val="000000" w:themeColor="text1"/>
                <w:sz w:val="16"/>
                <w:szCs w:val="16"/>
              </w:rPr>
            </w:pPr>
            <w:r>
              <w:rPr>
                <w:b/>
                <w:color w:val="000000" w:themeColor="text1"/>
                <w:sz w:val="16"/>
                <w:szCs w:val="16"/>
              </w:rPr>
              <w:t>Paragraph</w:t>
            </w:r>
          </w:p>
        </w:tc>
        <w:tc>
          <w:tcPr>
            <w:tcW w:w="588" w:type="pct"/>
            <w:shd w:val="clear" w:color="auto" w:fill="D9D9D9" w:themeFill="background1" w:themeFillShade="D9"/>
            <w:vAlign w:val="center"/>
          </w:tcPr>
          <w:p w:rsidR="00FB2F0D" w:rsidRPr="00AE0058" w:rsidRDefault="00FB2F0D" w:rsidP="00C65795">
            <w:pPr>
              <w:keepNext/>
              <w:rPr>
                <w:b/>
                <w:color w:val="000000" w:themeColor="text1"/>
                <w:sz w:val="16"/>
                <w:szCs w:val="16"/>
              </w:rPr>
            </w:pPr>
            <w:r>
              <w:rPr>
                <w:b/>
                <w:color w:val="000000" w:themeColor="text1"/>
                <w:sz w:val="16"/>
                <w:szCs w:val="16"/>
              </w:rPr>
              <w:t>Target description</w:t>
            </w:r>
          </w:p>
        </w:tc>
        <w:tc>
          <w:tcPr>
            <w:tcW w:w="588" w:type="pct"/>
            <w:shd w:val="clear" w:color="auto" w:fill="D9D9D9" w:themeFill="background1" w:themeFillShade="D9"/>
            <w:vAlign w:val="center"/>
          </w:tcPr>
          <w:p w:rsidR="00FB2F0D" w:rsidRPr="00AE0058" w:rsidRDefault="00FB2F0D" w:rsidP="00C65795">
            <w:pPr>
              <w:keepNext/>
              <w:rPr>
                <w:b/>
                <w:color w:val="000000" w:themeColor="text1"/>
                <w:sz w:val="16"/>
                <w:szCs w:val="16"/>
              </w:rPr>
            </w:pPr>
            <w:r>
              <w:rPr>
                <w:b/>
                <w:color w:val="000000" w:themeColor="text1"/>
                <w:sz w:val="16"/>
                <w:szCs w:val="16"/>
              </w:rPr>
              <w:t>Hierarchy level</w:t>
            </w:r>
          </w:p>
        </w:tc>
        <w:tc>
          <w:tcPr>
            <w:tcW w:w="467" w:type="pct"/>
            <w:shd w:val="clear" w:color="auto" w:fill="D9D9D9" w:themeFill="background1" w:themeFillShade="D9"/>
            <w:vAlign w:val="center"/>
          </w:tcPr>
          <w:p w:rsidR="00FB2F0D" w:rsidRPr="00AE0058" w:rsidRDefault="00FB2F0D" w:rsidP="00C65795">
            <w:pPr>
              <w:keepNext/>
              <w:rPr>
                <w:b/>
                <w:color w:val="000000" w:themeColor="text1"/>
                <w:sz w:val="16"/>
                <w:szCs w:val="16"/>
              </w:rPr>
            </w:pPr>
            <w:r>
              <w:rPr>
                <w:b/>
                <w:color w:val="000000" w:themeColor="text1"/>
                <w:sz w:val="16"/>
                <w:szCs w:val="16"/>
              </w:rPr>
              <w:t>Personnel costs</w:t>
            </w:r>
          </w:p>
        </w:tc>
        <w:tc>
          <w:tcPr>
            <w:tcW w:w="471" w:type="pct"/>
            <w:gridSpan w:val="2"/>
            <w:shd w:val="clear" w:color="auto" w:fill="D9D9D9" w:themeFill="background1" w:themeFillShade="D9"/>
            <w:vAlign w:val="center"/>
          </w:tcPr>
          <w:p w:rsidR="00FB2F0D" w:rsidRPr="00AE0058" w:rsidRDefault="00FB2F0D" w:rsidP="00C65795">
            <w:pPr>
              <w:keepNext/>
              <w:rPr>
                <w:b/>
                <w:color w:val="000000" w:themeColor="text1"/>
                <w:sz w:val="16"/>
                <w:szCs w:val="16"/>
              </w:rPr>
            </w:pPr>
            <w:r>
              <w:rPr>
                <w:b/>
                <w:color w:val="000000" w:themeColor="text1"/>
                <w:sz w:val="16"/>
                <w:szCs w:val="16"/>
              </w:rPr>
              <w:t>Material costs</w:t>
            </w:r>
          </w:p>
        </w:tc>
        <w:tc>
          <w:tcPr>
            <w:tcW w:w="467" w:type="pct"/>
            <w:shd w:val="clear" w:color="auto" w:fill="D9D9D9" w:themeFill="background1" w:themeFillShade="D9"/>
            <w:vAlign w:val="center"/>
          </w:tcPr>
          <w:p w:rsidR="00FB2F0D" w:rsidRPr="00AE0058" w:rsidRDefault="00FB2F0D" w:rsidP="00C65795">
            <w:pPr>
              <w:keepNext/>
              <w:rPr>
                <w:b/>
                <w:color w:val="000000" w:themeColor="text1"/>
                <w:sz w:val="16"/>
                <w:szCs w:val="16"/>
              </w:rPr>
            </w:pPr>
            <w:r>
              <w:rPr>
                <w:b/>
                <w:color w:val="000000" w:themeColor="text1"/>
                <w:sz w:val="16"/>
                <w:szCs w:val="16"/>
              </w:rPr>
              <w:t>Personnel costs</w:t>
            </w:r>
          </w:p>
        </w:tc>
        <w:tc>
          <w:tcPr>
            <w:tcW w:w="545" w:type="pct"/>
            <w:gridSpan w:val="2"/>
            <w:tcBorders>
              <w:right w:val="single" w:sz="12" w:space="0" w:color="auto"/>
            </w:tcBorders>
            <w:shd w:val="clear" w:color="auto" w:fill="D9D9D9" w:themeFill="background1" w:themeFillShade="D9"/>
            <w:vAlign w:val="center"/>
          </w:tcPr>
          <w:p w:rsidR="00FB2F0D" w:rsidRPr="00AE0058" w:rsidRDefault="00FB2F0D" w:rsidP="00C65795">
            <w:pPr>
              <w:keepNext/>
              <w:rPr>
                <w:b/>
                <w:color w:val="000000" w:themeColor="text1"/>
                <w:sz w:val="16"/>
                <w:szCs w:val="16"/>
              </w:rPr>
            </w:pPr>
            <w:r>
              <w:rPr>
                <w:b/>
                <w:color w:val="000000" w:themeColor="text1"/>
                <w:sz w:val="16"/>
                <w:szCs w:val="16"/>
              </w:rPr>
              <w:t>Material costs</w:t>
            </w:r>
          </w:p>
        </w:tc>
        <w:tc>
          <w:tcPr>
            <w:tcW w:w="1102" w:type="pct"/>
            <w:tcBorders>
              <w:left w:val="single" w:sz="12" w:space="0" w:color="auto"/>
            </w:tcBorders>
            <w:shd w:val="clear" w:color="auto" w:fill="D9D9D9" w:themeFill="background1" w:themeFillShade="D9"/>
            <w:vAlign w:val="center"/>
          </w:tcPr>
          <w:p w:rsidR="00FB2F0D" w:rsidRPr="00AE0058" w:rsidRDefault="00FB2F0D" w:rsidP="00C65795">
            <w:pPr>
              <w:keepNext/>
              <w:rPr>
                <w:b/>
                <w:color w:val="000000" w:themeColor="text1"/>
                <w:sz w:val="16"/>
                <w:szCs w:val="16"/>
              </w:rPr>
            </w:pPr>
            <w:r>
              <w:rPr>
                <w:b/>
                <w:color w:val="000000" w:themeColor="text1"/>
                <w:sz w:val="16"/>
                <w:szCs w:val="16"/>
              </w:rPr>
              <w:t>Total costs</w:t>
            </w:r>
          </w:p>
        </w:tc>
      </w:tr>
      <w:tr w:rsidR="00FB2F0D" w:rsidRPr="00AE0058" w:rsidTr="006C07FA">
        <w:tc>
          <w:tcPr>
            <w:tcW w:w="291" w:type="pct"/>
            <w:shd w:val="clear" w:color="auto" w:fill="D9D9D9" w:themeFill="background1" w:themeFillShade="D9"/>
            <w:vAlign w:val="center"/>
          </w:tcPr>
          <w:p w:rsidR="00FB2F0D" w:rsidRPr="00AE0058" w:rsidRDefault="00FB2F0D" w:rsidP="00C65795">
            <w:pPr>
              <w:keepNext/>
              <w:rPr>
                <w:b/>
                <w:color w:val="000000" w:themeColor="text1"/>
                <w:sz w:val="16"/>
                <w:szCs w:val="16"/>
              </w:rPr>
            </w:pPr>
          </w:p>
        </w:tc>
        <w:tc>
          <w:tcPr>
            <w:tcW w:w="480" w:type="pct"/>
            <w:shd w:val="clear" w:color="auto" w:fill="D9D9D9" w:themeFill="background1" w:themeFillShade="D9"/>
            <w:vAlign w:val="center"/>
          </w:tcPr>
          <w:p w:rsidR="00FB2F0D" w:rsidRPr="00AE0058" w:rsidRDefault="00FB2F0D" w:rsidP="00C65795">
            <w:pPr>
              <w:keepNext/>
              <w:rPr>
                <w:b/>
                <w:color w:val="000000" w:themeColor="text1"/>
                <w:sz w:val="16"/>
                <w:szCs w:val="16"/>
              </w:rPr>
            </w:pPr>
          </w:p>
        </w:tc>
        <w:tc>
          <w:tcPr>
            <w:tcW w:w="588" w:type="pct"/>
            <w:shd w:val="clear" w:color="auto" w:fill="D9D9D9" w:themeFill="background1" w:themeFillShade="D9"/>
            <w:vAlign w:val="center"/>
          </w:tcPr>
          <w:p w:rsidR="00FB2F0D" w:rsidRPr="00AE0058" w:rsidRDefault="00FB2F0D" w:rsidP="00C65795">
            <w:pPr>
              <w:keepNext/>
              <w:rPr>
                <w:b/>
                <w:color w:val="000000" w:themeColor="text1"/>
                <w:sz w:val="16"/>
                <w:szCs w:val="16"/>
              </w:rPr>
            </w:pPr>
          </w:p>
        </w:tc>
        <w:tc>
          <w:tcPr>
            <w:tcW w:w="588" w:type="pct"/>
            <w:shd w:val="clear" w:color="auto" w:fill="D9D9D9" w:themeFill="background1" w:themeFillShade="D9"/>
            <w:vAlign w:val="center"/>
          </w:tcPr>
          <w:p w:rsidR="00FB2F0D" w:rsidRPr="00AE0058" w:rsidRDefault="00FB2F0D" w:rsidP="00C65795">
            <w:pPr>
              <w:keepNext/>
              <w:rPr>
                <w:b/>
                <w:color w:val="000000" w:themeColor="text1"/>
                <w:sz w:val="16"/>
                <w:szCs w:val="16"/>
              </w:rPr>
            </w:pPr>
          </w:p>
        </w:tc>
        <w:tc>
          <w:tcPr>
            <w:tcW w:w="3052" w:type="pct"/>
            <w:gridSpan w:val="7"/>
            <w:shd w:val="clear" w:color="auto" w:fill="D9D9D9" w:themeFill="background1" w:themeFillShade="D9"/>
            <w:vAlign w:val="center"/>
          </w:tcPr>
          <w:p w:rsidR="00FB2F0D" w:rsidRPr="00AE0058" w:rsidRDefault="00FB2F0D" w:rsidP="00C65795">
            <w:pPr>
              <w:keepNext/>
              <w:jc w:val="center"/>
              <w:rPr>
                <w:b/>
                <w:color w:val="000000" w:themeColor="text1"/>
                <w:sz w:val="16"/>
                <w:szCs w:val="16"/>
              </w:rPr>
            </w:pPr>
            <w:r>
              <w:rPr>
                <w:b/>
                <w:color w:val="000000" w:themeColor="text1"/>
                <w:sz w:val="16"/>
                <w:szCs w:val="16"/>
              </w:rPr>
              <w:t>In thousands of EUR</w:t>
            </w:r>
          </w:p>
        </w:tc>
      </w:tr>
      <w:tr w:rsidR="00FB2F0D" w:rsidRPr="00AE0058" w:rsidTr="006C07FA">
        <w:tc>
          <w:tcPr>
            <w:tcW w:w="291" w:type="pct"/>
            <w:vAlign w:val="center"/>
          </w:tcPr>
          <w:p w:rsidR="00FB2F0D" w:rsidRPr="00AE0058" w:rsidRDefault="007D5C8F" w:rsidP="007D5C8F">
            <w:pPr>
              <w:rPr>
                <w:color w:val="000000" w:themeColor="text1"/>
                <w:sz w:val="16"/>
                <w:szCs w:val="16"/>
              </w:rPr>
            </w:pPr>
            <w:r>
              <w:rPr>
                <w:color w:val="000000" w:themeColor="text1"/>
                <w:sz w:val="16"/>
                <w:szCs w:val="16"/>
              </w:rPr>
              <w:t>16</w:t>
            </w:r>
          </w:p>
        </w:tc>
        <w:tc>
          <w:tcPr>
            <w:tcW w:w="480" w:type="pct"/>
            <w:vAlign w:val="center"/>
          </w:tcPr>
          <w:p w:rsidR="00FB2F0D" w:rsidRPr="00AE0058" w:rsidRDefault="00FB2F0D" w:rsidP="00FB2F0D">
            <w:pPr>
              <w:rPr>
                <w:color w:val="000000" w:themeColor="text1"/>
                <w:sz w:val="16"/>
                <w:szCs w:val="16"/>
              </w:rPr>
            </w:pPr>
            <w:r>
              <w:rPr>
                <w:color w:val="000000" w:themeColor="text1"/>
                <w:sz w:val="16"/>
                <w:szCs w:val="16"/>
              </w:rPr>
              <w:t>§ 7(2)(7) UStatG</w:t>
            </w:r>
          </w:p>
        </w:tc>
        <w:tc>
          <w:tcPr>
            <w:tcW w:w="588" w:type="pct"/>
            <w:shd w:val="clear" w:color="auto" w:fill="auto"/>
            <w:vAlign w:val="center"/>
          </w:tcPr>
          <w:p w:rsidR="00FB2F0D" w:rsidRPr="00AE0058" w:rsidRDefault="00FB2F0D" w:rsidP="00FB2F0D">
            <w:pPr>
              <w:rPr>
                <w:color w:val="000000" w:themeColor="text1"/>
                <w:sz w:val="16"/>
                <w:szCs w:val="16"/>
              </w:rPr>
            </w:pPr>
            <w:r>
              <w:rPr>
                <w:color w:val="000000" w:themeColor="text1"/>
                <w:sz w:val="16"/>
                <w:szCs w:val="16"/>
              </w:rPr>
              <w:t>Survey of public sewage disposal – sewage sludge</w:t>
            </w:r>
          </w:p>
        </w:tc>
        <w:tc>
          <w:tcPr>
            <w:tcW w:w="588" w:type="pct"/>
            <w:shd w:val="clear" w:color="auto" w:fill="auto"/>
            <w:vAlign w:val="center"/>
          </w:tcPr>
          <w:p w:rsidR="00FB2F0D" w:rsidRPr="00AE0058" w:rsidRDefault="00FB2F0D" w:rsidP="00FB2F0D">
            <w:pPr>
              <w:rPr>
                <w:color w:val="000000" w:themeColor="text1"/>
                <w:sz w:val="16"/>
                <w:szCs w:val="16"/>
              </w:rPr>
            </w:pPr>
            <w:r>
              <w:rPr>
                <w:color w:val="000000" w:themeColor="text1"/>
                <w:sz w:val="16"/>
                <w:szCs w:val="16"/>
              </w:rPr>
              <w:t>Federal state</w:t>
            </w:r>
          </w:p>
        </w:tc>
        <w:tc>
          <w:tcPr>
            <w:tcW w:w="474" w:type="pct"/>
            <w:gridSpan w:val="2"/>
            <w:vAlign w:val="center"/>
          </w:tcPr>
          <w:p w:rsidR="00FB2F0D" w:rsidRPr="00AE0058" w:rsidRDefault="00FB2F0D" w:rsidP="00FB2F0D">
            <w:pPr>
              <w:jc w:val="right"/>
              <w:rPr>
                <w:color w:val="000000" w:themeColor="text1"/>
                <w:sz w:val="16"/>
                <w:szCs w:val="16"/>
              </w:rPr>
            </w:pPr>
            <w:r>
              <w:rPr>
                <w:color w:val="000000" w:themeColor="text1"/>
                <w:sz w:val="16"/>
                <w:szCs w:val="16"/>
              </w:rPr>
              <w:t>+41</w:t>
            </w:r>
          </w:p>
        </w:tc>
        <w:tc>
          <w:tcPr>
            <w:tcW w:w="464" w:type="pct"/>
            <w:vAlign w:val="center"/>
          </w:tcPr>
          <w:p w:rsidR="00FB2F0D" w:rsidRPr="00AE0058" w:rsidRDefault="00FB2F0D" w:rsidP="00FB2F0D">
            <w:pPr>
              <w:jc w:val="right"/>
              <w:rPr>
                <w:color w:val="000000" w:themeColor="text1"/>
                <w:sz w:val="16"/>
                <w:szCs w:val="16"/>
              </w:rPr>
            </w:pPr>
            <w:r>
              <w:rPr>
                <w:color w:val="000000" w:themeColor="text1"/>
                <w:sz w:val="16"/>
                <w:szCs w:val="16"/>
              </w:rPr>
              <w:t>0</w:t>
            </w:r>
          </w:p>
        </w:tc>
        <w:tc>
          <w:tcPr>
            <w:tcW w:w="476" w:type="pct"/>
            <w:gridSpan w:val="2"/>
            <w:vAlign w:val="center"/>
          </w:tcPr>
          <w:p w:rsidR="00FB2F0D" w:rsidRPr="00AE0058" w:rsidRDefault="00FB2F0D" w:rsidP="00FB2F0D">
            <w:pPr>
              <w:jc w:val="right"/>
              <w:rPr>
                <w:color w:val="000000" w:themeColor="text1"/>
                <w:sz w:val="16"/>
                <w:szCs w:val="16"/>
              </w:rPr>
            </w:pPr>
            <w:r>
              <w:rPr>
                <w:color w:val="000000" w:themeColor="text1"/>
                <w:sz w:val="16"/>
                <w:szCs w:val="16"/>
              </w:rPr>
              <w:t>0</w:t>
            </w:r>
          </w:p>
        </w:tc>
        <w:tc>
          <w:tcPr>
            <w:tcW w:w="536" w:type="pct"/>
            <w:tcBorders>
              <w:right w:val="single" w:sz="12" w:space="0" w:color="auto"/>
            </w:tcBorders>
            <w:vAlign w:val="center"/>
          </w:tcPr>
          <w:p w:rsidR="00FB2F0D" w:rsidRPr="00AE0058" w:rsidRDefault="00FB2F0D" w:rsidP="00FB2F0D">
            <w:pPr>
              <w:jc w:val="right"/>
              <w:rPr>
                <w:color w:val="000000" w:themeColor="text1"/>
                <w:sz w:val="16"/>
                <w:szCs w:val="16"/>
              </w:rPr>
            </w:pPr>
            <w:r>
              <w:rPr>
                <w:color w:val="000000" w:themeColor="text1"/>
                <w:sz w:val="16"/>
                <w:szCs w:val="16"/>
              </w:rPr>
              <w:t>0</w:t>
            </w:r>
          </w:p>
        </w:tc>
        <w:tc>
          <w:tcPr>
            <w:tcW w:w="1102" w:type="pct"/>
            <w:tcBorders>
              <w:left w:val="single" w:sz="12" w:space="0" w:color="auto"/>
            </w:tcBorders>
            <w:vAlign w:val="center"/>
          </w:tcPr>
          <w:p w:rsidR="00FB2F0D" w:rsidRPr="00AE0058" w:rsidRDefault="00FB2F0D" w:rsidP="00FB2F0D">
            <w:pPr>
              <w:jc w:val="right"/>
              <w:rPr>
                <w:color w:val="000000" w:themeColor="text1"/>
                <w:sz w:val="16"/>
                <w:szCs w:val="16"/>
              </w:rPr>
            </w:pPr>
            <w:r>
              <w:rPr>
                <w:color w:val="000000" w:themeColor="text1"/>
                <w:sz w:val="16"/>
                <w:szCs w:val="16"/>
              </w:rPr>
              <w:t>+41</w:t>
            </w:r>
          </w:p>
        </w:tc>
      </w:tr>
      <w:tr w:rsidR="00FB2F0D" w:rsidRPr="00AE0058" w:rsidTr="006C07FA">
        <w:tc>
          <w:tcPr>
            <w:tcW w:w="1948" w:type="pct"/>
            <w:gridSpan w:val="4"/>
            <w:shd w:val="clear" w:color="auto" w:fill="D9D9D9" w:themeFill="background1" w:themeFillShade="D9"/>
            <w:vAlign w:val="center"/>
          </w:tcPr>
          <w:p w:rsidR="00FB2F0D" w:rsidRPr="00AE0058" w:rsidRDefault="00FB2F0D" w:rsidP="00FB2F0D">
            <w:pPr>
              <w:rPr>
                <w:b/>
                <w:color w:val="000000" w:themeColor="text1"/>
                <w:sz w:val="16"/>
                <w:szCs w:val="16"/>
              </w:rPr>
            </w:pPr>
            <w:r>
              <w:rPr>
                <w:b/>
                <w:color w:val="000000" w:themeColor="text1"/>
                <w:sz w:val="16"/>
                <w:szCs w:val="16"/>
              </w:rPr>
              <w:t>Total</w:t>
            </w:r>
          </w:p>
        </w:tc>
        <w:tc>
          <w:tcPr>
            <w:tcW w:w="474" w:type="pct"/>
            <w:gridSpan w:val="2"/>
            <w:shd w:val="clear" w:color="auto" w:fill="D9D9D9" w:themeFill="background1" w:themeFillShade="D9"/>
            <w:vAlign w:val="center"/>
          </w:tcPr>
          <w:p w:rsidR="00FB2F0D" w:rsidRPr="00AE0058" w:rsidRDefault="00FB2F0D" w:rsidP="00FB2F0D">
            <w:pPr>
              <w:jc w:val="right"/>
              <w:rPr>
                <w:b/>
                <w:bCs/>
                <w:color w:val="000000" w:themeColor="text1"/>
                <w:sz w:val="16"/>
                <w:szCs w:val="16"/>
              </w:rPr>
            </w:pPr>
            <w:r>
              <w:rPr>
                <w:b/>
                <w:bCs/>
                <w:color w:val="000000" w:themeColor="text1"/>
                <w:sz w:val="16"/>
                <w:szCs w:val="16"/>
              </w:rPr>
              <w:t>+41</w:t>
            </w:r>
          </w:p>
        </w:tc>
        <w:tc>
          <w:tcPr>
            <w:tcW w:w="464" w:type="pct"/>
            <w:shd w:val="clear" w:color="auto" w:fill="D9D9D9" w:themeFill="background1" w:themeFillShade="D9"/>
            <w:vAlign w:val="center"/>
          </w:tcPr>
          <w:p w:rsidR="00FB2F0D" w:rsidRPr="00AE0058" w:rsidRDefault="00FB2F0D" w:rsidP="00FB2F0D">
            <w:pPr>
              <w:jc w:val="right"/>
              <w:rPr>
                <w:b/>
                <w:bCs/>
                <w:color w:val="000000" w:themeColor="text1"/>
                <w:sz w:val="16"/>
                <w:szCs w:val="16"/>
              </w:rPr>
            </w:pPr>
            <w:r>
              <w:rPr>
                <w:b/>
                <w:bCs/>
                <w:color w:val="000000" w:themeColor="text1"/>
                <w:sz w:val="16"/>
                <w:szCs w:val="16"/>
              </w:rPr>
              <w:t>0</w:t>
            </w:r>
          </w:p>
        </w:tc>
        <w:tc>
          <w:tcPr>
            <w:tcW w:w="476" w:type="pct"/>
            <w:gridSpan w:val="2"/>
            <w:shd w:val="clear" w:color="auto" w:fill="D9D9D9" w:themeFill="background1" w:themeFillShade="D9"/>
            <w:vAlign w:val="center"/>
          </w:tcPr>
          <w:p w:rsidR="00FB2F0D" w:rsidRPr="00AE0058" w:rsidRDefault="00FB2F0D" w:rsidP="00FB2F0D">
            <w:pPr>
              <w:jc w:val="right"/>
              <w:rPr>
                <w:b/>
                <w:bCs/>
                <w:color w:val="000000" w:themeColor="text1"/>
                <w:sz w:val="16"/>
                <w:szCs w:val="16"/>
              </w:rPr>
            </w:pPr>
            <w:r>
              <w:rPr>
                <w:b/>
                <w:bCs/>
                <w:color w:val="000000" w:themeColor="text1"/>
                <w:sz w:val="16"/>
                <w:szCs w:val="16"/>
              </w:rPr>
              <w:t>0</w:t>
            </w:r>
          </w:p>
        </w:tc>
        <w:tc>
          <w:tcPr>
            <w:tcW w:w="536" w:type="pct"/>
            <w:tcBorders>
              <w:right w:val="single" w:sz="12" w:space="0" w:color="auto"/>
            </w:tcBorders>
            <w:shd w:val="clear" w:color="auto" w:fill="D9D9D9" w:themeFill="background1" w:themeFillShade="D9"/>
            <w:vAlign w:val="center"/>
          </w:tcPr>
          <w:p w:rsidR="00FB2F0D" w:rsidRPr="00AE0058" w:rsidRDefault="00FB2F0D" w:rsidP="00FB2F0D">
            <w:pPr>
              <w:jc w:val="right"/>
              <w:rPr>
                <w:b/>
                <w:bCs/>
                <w:color w:val="000000" w:themeColor="text1"/>
                <w:sz w:val="16"/>
                <w:szCs w:val="16"/>
              </w:rPr>
            </w:pPr>
            <w:r>
              <w:rPr>
                <w:b/>
                <w:bCs/>
                <w:color w:val="000000" w:themeColor="text1"/>
                <w:sz w:val="16"/>
                <w:szCs w:val="16"/>
              </w:rPr>
              <w:t>0</w:t>
            </w:r>
          </w:p>
        </w:tc>
        <w:tc>
          <w:tcPr>
            <w:tcW w:w="1102" w:type="pct"/>
            <w:tcBorders>
              <w:left w:val="single" w:sz="12" w:space="0" w:color="auto"/>
            </w:tcBorders>
            <w:shd w:val="clear" w:color="auto" w:fill="D9D9D9" w:themeFill="background1" w:themeFillShade="D9"/>
            <w:vAlign w:val="center"/>
          </w:tcPr>
          <w:p w:rsidR="00FB2F0D" w:rsidRPr="00AE0058" w:rsidRDefault="00FB2F0D" w:rsidP="00FB2F0D">
            <w:pPr>
              <w:jc w:val="right"/>
              <w:rPr>
                <w:b/>
                <w:bCs/>
                <w:color w:val="000000" w:themeColor="text1"/>
                <w:sz w:val="16"/>
                <w:szCs w:val="16"/>
              </w:rPr>
            </w:pPr>
            <w:r>
              <w:rPr>
                <w:b/>
                <w:bCs/>
                <w:color w:val="000000" w:themeColor="text1"/>
                <w:sz w:val="16"/>
                <w:szCs w:val="16"/>
              </w:rPr>
              <w:t>+41</w:t>
            </w:r>
          </w:p>
        </w:tc>
      </w:tr>
      <w:tr w:rsidR="00FB2F0D" w:rsidRPr="00AE0058" w:rsidTr="006C07FA">
        <w:tc>
          <w:tcPr>
            <w:tcW w:w="1948" w:type="pct"/>
            <w:gridSpan w:val="4"/>
            <w:shd w:val="clear" w:color="auto" w:fill="F2F2F2" w:themeFill="background1" w:themeFillShade="F2"/>
            <w:vAlign w:val="center"/>
          </w:tcPr>
          <w:p w:rsidR="00FB2F0D" w:rsidRPr="00AE0058" w:rsidRDefault="00FB2F0D" w:rsidP="00F031E5">
            <w:pPr>
              <w:jc w:val="right"/>
              <w:rPr>
                <w:color w:val="000000" w:themeColor="text1"/>
                <w:sz w:val="16"/>
                <w:szCs w:val="16"/>
              </w:rPr>
            </w:pPr>
            <w:r>
              <w:rPr>
                <w:color w:val="000000" w:themeColor="text1"/>
                <w:sz w:val="16"/>
                <w:szCs w:val="16"/>
              </w:rPr>
              <w:t>of which at federal level</w:t>
            </w:r>
          </w:p>
        </w:tc>
        <w:tc>
          <w:tcPr>
            <w:tcW w:w="474" w:type="pct"/>
            <w:gridSpan w:val="2"/>
            <w:shd w:val="clear" w:color="auto" w:fill="F2F2F2" w:themeFill="background1" w:themeFillShade="F2"/>
            <w:vAlign w:val="center"/>
          </w:tcPr>
          <w:p w:rsidR="00FB2F0D" w:rsidRPr="00AE0058" w:rsidRDefault="00FB2F0D" w:rsidP="00FB2F0D">
            <w:pPr>
              <w:jc w:val="right"/>
              <w:rPr>
                <w:bCs/>
                <w:color w:val="000000" w:themeColor="text1"/>
                <w:sz w:val="16"/>
                <w:szCs w:val="16"/>
              </w:rPr>
            </w:pPr>
            <w:r>
              <w:rPr>
                <w:bCs/>
                <w:color w:val="000000" w:themeColor="text1"/>
                <w:sz w:val="16"/>
                <w:szCs w:val="16"/>
              </w:rPr>
              <w:t>0</w:t>
            </w:r>
          </w:p>
        </w:tc>
        <w:tc>
          <w:tcPr>
            <w:tcW w:w="464" w:type="pct"/>
            <w:shd w:val="clear" w:color="auto" w:fill="F2F2F2" w:themeFill="background1" w:themeFillShade="F2"/>
            <w:vAlign w:val="center"/>
          </w:tcPr>
          <w:p w:rsidR="00FB2F0D" w:rsidRPr="00AE0058" w:rsidRDefault="00FB2F0D" w:rsidP="00FB2F0D">
            <w:pPr>
              <w:jc w:val="right"/>
              <w:rPr>
                <w:bCs/>
                <w:color w:val="000000" w:themeColor="text1"/>
                <w:sz w:val="16"/>
                <w:szCs w:val="16"/>
              </w:rPr>
            </w:pPr>
            <w:r>
              <w:rPr>
                <w:bCs/>
                <w:color w:val="000000" w:themeColor="text1"/>
                <w:sz w:val="16"/>
                <w:szCs w:val="16"/>
              </w:rPr>
              <w:t>0</w:t>
            </w:r>
          </w:p>
        </w:tc>
        <w:tc>
          <w:tcPr>
            <w:tcW w:w="476" w:type="pct"/>
            <w:gridSpan w:val="2"/>
            <w:shd w:val="clear" w:color="auto" w:fill="F2F2F2" w:themeFill="background1" w:themeFillShade="F2"/>
            <w:vAlign w:val="center"/>
          </w:tcPr>
          <w:p w:rsidR="00FB2F0D" w:rsidRPr="00AE0058" w:rsidRDefault="00FB2F0D" w:rsidP="00FB2F0D">
            <w:pPr>
              <w:jc w:val="right"/>
              <w:rPr>
                <w:bCs/>
                <w:color w:val="000000" w:themeColor="text1"/>
                <w:sz w:val="16"/>
                <w:szCs w:val="16"/>
              </w:rPr>
            </w:pPr>
            <w:r>
              <w:rPr>
                <w:bCs/>
                <w:color w:val="000000" w:themeColor="text1"/>
                <w:sz w:val="16"/>
                <w:szCs w:val="16"/>
              </w:rPr>
              <w:t>0</w:t>
            </w:r>
          </w:p>
        </w:tc>
        <w:tc>
          <w:tcPr>
            <w:tcW w:w="536" w:type="pct"/>
            <w:tcBorders>
              <w:right w:val="single" w:sz="12" w:space="0" w:color="auto"/>
            </w:tcBorders>
            <w:shd w:val="clear" w:color="auto" w:fill="F2F2F2" w:themeFill="background1" w:themeFillShade="F2"/>
            <w:vAlign w:val="center"/>
          </w:tcPr>
          <w:p w:rsidR="00FB2F0D" w:rsidRPr="00AE0058" w:rsidRDefault="00FB2F0D" w:rsidP="00FB2F0D">
            <w:pPr>
              <w:jc w:val="right"/>
              <w:rPr>
                <w:bCs/>
                <w:color w:val="000000" w:themeColor="text1"/>
                <w:sz w:val="16"/>
                <w:szCs w:val="16"/>
              </w:rPr>
            </w:pPr>
            <w:r>
              <w:rPr>
                <w:bCs/>
                <w:color w:val="000000" w:themeColor="text1"/>
                <w:sz w:val="16"/>
                <w:szCs w:val="16"/>
              </w:rPr>
              <w:t>0</w:t>
            </w:r>
          </w:p>
        </w:tc>
        <w:tc>
          <w:tcPr>
            <w:tcW w:w="1102" w:type="pct"/>
            <w:tcBorders>
              <w:left w:val="single" w:sz="12" w:space="0" w:color="auto"/>
            </w:tcBorders>
            <w:shd w:val="clear" w:color="auto" w:fill="F2F2F2" w:themeFill="background1" w:themeFillShade="F2"/>
            <w:vAlign w:val="center"/>
          </w:tcPr>
          <w:p w:rsidR="00FB2F0D" w:rsidRPr="00AE0058" w:rsidRDefault="00FB2F0D" w:rsidP="00FB2F0D">
            <w:pPr>
              <w:jc w:val="right"/>
              <w:rPr>
                <w:bCs/>
                <w:color w:val="000000" w:themeColor="text1"/>
                <w:sz w:val="16"/>
                <w:szCs w:val="16"/>
              </w:rPr>
            </w:pPr>
            <w:r>
              <w:rPr>
                <w:bCs/>
                <w:color w:val="000000" w:themeColor="text1"/>
                <w:sz w:val="16"/>
                <w:szCs w:val="16"/>
              </w:rPr>
              <w:t>0</w:t>
            </w:r>
          </w:p>
        </w:tc>
      </w:tr>
      <w:tr w:rsidR="00FB2F0D" w:rsidRPr="00AE0058" w:rsidTr="006C07FA">
        <w:tc>
          <w:tcPr>
            <w:tcW w:w="1948" w:type="pct"/>
            <w:gridSpan w:val="4"/>
            <w:shd w:val="clear" w:color="auto" w:fill="F2F2F2" w:themeFill="background1" w:themeFillShade="F2"/>
            <w:vAlign w:val="center"/>
          </w:tcPr>
          <w:p w:rsidR="00FB2F0D" w:rsidRPr="00AE0058" w:rsidRDefault="00FB2F0D" w:rsidP="00F031E5">
            <w:pPr>
              <w:jc w:val="right"/>
              <w:rPr>
                <w:color w:val="000000" w:themeColor="text1"/>
                <w:sz w:val="16"/>
                <w:szCs w:val="16"/>
              </w:rPr>
            </w:pPr>
            <w:r>
              <w:rPr>
                <w:color w:val="000000" w:themeColor="text1"/>
                <w:sz w:val="16"/>
                <w:szCs w:val="16"/>
              </w:rPr>
              <w:t>of which at federal state level</w:t>
            </w:r>
          </w:p>
        </w:tc>
        <w:tc>
          <w:tcPr>
            <w:tcW w:w="474" w:type="pct"/>
            <w:gridSpan w:val="2"/>
            <w:shd w:val="clear" w:color="auto" w:fill="F2F2F2" w:themeFill="background1" w:themeFillShade="F2"/>
            <w:vAlign w:val="center"/>
          </w:tcPr>
          <w:p w:rsidR="00FB2F0D" w:rsidRPr="00AE0058" w:rsidRDefault="00FB2F0D" w:rsidP="00FB2F0D">
            <w:pPr>
              <w:jc w:val="right"/>
              <w:rPr>
                <w:bCs/>
                <w:color w:val="000000" w:themeColor="text1"/>
                <w:sz w:val="16"/>
                <w:szCs w:val="16"/>
              </w:rPr>
            </w:pPr>
            <w:r>
              <w:rPr>
                <w:bCs/>
                <w:color w:val="000000" w:themeColor="text1"/>
                <w:sz w:val="16"/>
                <w:szCs w:val="16"/>
              </w:rPr>
              <w:t>+41</w:t>
            </w:r>
          </w:p>
        </w:tc>
        <w:tc>
          <w:tcPr>
            <w:tcW w:w="464" w:type="pct"/>
            <w:shd w:val="clear" w:color="auto" w:fill="F2F2F2" w:themeFill="background1" w:themeFillShade="F2"/>
            <w:vAlign w:val="center"/>
          </w:tcPr>
          <w:p w:rsidR="00FB2F0D" w:rsidRPr="00AE0058" w:rsidRDefault="00FB2F0D" w:rsidP="00FB2F0D">
            <w:pPr>
              <w:jc w:val="right"/>
              <w:rPr>
                <w:bCs/>
                <w:color w:val="000000" w:themeColor="text1"/>
                <w:sz w:val="16"/>
                <w:szCs w:val="16"/>
              </w:rPr>
            </w:pPr>
            <w:r>
              <w:rPr>
                <w:bCs/>
                <w:color w:val="000000" w:themeColor="text1"/>
                <w:sz w:val="16"/>
                <w:szCs w:val="16"/>
              </w:rPr>
              <w:t>0</w:t>
            </w:r>
          </w:p>
        </w:tc>
        <w:tc>
          <w:tcPr>
            <w:tcW w:w="476" w:type="pct"/>
            <w:gridSpan w:val="2"/>
            <w:shd w:val="clear" w:color="auto" w:fill="F2F2F2" w:themeFill="background1" w:themeFillShade="F2"/>
            <w:vAlign w:val="center"/>
          </w:tcPr>
          <w:p w:rsidR="00FB2F0D" w:rsidRPr="00AE0058" w:rsidRDefault="00FB2F0D" w:rsidP="00FB2F0D">
            <w:pPr>
              <w:jc w:val="right"/>
              <w:rPr>
                <w:bCs/>
                <w:color w:val="000000" w:themeColor="text1"/>
                <w:sz w:val="16"/>
                <w:szCs w:val="16"/>
              </w:rPr>
            </w:pPr>
            <w:r>
              <w:rPr>
                <w:bCs/>
                <w:color w:val="000000" w:themeColor="text1"/>
                <w:sz w:val="16"/>
                <w:szCs w:val="16"/>
              </w:rPr>
              <w:t>0</w:t>
            </w:r>
          </w:p>
        </w:tc>
        <w:tc>
          <w:tcPr>
            <w:tcW w:w="536" w:type="pct"/>
            <w:tcBorders>
              <w:right w:val="single" w:sz="12" w:space="0" w:color="auto"/>
            </w:tcBorders>
            <w:shd w:val="clear" w:color="auto" w:fill="F2F2F2" w:themeFill="background1" w:themeFillShade="F2"/>
            <w:vAlign w:val="center"/>
          </w:tcPr>
          <w:p w:rsidR="00FB2F0D" w:rsidRPr="00AE0058" w:rsidRDefault="00FB2F0D" w:rsidP="00FB2F0D">
            <w:pPr>
              <w:jc w:val="right"/>
              <w:rPr>
                <w:bCs/>
                <w:color w:val="000000" w:themeColor="text1"/>
                <w:sz w:val="16"/>
                <w:szCs w:val="16"/>
              </w:rPr>
            </w:pPr>
            <w:r>
              <w:rPr>
                <w:bCs/>
                <w:color w:val="000000" w:themeColor="text1"/>
                <w:sz w:val="16"/>
                <w:szCs w:val="16"/>
              </w:rPr>
              <w:t>0</w:t>
            </w:r>
          </w:p>
        </w:tc>
        <w:tc>
          <w:tcPr>
            <w:tcW w:w="1102" w:type="pct"/>
            <w:tcBorders>
              <w:left w:val="single" w:sz="12" w:space="0" w:color="auto"/>
            </w:tcBorders>
            <w:shd w:val="clear" w:color="auto" w:fill="F2F2F2" w:themeFill="background1" w:themeFillShade="F2"/>
            <w:vAlign w:val="center"/>
          </w:tcPr>
          <w:p w:rsidR="00FB2F0D" w:rsidRPr="00AE0058" w:rsidRDefault="00FB2F0D" w:rsidP="00FB2F0D">
            <w:pPr>
              <w:jc w:val="right"/>
              <w:rPr>
                <w:bCs/>
                <w:color w:val="000000" w:themeColor="text1"/>
                <w:sz w:val="16"/>
                <w:szCs w:val="16"/>
              </w:rPr>
            </w:pPr>
            <w:r>
              <w:rPr>
                <w:bCs/>
                <w:color w:val="000000" w:themeColor="text1"/>
                <w:sz w:val="16"/>
                <w:szCs w:val="16"/>
              </w:rPr>
              <w:t>+41</w:t>
            </w:r>
          </w:p>
        </w:tc>
      </w:tr>
    </w:tbl>
    <w:p w:rsidR="00744EBB" w:rsidRPr="00AE0058" w:rsidRDefault="00744EBB" w:rsidP="000B2F65">
      <w:pPr>
        <w:rPr>
          <w:color w:val="000000" w:themeColor="text1"/>
        </w:rPr>
      </w:pPr>
    </w:p>
    <w:p w:rsidR="004705E2" w:rsidRPr="00AE0058" w:rsidRDefault="004705E2">
      <w:pPr>
        <w:pStyle w:val="berschriftarabischBegrndung"/>
      </w:pPr>
      <w:r>
        <w:t>Additional costs</w:t>
      </w:r>
    </w:p>
    <w:p w:rsidR="004705E2" w:rsidRPr="00AE0058" w:rsidRDefault="00272515" w:rsidP="00272515">
      <w:pPr>
        <w:pStyle w:val="Text"/>
        <w:rPr>
          <w:color w:val="000000" w:themeColor="text1"/>
        </w:rPr>
      </w:pPr>
      <w:r>
        <w:rPr>
          <w:rStyle w:val="Marker"/>
          <w:color w:val="000000" w:themeColor="text1"/>
        </w:rPr>
        <w:t>No further costs are incurred through this Act. No impact is expected on individual prices or price levels, in particular consumer price levels.</w:t>
      </w:r>
    </w:p>
    <w:p w:rsidR="004705E2" w:rsidRPr="00AE0058" w:rsidRDefault="004705E2">
      <w:pPr>
        <w:pStyle w:val="berschriftarabischBegrndung"/>
      </w:pPr>
      <w:r>
        <w:t>Other legal consequences</w:t>
      </w:r>
    </w:p>
    <w:p w:rsidR="00412944" w:rsidRPr="00AE0058" w:rsidRDefault="00412944" w:rsidP="00412944">
      <w:pPr>
        <w:pStyle w:val="Text"/>
      </w:pPr>
      <w:r>
        <w:t>The draft Act does not contain any provisions relevant to equality. No effects on equality policy are to be expected, as there is no difference in the way women and men are directly or indirectly affected by the draft Act. The provisions are formulated in a gender equitable manner in accordance with § 1(2) sentence 1 of the Federal Equal Opportunities Act [Bundesgleichstellungsgesetz].</w:t>
      </w:r>
    </w:p>
    <w:p w:rsidR="004705E2" w:rsidRPr="00AE0058" w:rsidRDefault="004705E2">
      <w:pPr>
        <w:pStyle w:val="berschriftrmischBegrndung"/>
      </w:pPr>
      <w:r>
        <w:t>Time limit; evaluation</w:t>
      </w:r>
    </w:p>
    <w:p w:rsidR="0090258C" w:rsidRPr="00AE0058" w:rsidRDefault="0090258C" w:rsidP="0090258C">
      <w:pPr>
        <w:pStyle w:val="Text"/>
      </w:pPr>
      <w:r>
        <w:t>A time limit cannot be considered, as the more regular collection of statistics on water supply, wastewater treatment and sewage sludge disposal is essential for monitoring compliance with the precautionary principle as well as for international reporting. In addition, the measures taken promote the goal of reducing statistical obligations and thus bureaucratic costs by making greater use of existing administrative data. The statistical offices of the federal states will also be permanently relieved of the burden of data preparation by the use of electronic communication channels.</w:t>
      </w:r>
    </w:p>
    <w:p w:rsidR="00DA3B5A" w:rsidRPr="00AE0058" w:rsidRDefault="00917739" w:rsidP="00DA3B5A">
      <w:r>
        <w:t xml:space="preserve">The Act implements EU law. An evaluation of Directive (EU) 2019/904 will be carried out by the European Commission by 3 July 2027, in accordance with Article 15 of Directive (EU) 2019/904. Member States shall provide the European Commission with the additional information necessary for the evaluation and for the preparation of the report provided for in Article 15(2). This evaluation is also the first to assess the effectiveness of the arrangements made to implement Directive (EU) 2019/904. Building on this report and the experience gained at the national level by then, the Federal Government will evaluate this Act by 31 December 2028. </w:t>
      </w:r>
    </w:p>
    <w:p w:rsidR="00DA3B5A" w:rsidRPr="00AE0058" w:rsidRDefault="00DA3B5A" w:rsidP="00DA3B5A">
      <w:r>
        <w:t xml:space="preserve">Building on this report and the experience gained at the national level by then, the Federal Government will evaluate the amendments to the Packaging Act made by this Act by 31 December 2027. The aim of the draft Act is to create reporting systems within the </w:t>
      </w:r>
      <w:r>
        <w:lastRenderedPageBreak/>
        <w:t>framework of extended producer responsibility systems, as well as to fulfil reporting obligations to the European Commission. In order to create the preconditions and data basis for the new reporting, survey designs were chosen in each case that were intended to ensure a balance between the quality of the data collected and the costs for business and administration associated with the data collection.</w:t>
      </w:r>
    </w:p>
    <w:p w:rsidR="00DA3B5A" w:rsidRPr="00AE0058" w:rsidRDefault="00DA3B5A" w:rsidP="00DA3B5A">
      <w:r>
        <w:t>The aim of the evaluation is to examine whether the costs and benefits of the selected survey designs are in proportion to each other. Criteria for this review may include the quality, validity and consistency of the data collected. To this end, the costs placed on business and administration by the newly created surveys must be put into perspective. For this purpose, feedback from the business community, as well as other criteria such as the completeness and quality of the returned report forms or the required expenditure reported by economic operators for the completion of the report forms, are to be used. The assessment of the relative administrative costs of the newly created surveys is carried out by interviewing the survey authorities concerned, i.e. in the vast majority of cases the federal state statistical offices. In addition, an assessment will be made as to whether it may be appropriate to adopt supplementary provisions in order to maximise the effectiveness of the provisions concerned.</w:t>
      </w:r>
    </w:p>
    <w:p w:rsidR="001A76A7" w:rsidRPr="00AE0058" w:rsidRDefault="001A76A7" w:rsidP="001A76A7">
      <w:r>
        <w:t>Directive (EU) 2019/883 also provides for an evaluation in Article 23(1). Based on the monitoring data for passively fished waste reported under this Act, the Commission is to prepare a report no later than 31 December 2022, and every 2 years thereafter. On the basis of these and other reports, the Commission is then to review the Directive by 28 June 2026 at the latest. The aim of the evaluation is to verify whether the arrangements made for the provision of appropriate reception facilities in ports are effective and whether this results in a reduction in the discharge of waste from ships at sea.</w:t>
      </w:r>
    </w:p>
    <w:p w:rsidR="001A76A7" w:rsidRPr="00AE0058" w:rsidRDefault="001A76A7" w:rsidP="001A76A7">
      <w:pPr>
        <w:spacing w:after="0"/>
      </w:pPr>
      <w:r>
        <w:t>By 31 December 2028, the Federal Government will also assess the implementation of the requirements under Article 8a of the amended Waste Framework Directive in the Packaging Act. Here, too, the aim of the review is to assess the extent to which the transposition provisions adopted are effective.</w:t>
      </w:r>
    </w:p>
    <w:p w:rsidR="004705E2" w:rsidRPr="00AE0058" w:rsidRDefault="004705E2">
      <w:pPr>
        <w:pStyle w:val="BegrndungBesondererTeil"/>
      </w:pPr>
      <w:r>
        <w:t>B. Specific part</w:t>
      </w:r>
    </w:p>
    <w:p w:rsidR="00A27E6F" w:rsidRPr="00AE0058" w:rsidRDefault="00A27E6F" w:rsidP="00A27E6F">
      <w:pPr>
        <w:pStyle w:val="VerweisBegrndung"/>
      </w:pPr>
      <w:r>
        <w:t xml:space="preserve">Re </w:t>
      </w:r>
      <w:r>
        <w:rPr>
          <w:rStyle w:val="Binnenverweis"/>
        </w:rPr>
        <w:t>Article 1</w:t>
      </w:r>
      <w:r>
        <w:t xml:space="preserve"> (Amendment to the Environmental Statistics Act)</w:t>
      </w:r>
    </w:p>
    <w:p w:rsidR="00A27E6F" w:rsidRPr="00AE0058" w:rsidRDefault="00A27E6F" w:rsidP="00A27E6F">
      <w:pPr>
        <w:pStyle w:val="VerweisBegrndung"/>
      </w:pPr>
      <w:r>
        <w:t xml:space="preserve">Re </w:t>
      </w:r>
      <w:r>
        <w:rPr>
          <w:rStyle w:val="Binnenverweis"/>
        </w:rPr>
        <w:t>subparagraph 1</w:t>
      </w:r>
    </w:p>
    <w:p w:rsidR="00A27E6F" w:rsidRPr="00AE0058" w:rsidRDefault="00A27E6F" w:rsidP="00A27E6F">
      <w:pPr>
        <w:pStyle w:val="VerweisBegrndung"/>
      </w:pPr>
      <w:r>
        <w:t xml:space="preserve">Re </w:t>
      </w:r>
      <w:r>
        <w:rPr>
          <w:rStyle w:val="Binnenverweis"/>
        </w:rPr>
        <w:t>(a)</w:t>
      </w:r>
    </w:p>
    <w:p w:rsidR="00A27E6F" w:rsidRPr="00AE0058" w:rsidRDefault="00A27E6F" w:rsidP="00A27E6F">
      <w:pPr>
        <w:pStyle w:val="VerweisBegrndung"/>
      </w:pPr>
      <w:r>
        <w:t xml:space="preserve">Re </w:t>
      </w:r>
      <w:r>
        <w:rPr>
          <w:rStyle w:val="Binnenverweis"/>
        </w:rPr>
        <w:t>(aa)</w:t>
      </w:r>
    </w:p>
    <w:p w:rsidR="00A27E6F" w:rsidRPr="00AE0058" w:rsidRDefault="005376C1" w:rsidP="00A27E6F">
      <w:pPr>
        <w:pStyle w:val="Text"/>
      </w:pPr>
      <w:r>
        <w:t>The surveys are extended to include the placing on the market and disposal of certain products (§ 5a).</w:t>
      </w:r>
    </w:p>
    <w:p w:rsidR="00A27E6F" w:rsidRPr="00AE0058" w:rsidRDefault="00A27E6F" w:rsidP="00A27E6F">
      <w:pPr>
        <w:pStyle w:val="VerweisBegrndung"/>
      </w:pPr>
      <w:r>
        <w:t xml:space="preserve">Re </w:t>
      </w:r>
      <w:r>
        <w:rPr>
          <w:rStyle w:val="Binnenverweis"/>
        </w:rPr>
        <w:t>(bb)</w:t>
      </w:r>
    </w:p>
    <w:p w:rsidR="00A27E6F" w:rsidRPr="00AE0058" w:rsidRDefault="003F7942" w:rsidP="00A27E6F">
      <w:pPr>
        <w:pStyle w:val="Text"/>
      </w:pPr>
      <w:r>
        <w:t>This is a consequential amendment resulting from the insertion of a new survey in subparagraph 4.</w:t>
      </w:r>
    </w:p>
    <w:p w:rsidR="00A27E6F" w:rsidRPr="00AE0058" w:rsidRDefault="00A27E6F" w:rsidP="00A27E6F">
      <w:pPr>
        <w:pStyle w:val="VerweisBegrndung"/>
      </w:pPr>
      <w:r>
        <w:t xml:space="preserve">Re </w:t>
      </w:r>
      <w:r>
        <w:rPr>
          <w:rStyle w:val="Binnenverweis"/>
        </w:rPr>
        <w:t>(b)</w:t>
      </w:r>
    </w:p>
    <w:p w:rsidR="00A27E6F" w:rsidRPr="00AE0058" w:rsidRDefault="003F7942" w:rsidP="00A27E6F">
      <w:pPr>
        <w:pStyle w:val="Text"/>
      </w:pPr>
      <w:r>
        <w:t>The inclusion of an opening clause makes it possible to determine the scope of the survey in deviation from § 2(2).</w:t>
      </w:r>
    </w:p>
    <w:p w:rsidR="00A27E6F" w:rsidRPr="00AE0058" w:rsidRDefault="00A27E6F" w:rsidP="00A27E6F">
      <w:pPr>
        <w:pStyle w:val="VerweisBegrndung"/>
      </w:pPr>
      <w:r>
        <w:lastRenderedPageBreak/>
        <w:t xml:space="preserve">Re </w:t>
      </w:r>
      <w:r>
        <w:rPr>
          <w:rStyle w:val="Binnenverweis"/>
        </w:rPr>
        <w:t>subparagraph 2</w:t>
      </w:r>
    </w:p>
    <w:p w:rsidR="00B757FD" w:rsidRPr="00AE0058" w:rsidRDefault="00B757FD" w:rsidP="00B757FD">
      <w:pPr>
        <w:pStyle w:val="Text"/>
      </w:pPr>
      <w:r>
        <w:t>Directive 2008/98/EC, as amended by Directive (EU) 2018/851 (Waste Framework Directive – WFD), in conjunction with Commission Implementing Decision (EU) 2019/1004 of 7 June 2019 (OJ L 163, 20.6.2019, p. 66), provides that, inter alia, municipal waste and organic waste are in principle to be collected separately. In addition, the quantities of biological municipal waste separated and recycled at the waste generation point (household, property, other objects) are to be counted towards the recycling quota from the reporting year of 2020 onwards. For this purpose, reliable data are needed on the waste generation points where home composting occurs on the one hand and on the quantities produced at each such waste generation point on the other. The responsible closed cycle waste management authorities and third parties, insofar as they have been assigned recycling and disposal obligations or have been commissioned to fulfil them, under the Closed Cycle and Waste Management Act generally have access to data on waste generation points that are connected to organic waste bins. Furthermore, information would also have to be available on the waste generation points that receive a fee waiver or an exemption from the organic waste bins because they recycle their organic waste themselves on their own or in home composting facilities. In addition, even in areas where no organic waste bin is offered, it is known how many waste generation points are connected to the public waste collection system. Therefore, this information can be obtained from the authorities. The quantities can only be estimated within the framework of the waste statistics by assuming that the quantities from waste generation points that dispose of waste in an organic waste bin are as high as the quantities of waste generation points without an organic waste bin that compost themselves. Direct volume surveys would be more likely in the context of household surveys in the form of records. With regard to the quantities, the UBA has also been commissioned to carry out investigations.</w:t>
      </w:r>
    </w:p>
    <w:p w:rsidR="00A27E6F" w:rsidRPr="00AE0058" w:rsidRDefault="00A27E6F" w:rsidP="00A27E6F">
      <w:pPr>
        <w:pStyle w:val="VerweisBegrndung"/>
      </w:pPr>
      <w:r>
        <w:t xml:space="preserve">Re </w:t>
      </w:r>
      <w:r>
        <w:rPr>
          <w:rStyle w:val="Binnenverweis"/>
        </w:rPr>
        <w:t>subparagraph 3</w:t>
      </w:r>
    </w:p>
    <w:p w:rsidR="00BD64EA" w:rsidRPr="00AE0058" w:rsidRDefault="00BD64EA" w:rsidP="00A27E6F">
      <w:pPr>
        <w:pStyle w:val="Text"/>
      </w:pPr>
      <w:r>
        <w:t xml:space="preserve">The survey in § 5(2) concerning businesses that take back or collect used sales packaging as obligated parties under the Packaging Act, as authorised third parties or as systems within the meaning of § 3(16) of the Packaging Act, is no longer applicable, as the corresponding survey has been newly regulated in § 5a(1). </w:t>
      </w:r>
    </w:p>
    <w:p w:rsidR="009037C3" w:rsidRPr="00AE0058" w:rsidRDefault="009037C3" w:rsidP="00A27E6F">
      <w:pPr>
        <w:pStyle w:val="Text"/>
      </w:pPr>
      <w:r>
        <w:t>The previous survey of businesses collecting transport packaging and secondary packaging is to be extended to cover all waste from the packaging referred to in § 15(1) sentence 1 of the Packaging Act and waste from non-refillable drink packaging subject to a deposit pursuant to § 31(1) sentence 1 of the Packaging Act. This provision ensures that data are collected on packaging waste for which producers are unable to provide information on location and disposal pursuant to § 5a(3). The provision serves to implement Article 8a(1)(c) of Directive 2008/98/EC in conjunction with Article 7(2) of Directive 94/62/EC</w:t>
      </w:r>
    </w:p>
    <w:p w:rsidR="00A27E6F" w:rsidRPr="00AE0058" w:rsidRDefault="00A27E6F" w:rsidP="00A27E6F">
      <w:pPr>
        <w:pStyle w:val="VerweisBegrndung"/>
      </w:pPr>
      <w:r>
        <w:t xml:space="preserve">Re </w:t>
      </w:r>
      <w:r>
        <w:rPr>
          <w:rStyle w:val="Binnenverweis"/>
        </w:rPr>
        <w:t xml:space="preserve">subparagraph 4 </w:t>
      </w:r>
    </w:p>
    <w:p w:rsidR="00B757FD" w:rsidRPr="00AE0058" w:rsidRDefault="00B757FD" w:rsidP="00B757FD">
      <w:pPr>
        <w:pStyle w:val="Text"/>
      </w:pPr>
      <w:r>
        <w:t>The survey under § 5a is introduced to allow for compliance with the reporting obligations to the European Commission (via Eurostat) under the Packaging Directive (Directive 94/62/EC), as amended by Directive (EU) 2018/852, the Waste Framework Directive (Directive 2008/98/EC), the Port Reception Facilities Directive (Directive (EU) 2019/883) and the Single-Use Plastics Directive (Directive (EU) 2019/904).</w:t>
      </w:r>
    </w:p>
    <w:p w:rsidR="00783FD5" w:rsidRPr="00AE0058" w:rsidRDefault="00783FD5" w:rsidP="00E13372">
      <w:pPr>
        <w:pStyle w:val="Text"/>
        <w:keepNext/>
        <w:rPr>
          <w:b/>
        </w:rPr>
      </w:pPr>
      <w:r>
        <w:rPr>
          <w:b/>
        </w:rPr>
        <w:t>Re § 5a(1)</w:t>
      </w:r>
    </w:p>
    <w:p w:rsidR="008F4737" w:rsidRPr="00AE0058" w:rsidRDefault="008F4737" w:rsidP="008F4737">
      <w:pPr>
        <w:pStyle w:val="Text"/>
      </w:pPr>
      <w:r>
        <w:t xml:space="preserve">The collection of data on the type, quantity and location of the packaging subject to system participation taken back from private end consumers by the systems and by the industry solutions, which was previously governed by § 5(2), is now governed by this provision. A new provision is the order to collect data on packaging subject to system participation that was placed on the market for the first time in the reporting year. </w:t>
      </w:r>
    </w:p>
    <w:p w:rsidR="008F4737" w:rsidRPr="00AE0058" w:rsidRDefault="008F4737" w:rsidP="008F4737">
      <w:pPr>
        <w:pStyle w:val="Text"/>
      </w:pPr>
      <w:r>
        <w:lastRenderedPageBreak/>
        <w:t>The data are collected by the central agency pursuant to § 3(18) of the Packaging Act (Central Agency Packaging Register (ZSVR)) and bundled by the Federal Statistical Office. The collection of data from the central agency is based on the reporting obligations for manufacturers and dual systems that already exist in the Packaging Act under § 10, § 11, § 17 and § 20 of the Packaging Act.</w:t>
      </w:r>
    </w:p>
    <w:p w:rsidR="008F4737" w:rsidRPr="00AE0058" w:rsidRDefault="008F4737" w:rsidP="008F4737">
      <w:pPr>
        <w:pStyle w:val="Text"/>
      </w:pPr>
      <w:r>
        <w:t xml:space="preserve">Article 6a(1)(a) of Directive 94/62/EC provides that the weight of packaging waste generated and recycled in a given calendar year is to be calculated by the Member States. </w:t>
      </w:r>
    </w:p>
    <w:p w:rsidR="008F4737" w:rsidRPr="00AE0058" w:rsidRDefault="008F4737" w:rsidP="008F4737">
      <w:pPr>
        <w:pStyle w:val="Text"/>
      </w:pPr>
      <w:r>
        <w:t>Article 9(1) in conjunction with Annex I of Decision 2005/270/EC, as amended by Commission Implementing Decision (EU) 2019/665 of 17 April 2019 (OJ L 112, 26.4.2019, p 26), justify the new survey characteristics.</w:t>
      </w:r>
    </w:p>
    <w:p w:rsidR="00783FD5" w:rsidRPr="00AE0058" w:rsidRDefault="00783FD5" w:rsidP="00E13372">
      <w:pPr>
        <w:pStyle w:val="Text"/>
        <w:keepNext/>
        <w:rPr>
          <w:b/>
        </w:rPr>
      </w:pPr>
      <w:r>
        <w:rPr>
          <w:b/>
        </w:rPr>
        <w:t>Re § 5a(2)</w:t>
      </w:r>
    </w:p>
    <w:p w:rsidR="00F03FD7" w:rsidRPr="00AE0058" w:rsidRDefault="00F03FD7" w:rsidP="00F03FD7">
      <w:pPr>
        <w:pStyle w:val="Text"/>
      </w:pPr>
      <w:r>
        <w:t xml:space="preserve">This provision standardises the collection from the operators of so-called reusable pools. Much of the reusable packaging in circulation in Germany is used as part of collectively organised reusable pools. These pools can be operated by natural persons or legal entities as well as by partnerships. Operators usually have a comprehensive overview of the reusable packaging placed on the market, used, discarded and disposed of within their pool. The collection is bundled with the operators of reusable pools in order to relieve the individual, often small and medium-sized manufacturers, who use corresponding reusable packaging. </w:t>
      </w:r>
    </w:p>
    <w:p w:rsidR="00F03FD7" w:rsidRPr="00AE0058" w:rsidRDefault="00F03FD7" w:rsidP="00F03FD7">
      <w:pPr>
        <w:pStyle w:val="Text"/>
      </w:pPr>
      <w:r>
        <w:t xml:space="preserve">The term ‘reusable packaging supplied for the first time to the participating businesses’ means packaging that is used and filled for the first time by the participating businesses within the context of the reusable packaging pool. The aim of this survey is to record the number of new packages added to the pool for the survey period. </w:t>
      </w:r>
    </w:p>
    <w:p w:rsidR="00F03FD7" w:rsidRPr="00AE0058" w:rsidRDefault="00F03FD7" w:rsidP="00F03FD7">
      <w:pPr>
        <w:pStyle w:val="Text"/>
      </w:pPr>
      <w:r>
        <w:t xml:space="preserve">With regard to the circulation of the reusable packaging, a credible estimate of the refilling operations carried out in each case is sufficient, unless specific information is known. </w:t>
      </w:r>
    </w:p>
    <w:p w:rsidR="00F03FD7" w:rsidRPr="00AE0058" w:rsidRDefault="00F03FD7" w:rsidP="00F03FD7">
      <w:pPr>
        <w:pStyle w:val="Text"/>
      </w:pPr>
      <w:r>
        <w:t>The collection of data on reusable packaging serves to implement Article 12(3)(a) of Directive 94/62/EC.</w:t>
      </w:r>
    </w:p>
    <w:p w:rsidR="00783FD5" w:rsidRPr="00AE0058" w:rsidRDefault="00783FD5" w:rsidP="00E13372">
      <w:pPr>
        <w:pStyle w:val="Text"/>
        <w:keepNext/>
        <w:rPr>
          <w:b/>
        </w:rPr>
      </w:pPr>
      <w:r>
        <w:rPr>
          <w:b/>
        </w:rPr>
        <w:t>Re § 5a(3)</w:t>
      </w:r>
    </w:p>
    <w:p w:rsidR="006F2FC4" w:rsidRPr="00AE0058" w:rsidRDefault="007740A5" w:rsidP="007740A5">
      <w:pPr>
        <w:pStyle w:val="Text"/>
      </w:pPr>
      <w:r>
        <w:t xml:space="preserve">The addressees of paragraph 3 are the manufacturers of packaging pursuant to § 3(14) of the Packaging Act. They collect data on packaging placed on the market for the first time and on packaging taken back as waste by producers. The survey only concerns packaging that does not typically arise as end consumer waste, since the necessary data on this packaging is already collected under paragraph 1. </w:t>
      </w:r>
    </w:p>
    <w:p w:rsidR="006F2FC4" w:rsidRPr="00AE0058" w:rsidRDefault="006F2FC4" w:rsidP="00E13372">
      <w:pPr>
        <w:pStyle w:val="Text"/>
      </w:pPr>
      <w:r>
        <w:t xml:space="preserve">The survey design of a combination of a full survey and sample survey and evaluation by means of a new full survey takes account of the fact that, firstly, little is known about the scope and structure of the reporting population and major changes can occur here over the medium-term. Secondly, the effort required of the companies to be surveyed is to be limited as much as possible. Thirdly, the requirements for informative value and reliability of the statistics on the part of other economic sectors, in particular the upstream sector, e.g. packaging manufacturers and distributors, and the downstream sector, e.g. recovery and recycling companies, that want to assess their respective market opportunities, as well as government bodies at the local, state and federal level that have to make decisions based on data and facts, have to be met. However, meaningful and reliable results cannot be obtained from sample surveys without precise knowledge of the population. The sample survey shall be derived methodologically and statistically from the results of the complete surveys. </w:t>
      </w:r>
    </w:p>
    <w:p w:rsidR="009460EA" w:rsidRPr="00AE0058" w:rsidRDefault="009460EA" w:rsidP="00E13372">
      <w:pPr>
        <w:pStyle w:val="Text"/>
      </w:pPr>
      <w:r>
        <w:lastRenderedPageBreak/>
        <w:t xml:space="preserve">The design of the sample survey is supported by the Packaging Register, which was extended to all manufacturers of packaging with the amendment of the Packaging Act by the Act Implementing Requirements of the Single-Use Plastics Directive [Gesetz zur Umsetzung von Vorgaben der Einwegkunststoffrichtlinie] and the Waste Framework Directive in the Packaging Act and other acts of [to be inserted in further procedures], so that the manufacturers addressed in § 5a(3) are now also subject to registration. </w:t>
      </w:r>
    </w:p>
    <w:p w:rsidR="007740A5" w:rsidRPr="00AE0058" w:rsidRDefault="007740A5" w:rsidP="007740A5">
      <w:pPr>
        <w:pStyle w:val="Text"/>
      </w:pPr>
      <w:r>
        <w:t xml:space="preserve">Subparagraph 1 of this paragraph regulates the collection of the type and quantity of packaging put into circulation for the first time pursuant to § 15(1) sentence 1 of the Packaging Act. </w:t>
      </w:r>
    </w:p>
    <w:p w:rsidR="007740A5" w:rsidRPr="00AE0058" w:rsidRDefault="007740A5" w:rsidP="007740A5">
      <w:pPr>
        <w:pStyle w:val="Text"/>
      </w:pPr>
      <w:r>
        <w:t xml:space="preserve">Subparagraph 2 regulates the survey of the type and quantity of packaging taken back pursuant to § 15(1) sentence 1 of the Packaging Act. Both provisions serve to implement the Article 8a(1c) of Directive 2008/98/EC in conjunction with Article 7(2) of Directive 94/62/EC. </w:t>
      </w:r>
    </w:p>
    <w:p w:rsidR="007740A5" w:rsidRPr="00AE0058" w:rsidRDefault="007740A5" w:rsidP="007740A5">
      <w:pPr>
        <w:pStyle w:val="Text"/>
      </w:pPr>
      <w:r>
        <w:t xml:space="preserve">Both subparagraph 1 and 2 contain an exception with regard to reusable packaging, as this is also covered by § 15(1) sentence 1 of the Packaging Act, but the survey of reusable packaging is regulated separately in paragraph 2, as well as in paragraph 3(3)and (4) and paragraph 4(2). The exception in paragraph 3(1) and (2) is intended to avoid duplicate surveys. </w:t>
      </w:r>
    </w:p>
    <w:p w:rsidR="007740A5" w:rsidRPr="00AE0058" w:rsidRDefault="007740A5" w:rsidP="007740A5">
      <w:pPr>
        <w:pStyle w:val="Text"/>
      </w:pPr>
      <w:r>
        <w:t>Subparagraph 3 of this paragraph regulates the survey of the type and quantity of reusable packaging placed on the market for the first time pursuant to § 3(3) of the Packaging Act, the number of reusable packaging in circulation and the number of times it has been circulated, i.e. how often a reusable packaging was refilled during the reporting period.</w:t>
      </w:r>
    </w:p>
    <w:p w:rsidR="007740A5" w:rsidRPr="00AE0058" w:rsidRDefault="007740A5" w:rsidP="007740A5">
      <w:pPr>
        <w:pStyle w:val="Text"/>
      </w:pPr>
      <w:r>
        <w:t>Subparagraph 4 regulates the collection of data on the type and quantity of reusable packaging sorted out as waste, as well as its location and disposal.</w:t>
      </w:r>
    </w:p>
    <w:p w:rsidR="007740A5" w:rsidRPr="00AE0058" w:rsidRDefault="007740A5" w:rsidP="007740A5">
      <w:pPr>
        <w:pStyle w:val="Text"/>
      </w:pPr>
      <w:r>
        <w:t xml:space="preserve">A survey under these subparagraphs shall be carried out only to the extent that the survey has not already been carried out in accordance with paragraph 2. This serves, on the one hand, to avoid duplicate surveys and, on the other hand, to relieve the costs for small and medium-sized businesses, which are often involved in reusable pools. </w:t>
      </w:r>
    </w:p>
    <w:p w:rsidR="007740A5" w:rsidRPr="00AE0058" w:rsidRDefault="007740A5" w:rsidP="007740A5">
      <w:pPr>
        <w:pStyle w:val="Text"/>
      </w:pPr>
      <w:r>
        <w:t xml:space="preserve">Both provisions serve to implement Article 12(3c) of Directive 94/62/EC. </w:t>
      </w:r>
    </w:p>
    <w:p w:rsidR="007740A5" w:rsidRPr="00AE0058" w:rsidRDefault="007740A5" w:rsidP="007740A5">
      <w:pPr>
        <w:pStyle w:val="Text"/>
      </w:pPr>
      <w:r>
        <w:t>Both provisions regulate the breakdown of the survey between sales packaging and other reusable packaging. This is to implement Article 9(2) in conjunction with Annex I of Decision 2005/270/EC as amended by Commission Implementing Decision (EU) 2019/665 of 17 April 2019 (OJ L 112, 26.4.2019, p 26).</w:t>
      </w:r>
    </w:p>
    <w:p w:rsidR="00694D2B" w:rsidRPr="00AE0058" w:rsidRDefault="007740A5" w:rsidP="00156BA8">
      <w:pPr>
        <w:pStyle w:val="Text"/>
      </w:pPr>
      <w:r>
        <w:t xml:space="preserve">Subparagraphs 5 and 6 regulate the collection of the type and quantity of single-use drinks packaging placed on the market for the first time that is subject to a deposit pursuant to § 31 of the Packaging Act, as well as the type and quantity of the corresponding packaging taken back, its location and disposal. The data collection for non-refillable beverage bottles mentioned in subparagraph 6 serves, in addition to implementing the Single-Use Plastics Directive, also to implement Article 8a(1c) of the Waste Framework Directive in conjunction with Article 7(2) of the Packaging Directive. The reporting systems required by the Waste Framework Directive must cover all extended producer responsibility schemes. According to Article 7(2) of the Packaging Directive, all packaging must be subject to an extended producer responsibility scheme. Therefore, the combination of both regulations results in the necessity to also create a reporting system for single-use plastic beverage bottles. </w:t>
      </w:r>
    </w:p>
    <w:p w:rsidR="007740A5" w:rsidRPr="00AE0058" w:rsidRDefault="007740A5" w:rsidP="007740A5">
      <w:pPr>
        <w:pStyle w:val="Text"/>
      </w:pPr>
      <w:r>
        <w:t>In addition, the recycled content of single-use plastic beverage bottles placed on the market for the first time is also collected. This serves to implement Article 13(1)(E) of Directive (EU) 2019/904.</w:t>
      </w:r>
    </w:p>
    <w:p w:rsidR="006F2FC4" w:rsidRPr="00AE0058" w:rsidRDefault="00783FD5" w:rsidP="00E13372">
      <w:pPr>
        <w:pStyle w:val="Text"/>
        <w:keepNext/>
        <w:rPr>
          <w:b/>
        </w:rPr>
      </w:pPr>
      <w:r>
        <w:rPr>
          <w:b/>
        </w:rPr>
        <w:lastRenderedPageBreak/>
        <w:t>Re § 5a(4)</w:t>
      </w:r>
    </w:p>
    <w:p w:rsidR="006F2FC4" w:rsidRPr="00AE0058" w:rsidRDefault="006F2FC4" w:rsidP="006F2FC4">
      <w:pPr>
        <w:pStyle w:val="Text"/>
      </w:pPr>
      <w:r>
        <w:t xml:space="preserve">§ 5a(4) regulates the collection of the quantity of very lightweight plastic carrier bags placed on the market for the first time and serves to implement Article 4(1a) of Directive 94/62/EC. This refers to plastic carrier bags with a thickness of 15 micrometres or less. Lightweight plastic carrier bags, i.e. those with a thickness of more than 15 and a maximum of 50 micrometres, do not have to be recorded, as their placing on the market has been banned as of 1 January 2022. However, very lightweight plastic carrier bags are listed as a subgroup of lightweight plastic carrier bags and therefore continue to be covered by their reporting obligation, as follows from the Commission Decision of 22 March 2005 establishing the formats of the tables for the database pursuant to Directive 94/62/EC and from Article 4(1a)(a) of the Packaging Directive. The survey characteristic of ‘quantity’ also allows a survey by number of very lightweight plastic carrier bags placed on the market. The survey is to be carried out among the businesses that place very lightweight plastic carrier bags on the market. </w:t>
      </w:r>
    </w:p>
    <w:p w:rsidR="00783FD5" w:rsidRPr="00AE0058" w:rsidRDefault="00783FD5" w:rsidP="0091334C">
      <w:pPr>
        <w:pStyle w:val="Text"/>
        <w:keepNext/>
        <w:rPr>
          <w:b/>
        </w:rPr>
      </w:pPr>
      <w:r>
        <w:rPr>
          <w:b/>
        </w:rPr>
        <w:t>Re § 5a(5)</w:t>
      </w:r>
    </w:p>
    <w:p w:rsidR="00F04C14" w:rsidRPr="00AE0058" w:rsidRDefault="00F04C14" w:rsidP="00F04C14">
      <w:pPr>
        <w:pStyle w:val="Text"/>
      </w:pPr>
      <w:r>
        <w:t xml:space="preserve">This provision serves to implement Article 13(1) of Directive (EU) 2019/904. The addressees of the survey are businesses that place the single-use plastic products referred to in Article 13(1) of Directive (EU) 2019/904 on the market for the first time. The type and quantity of these products placed on the market for the first time shall be collected. The term ‘type’ also includes the specific nature of certain products (e.g. disposable or reusable, plastic components, use of recycled material and recyclability). The sliding reference to Directive (EU) 2019/904 serves to enable a comprehensive survey to be carried out even if the reporting obligations regulated therein are extended. In order to avoid duplicate surveys, a survey is to be carried out on the basis of this paragraph only if the survey has not already been carried out on the basis of paragraphs 1 to 4 of this provision. </w:t>
      </w:r>
    </w:p>
    <w:p w:rsidR="004512AA" w:rsidRPr="00AE0058" w:rsidRDefault="004512AA" w:rsidP="00E13372">
      <w:pPr>
        <w:pStyle w:val="Text"/>
        <w:keepNext/>
        <w:rPr>
          <w:b/>
        </w:rPr>
      </w:pPr>
      <w:r>
        <w:rPr>
          <w:b/>
        </w:rPr>
        <w:t>Re § 5a(6)</w:t>
      </w:r>
    </w:p>
    <w:p w:rsidR="0091334C" w:rsidRPr="00AE0058" w:rsidRDefault="00191EEB" w:rsidP="00396DB7">
      <w:pPr>
        <w:pStyle w:val="Text"/>
      </w:pPr>
      <w:r>
        <w:t xml:space="preserve">This provision also implements Article 13(1) of Directive 2019/904 and regulates the collection of the type, quantity, location and disposal of waste arising from the single-use plastic products referred to therein. The provision covers the collection of all data required for reporting single-use plastic products under Article 13 of Directive (EU) 2019/904 that have been disposed of. The term ‘disposal’ also includes the type of waste (e.g. in public collection systems) and the type of collection (e.g. separated or mixed). The survey is to be carried out with public authorities and only if they do not have the necessary data are the other addressees of this paragraph to be consulted. </w:t>
      </w:r>
    </w:p>
    <w:p w:rsidR="00191EEB" w:rsidRPr="00AE0058" w:rsidRDefault="00191EEB" w:rsidP="00E13372">
      <w:pPr>
        <w:pStyle w:val="Text"/>
        <w:keepNext/>
        <w:rPr>
          <w:b/>
        </w:rPr>
      </w:pPr>
      <w:r>
        <w:rPr>
          <w:b/>
        </w:rPr>
        <w:t>Re § 5a(7)</w:t>
      </w:r>
    </w:p>
    <w:p w:rsidR="00833D9D" w:rsidRPr="00AE0058" w:rsidRDefault="00833D9D" w:rsidP="00833D9D">
      <w:pPr>
        <w:pStyle w:val="Text"/>
      </w:pPr>
      <w:r>
        <w:t>This provision implements Article 8(7) of Directive (EU) 2019/883, which provides for data collection on the volume and quantity of passively fished waste. As the collection and disposal of passively fished waste is currently carried out through voluntary initiatives and the establishment of these collection systems in ports is under development, the target audience has been defined as broadly as possible. Data can be collected from all natural persons and legal entities, such as port facility operators and private waste management companies, as well as from public waste management authorities and the competent authorities. In this way, the federal state statistical offices can be given as much discretion as possible as to which of these bodies they may access in order to query the data, due to their better knowledge of the conditions on the ground.</w:t>
      </w:r>
    </w:p>
    <w:p w:rsidR="00907F7B" w:rsidRPr="00AE0058" w:rsidRDefault="00907F7B" w:rsidP="00907F7B">
      <w:pPr>
        <w:pStyle w:val="VerweisBegrndung"/>
      </w:pPr>
      <w:r>
        <w:t xml:space="preserve">Re </w:t>
      </w:r>
      <w:r>
        <w:rPr>
          <w:rStyle w:val="Binnenverweis"/>
        </w:rPr>
        <w:t>subparagraph 5</w:t>
      </w:r>
    </w:p>
    <w:p w:rsidR="00907F7B" w:rsidRPr="00AE0058" w:rsidRDefault="00833D9D" w:rsidP="00907F7B">
      <w:pPr>
        <w:pStyle w:val="Text"/>
      </w:pPr>
      <w:r>
        <w:t>This is a consequential amendment resulting from the insertion of § 5a.</w:t>
      </w:r>
    </w:p>
    <w:p w:rsidR="00A27E6F" w:rsidRPr="00AE0058" w:rsidRDefault="00A27E6F" w:rsidP="00A27E6F">
      <w:pPr>
        <w:pStyle w:val="VerweisBegrndung"/>
      </w:pPr>
      <w:r>
        <w:lastRenderedPageBreak/>
        <w:t xml:space="preserve">Re </w:t>
      </w:r>
      <w:r>
        <w:rPr>
          <w:rStyle w:val="Binnenverweis"/>
        </w:rPr>
        <w:t>subparagraph 6</w:t>
      </w:r>
    </w:p>
    <w:p w:rsidR="00A27E6F" w:rsidRPr="00AE0058" w:rsidRDefault="003A6C1F" w:rsidP="00E13372">
      <w:pPr>
        <w:pStyle w:val="Text"/>
        <w:keepNext/>
        <w:rPr>
          <w:b/>
        </w:rPr>
      </w:pPr>
      <w:r>
        <w:rPr>
          <w:b/>
        </w:rPr>
        <w:t>Re § 7 (Charging for public water supply and public sewage disposal)</w:t>
      </w:r>
    </w:p>
    <w:p w:rsidR="003A6C1F" w:rsidRPr="00AE0058" w:rsidRDefault="003A6C1F" w:rsidP="00E13372">
      <w:pPr>
        <w:pStyle w:val="Text"/>
        <w:keepNext/>
        <w:rPr>
          <w:b/>
        </w:rPr>
      </w:pPr>
      <w:r>
        <w:rPr>
          <w:b/>
        </w:rPr>
        <w:t>Re § 7(1)(1)</w:t>
      </w:r>
    </w:p>
    <w:p w:rsidR="005C1D72" w:rsidRPr="00AE0058" w:rsidRDefault="005C1D72" w:rsidP="005C1D72">
      <w:pPr>
        <w:pStyle w:val="Text"/>
      </w:pPr>
      <w:r>
        <w:t>The amendment serves to precisely locate the water catchment area in the river basin districts (Plan Units) in accordance with Directive 2000/60/EC (OJ L 327, 22.12.2000 – Water Framework Directive (WFD)).</w:t>
      </w:r>
    </w:p>
    <w:p w:rsidR="00B1514F" w:rsidRPr="00AE0058" w:rsidRDefault="00B1514F" w:rsidP="00B1514F">
      <w:pPr>
        <w:pStyle w:val="Text"/>
      </w:pPr>
      <w:r>
        <w:t xml:space="preserve">This is a status inquiry on the operation of the installation in the reporting year, which serves the purpose of reporting population maintenance and quality assurance of the survey. The inquiry concerns only a few reporting parties and requires no expenditure. </w:t>
      </w:r>
    </w:p>
    <w:p w:rsidR="00B1514F" w:rsidRPr="00AE0058" w:rsidRDefault="00B1514F" w:rsidP="00B1514F">
      <w:pPr>
        <w:pStyle w:val="Text"/>
      </w:pPr>
      <w:r>
        <w:t>Installations that have permanently left the portfolio of the operator (decommissioned/ transferred to another operator) do not need to be surveyed in the next survey. Installations that were temporarily shut down during the course of the year will report a lower water quantity (Article 7(2)(1)(b)) than in the previous survey. The indication of the temporary shut down explains this difference and saves inquiring to the reporting parties about the reason for the difference.</w:t>
      </w:r>
    </w:p>
    <w:p w:rsidR="003A6C1F" w:rsidRPr="00AE0058" w:rsidRDefault="003A6C1F" w:rsidP="00E13372">
      <w:pPr>
        <w:pStyle w:val="Text"/>
        <w:keepNext/>
        <w:rPr>
          <w:b/>
        </w:rPr>
      </w:pPr>
      <w:r>
        <w:rPr>
          <w:b/>
        </w:rPr>
        <w:t>Re § 7(1)(3)</w:t>
      </w:r>
    </w:p>
    <w:p w:rsidR="006B739A" w:rsidRPr="00AE0058" w:rsidRDefault="006B739A" w:rsidP="006B739A">
      <w:pPr>
        <w:pStyle w:val="Text"/>
      </w:pPr>
      <w:r>
        <w:t>The deletion of the regional allocation of the survey characteristics according to water catchment areas (WCA), which was previously carried out, follows from the fact that the WCA has been replaced by the river basin district as the hydrogeographical reference unit since the WFD of the year 2000. A statutory order for the collection of characteristics according to WCA is also not necessary insofar as corresponding information for regional allocation is determined in other contexts (Official Municipality Key/AGS, geo coordinates), whereby largely arbitrary regional evaluation possibilities exist (if required and demanded).</w:t>
      </w:r>
    </w:p>
    <w:p w:rsidR="003A6C1F" w:rsidRPr="00AE0058" w:rsidRDefault="006B739A" w:rsidP="006B739A">
      <w:pPr>
        <w:pStyle w:val="Text"/>
      </w:pPr>
      <w:r>
        <w:t>With the amendment of the UStatG 2005, 30 June of the reference year was introduced as the new reference date for population data instead of 31 December for survey-related reasons. However, this proved to be a complicating factor in the implementation of the survey in that the area data in the surveys refer to 31 December. For this reason, population data should again be provided as of 31 December. However, as experience has shown that nationwide official population data with a cut-off date of 31 December are only published in an adjusted form with a delay of several months, these data for the reporting year are only available at an advanced stage of the survey, which delays the final processing. The change of the cut-off date for population data to 31 December of the year preceding the reference year will ensure timely data for the surveys. This therefore represents a simplification of the survey. The choice of this earlier cut-off date has only an insignificant effect on the population figure determined and the subsequent calculations of connection and supply rates as well as per capita calculations, since the population of a service area changes only slightly within a year. In exceptional cases, such as increased immigration, adjustments may need to be made.</w:t>
      </w:r>
    </w:p>
    <w:p w:rsidR="003A6C1F" w:rsidRPr="00AE0058" w:rsidRDefault="003A6C1F" w:rsidP="00E13372">
      <w:pPr>
        <w:pStyle w:val="Text"/>
        <w:keepNext/>
        <w:rPr>
          <w:b/>
        </w:rPr>
      </w:pPr>
      <w:r>
        <w:rPr>
          <w:b/>
        </w:rPr>
        <w:t>Re § 7(1)(4)</w:t>
      </w:r>
    </w:p>
    <w:p w:rsidR="005C1D72" w:rsidRPr="00AE0058" w:rsidRDefault="005C1D72" w:rsidP="00A27E6F">
      <w:pPr>
        <w:pStyle w:val="Text"/>
      </w:pPr>
      <w:r>
        <w:t>The change of the term ‘measurement differences’ to ‘water loss’ is an amendment that reflects the use of a common technical term.</w:t>
      </w:r>
    </w:p>
    <w:p w:rsidR="00963C97" w:rsidRPr="00AE0058" w:rsidRDefault="00963C97" w:rsidP="00E13372">
      <w:pPr>
        <w:pStyle w:val="Text"/>
        <w:keepNext/>
        <w:rPr>
          <w:b/>
        </w:rPr>
      </w:pPr>
      <w:r>
        <w:rPr>
          <w:b/>
        </w:rPr>
        <w:t>Re § 7(2)</w:t>
      </w:r>
    </w:p>
    <w:p w:rsidR="00963C97" w:rsidRPr="00AE0058" w:rsidRDefault="004C04FE" w:rsidP="00095690">
      <w:pPr>
        <w:pStyle w:val="Text"/>
      </w:pPr>
      <w:r>
        <w:t xml:space="preserve">All facilities for public wastewater treatment with an approved capacity of more than 50 population equivalents are included in the coverage of public wastewater disposal. According to the UBA (2009), the population equivalent (PE) is defined as the average load of biodegradable substances in the wastewater of a resident. The population equivalents </w:t>
      </w:r>
      <w:r>
        <w:lastRenderedPageBreak/>
        <w:t>connected to a wastewater treatment plant consist of the wastewater from the population and the wastewater from commercial and industrial enterprises that discharge their wastewater to municipal wastewater treatment plants (Federal Environment Agency 2009: Energy efficiency of municipal wastewater treatment plants. Dessau-Roßlau). The amendment is a clarification of the reporting population.</w:t>
      </w:r>
    </w:p>
    <w:p w:rsidR="007455AD" w:rsidRPr="00AE0058" w:rsidRDefault="007455AD" w:rsidP="00095690">
      <w:pPr>
        <w:pStyle w:val="Text"/>
      </w:pPr>
      <w:r>
        <w:t>Paragraph 2 has been renumbered and sets out in a new subparagraph 1(a) to (f) the characteristics of the surveys, which take place every 3 years. The new subparagraph 2 regulates the annual survey on sewage sludge in compliance with the new EU reporting obligation under Regulation (EU) 2019/1010 from 2022 onwards.</w:t>
      </w:r>
    </w:p>
    <w:p w:rsidR="009D2FF5" w:rsidRPr="00AE0058" w:rsidRDefault="009D2FF5" w:rsidP="00E13372">
      <w:pPr>
        <w:pStyle w:val="Text"/>
        <w:keepNext/>
        <w:rPr>
          <w:b/>
        </w:rPr>
      </w:pPr>
      <w:r>
        <w:rPr>
          <w:b/>
        </w:rPr>
        <w:t>Re § 7(2)(1)(a)</w:t>
      </w:r>
    </w:p>
    <w:p w:rsidR="00413D2B" w:rsidRPr="00AE0058" w:rsidRDefault="00413D2B" w:rsidP="00095690">
      <w:pPr>
        <w:pStyle w:val="Text"/>
      </w:pPr>
      <w:r>
        <w:t>Changing the term ‘stormwater relief facilities’ to ‘stormwater and combined wastewater treatment plants’ is an amendment that reflects the use of a common technical term.</w:t>
      </w:r>
    </w:p>
    <w:p w:rsidR="005256F7" w:rsidRPr="00AE0058" w:rsidRDefault="005256F7" w:rsidP="00E13372">
      <w:pPr>
        <w:pStyle w:val="Text"/>
        <w:keepNext/>
        <w:rPr>
          <w:b/>
        </w:rPr>
      </w:pPr>
      <w:r>
        <w:rPr>
          <w:b/>
        </w:rPr>
        <w:t>Re § 7(2)(1)(b)</w:t>
      </w:r>
    </w:p>
    <w:p w:rsidR="00413D2B" w:rsidRPr="00AE0058" w:rsidRDefault="00413D2B" w:rsidP="00907F7B">
      <w:pPr>
        <w:pStyle w:val="Text"/>
      </w:pPr>
      <w:r>
        <w:t>The purpose of the amendment is to specify the location of the point of discharge in accordance with Directive 2000/60/EC.</w:t>
      </w:r>
    </w:p>
    <w:p w:rsidR="005256F7" w:rsidRPr="00AE0058" w:rsidRDefault="005256F7" w:rsidP="00E13372">
      <w:pPr>
        <w:pStyle w:val="Text"/>
        <w:keepNext/>
        <w:rPr>
          <w:b/>
        </w:rPr>
      </w:pPr>
      <w:r>
        <w:rPr>
          <w:b/>
        </w:rPr>
        <w:t>Re § 7(2)(1)(d)</w:t>
      </w:r>
    </w:p>
    <w:p w:rsidR="00957C94" w:rsidRPr="00AE0058" w:rsidRDefault="00957C94" w:rsidP="00957C94">
      <w:pPr>
        <w:pStyle w:val="Text"/>
      </w:pPr>
      <w:r>
        <w:t>The reference date for the number of inhabitants connected to wastewater treatment plants is shifted from 30 June of the reporting year to 31 December of the year preceding the reporting year (for the justification see § 7(1)(3) on water supply). The number of inhabitants is no longer differentiated by municipality, but only given as the total number of inhabitants connected to the sewage disposal system via the sewerage system. The name of the affiliated municipalities will continue to be indicated. The amendment serves to simplify the survey.</w:t>
      </w:r>
    </w:p>
    <w:p w:rsidR="005256F7" w:rsidRPr="00AE0058" w:rsidRDefault="005256F7" w:rsidP="00E13372">
      <w:pPr>
        <w:pStyle w:val="Text"/>
        <w:keepNext/>
        <w:rPr>
          <w:b/>
        </w:rPr>
      </w:pPr>
      <w:r>
        <w:rPr>
          <w:b/>
        </w:rPr>
        <w:t>Re § 7(2)(1)(e)</w:t>
      </w:r>
    </w:p>
    <w:p w:rsidR="00957C94" w:rsidRPr="00AE0058" w:rsidRDefault="005E1BF6" w:rsidP="00957C94">
      <w:pPr>
        <w:pStyle w:val="Text"/>
      </w:pPr>
      <w:r>
        <w:t>The nutrients and pollutants in the effluent of municipal wastewater treatment plants collected under this provision are important parameters for assessing the pollution of water bodies caused by the discharge of treated wastewater from municipal wastewater treatment plants. The concentrations of nutrients and pollutants of a municipal wastewater treatment plant have thus far been collected with reference to the requirements of the Wastewater Charges Act [Abwasserabgabengesetz]. In order to adapt to current practice, Annex 1 of the Wastewater Ordinance will be chosen as the legal basis in the future. The parameters listed there form the measurement standard in municipal wastewater treatment plants, so that this changeover only means following current practice. The removal of heavy metals from the survey will reduce the costs for businesses. According to estimates by the Federal Environment Agency, the input of heavy metals from municipal wastewater treatment plants have now reached a very low level, so that recording them in the federal statistics no longer appears necessary.</w:t>
      </w:r>
    </w:p>
    <w:p w:rsidR="00181E1E" w:rsidRPr="00AE0058" w:rsidRDefault="00181E1E" w:rsidP="00E13372">
      <w:pPr>
        <w:pStyle w:val="Text"/>
        <w:keepNext/>
        <w:rPr>
          <w:b/>
        </w:rPr>
      </w:pPr>
      <w:r>
        <w:rPr>
          <w:b/>
        </w:rPr>
        <w:t>Re § 7(2)(1)(f)</w:t>
      </w:r>
    </w:p>
    <w:p w:rsidR="00B1514F" w:rsidRPr="00AE0058" w:rsidRDefault="00B1514F" w:rsidP="00B1514F">
      <w:pPr>
        <w:pStyle w:val="Text"/>
      </w:pPr>
      <w:r>
        <w:t xml:space="preserve">This is a status inquiry on the operation of the installation in the reporting year, which serves the purpose of reporting population maintenance and quality assurance of the survey. The inquiry concerns only a few reporting parties and requires no expenditure. </w:t>
      </w:r>
    </w:p>
    <w:p w:rsidR="00B1514F" w:rsidRPr="00AE0058" w:rsidRDefault="00B1514F" w:rsidP="00B1514F">
      <w:pPr>
        <w:pStyle w:val="Text"/>
      </w:pPr>
      <w:r>
        <w:t xml:space="preserve">Installations that have permanently left the portfolio of the operator (decommissioned/ transferred to another operator) do not need to be surveyed in the next survey. Installations that were temporarily shut down during the course of the year will report a lower water quantity (Article 7(2)(1)(b)) than in the previous survey. The indication of the temporary shut </w:t>
      </w:r>
      <w:r>
        <w:lastRenderedPageBreak/>
        <w:t>down explains this difference and saves inquiring to the reporting parties about the reason for the difference.</w:t>
      </w:r>
    </w:p>
    <w:p w:rsidR="00963C97" w:rsidRPr="00AE0058" w:rsidRDefault="00963C97" w:rsidP="00E13372">
      <w:pPr>
        <w:pStyle w:val="Text"/>
        <w:keepNext/>
        <w:rPr>
          <w:b/>
        </w:rPr>
      </w:pPr>
      <w:r>
        <w:rPr>
          <w:b/>
        </w:rPr>
        <w:t>Re § 7(2)(2)</w:t>
      </w:r>
    </w:p>
    <w:p w:rsidR="006D1458" w:rsidRPr="00AE0058" w:rsidRDefault="006D1458" w:rsidP="006D1458">
      <w:pPr>
        <w:pStyle w:val="Text"/>
      </w:pPr>
      <w:r>
        <w:t>An annual survey has already been introduced to harmonise with EU reporting requirements under Directive 86/278/EEC. This involves collecting data on the quantities of sewage sludge produced, purchased and sold, its treatment, properties and location.</w:t>
      </w:r>
    </w:p>
    <w:p w:rsidR="002559CD" w:rsidRPr="00AE0058" w:rsidRDefault="009078AA" w:rsidP="006D1458">
      <w:pPr>
        <w:pStyle w:val="Text"/>
      </w:pPr>
      <w:r>
        <w:t xml:space="preserve">Operators of municipal wastewater treatment plants shall, in accordance with the Ordinance on the recovery of sewage sludge, sewage sludge mixture and sewage sludge compost [Verordnung über die Verwertung von Klärschlamm, Klärschlammgemisch und Klärschlammkompost] of 27 September 2017 (Federal Law Gazette I p. 3465), as last amended by Article 137 of the Ordinance of 19 June 2020 (Federal Law Gazette I p 1328) (Sewage Sludge Ordinance – AbfKlärV) a register containing, inter alia, information on the areas where sewage sludge is applied and deposited (§ 34 AbfKlärV). With the future survey under Article 7(2)(2), the geodata of the areas on or in which the sewage sludge was applied or introduced shall also be collected. This implements the requirements set out in Article 1(2) and (3) of Regulation (EU) 2019/1010 (OJ L 170, 25.6.2019, p 115) with reporting obligations starting from 2022. </w:t>
      </w:r>
    </w:p>
    <w:p w:rsidR="00963C97" w:rsidRPr="00AE0058" w:rsidRDefault="006D1458" w:rsidP="006D1458">
      <w:pPr>
        <w:pStyle w:val="Text"/>
      </w:pPr>
      <w:r>
        <w:t>Partial quantities of sewage sludge sent for disposal are also recorded in the waste surveys. However, this is a survey of the operators of waste disposal facilities (disposal side), whereas the survey pursuant to § 7(2)(7) is addressed to the generation side. In this respect, there is neither a duplicate survey nor the resulting increased costs for businesses.</w:t>
      </w:r>
    </w:p>
    <w:p w:rsidR="00000A0E" w:rsidRPr="00AE0058" w:rsidRDefault="00F2774F" w:rsidP="00E13372">
      <w:pPr>
        <w:pStyle w:val="Text"/>
        <w:keepNext/>
        <w:rPr>
          <w:b/>
        </w:rPr>
      </w:pPr>
      <w:r>
        <w:rPr>
          <w:b/>
        </w:rPr>
        <w:t>Re § 7(3)</w:t>
      </w:r>
    </w:p>
    <w:p w:rsidR="00F2774F" w:rsidRPr="00AE0058" w:rsidRDefault="00F2774F" w:rsidP="00095690">
      <w:pPr>
        <w:pStyle w:val="Text"/>
      </w:pPr>
      <w:r>
        <w:t>The reference date for the number of inhabitants is to be 31 December of the year preceding the reference year, with the same justification as in the other surveys (cf. § 7(1)(3) and (1)(d)).</w:t>
      </w:r>
    </w:p>
    <w:p w:rsidR="00F2774F" w:rsidRPr="00AE0058" w:rsidRDefault="00F2774F" w:rsidP="00E13372">
      <w:pPr>
        <w:pStyle w:val="Text"/>
        <w:keepNext/>
        <w:rPr>
          <w:b/>
        </w:rPr>
      </w:pPr>
      <w:r>
        <w:rPr>
          <w:b/>
        </w:rPr>
        <w:t>Re § 8 (Charging for non-public water supply and non-public wastewater disposal)</w:t>
      </w:r>
    </w:p>
    <w:p w:rsidR="00C0180A" w:rsidRPr="00AE0058" w:rsidRDefault="00C0180A" w:rsidP="00F2774F">
      <w:pPr>
        <w:pStyle w:val="Text"/>
      </w:pPr>
      <w:r>
        <w:t>The surveys shall be carried out at establishments that produce or purchase water or discharge wastewater but that are not part of the public water supply or the public wastewater disposal system.</w:t>
      </w:r>
    </w:p>
    <w:p w:rsidR="00916C8B" w:rsidRPr="00AE0058" w:rsidRDefault="00916C8B" w:rsidP="00F2774F">
      <w:pPr>
        <w:pStyle w:val="Text"/>
      </w:pPr>
      <w:r>
        <w:t>§ 8 has been renumbered and sets out in a new subparagraph 1(a) to (f) the characteristics of the surveys, which take place every 3 years. The new subparagraph 2 regulates the additional annual survey characteristics on sewage sludge for EU reporting requirements under Regulation (EU) 2019/1010 from 2022 onwards.</w:t>
      </w:r>
    </w:p>
    <w:p w:rsidR="00C53191" w:rsidRPr="00AE0058" w:rsidRDefault="00C53191" w:rsidP="00E13372">
      <w:pPr>
        <w:pStyle w:val="Text"/>
        <w:keepNext/>
        <w:rPr>
          <w:b/>
        </w:rPr>
      </w:pPr>
      <w:r>
        <w:rPr>
          <w:b/>
        </w:rPr>
        <w:t>Re § 8(2) of the previously applicable version</w:t>
      </w:r>
    </w:p>
    <w:p w:rsidR="00C53191" w:rsidRPr="00AE0058" w:rsidRDefault="00C53191" w:rsidP="00F2774F">
      <w:pPr>
        <w:pStyle w:val="Text"/>
      </w:pPr>
      <w:r>
        <w:t>In order to simplify the survey and to reduce the costs for the respondents, the economic sector of the main contractor will no longer be asked for water extraction or wastewater discharge services in the future, as experience of the statistical offices of the federal states has shown that the information has been unreliable in the surveys.</w:t>
      </w:r>
    </w:p>
    <w:p w:rsidR="00F2774F" w:rsidRPr="00AE0058" w:rsidRDefault="0034539C" w:rsidP="00E13372">
      <w:pPr>
        <w:pStyle w:val="Text"/>
        <w:keepNext/>
        <w:rPr>
          <w:b/>
        </w:rPr>
      </w:pPr>
      <w:r>
        <w:rPr>
          <w:b/>
        </w:rPr>
        <w:t>Re § 8(2) (new) subparagraph 1(b)</w:t>
      </w:r>
    </w:p>
    <w:p w:rsidR="00C0180A" w:rsidRPr="00AE0058" w:rsidRDefault="00C0180A" w:rsidP="004443DB">
      <w:pPr>
        <w:pStyle w:val="Text"/>
      </w:pPr>
      <w:r>
        <w:t>In the use of water, a distinction is made between single-use, closed cycle and multiple-use, as this allows important conclusions to be drawn about the efficiency of water use. This typification is particularly relevant for the area of cooling water use. In the future, water quantities will not be specified and the survey will be simplified, as the data are very difficult for the operators to determine and are limited in their informative value.</w:t>
      </w:r>
    </w:p>
    <w:p w:rsidR="006A0212" w:rsidRPr="00AE0058" w:rsidRDefault="006A0212" w:rsidP="00E13372">
      <w:pPr>
        <w:pStyle w:val="Text"/>
        <w:keepNext/>
        <w:rPr>
          <w:b/>
        </w:rPr>
      </w:pPr>
      <w:r>
        <w:rPr>
          <w:b/>
        </w:rPr>
        <w:lastRenderedPageBreak/>
        <w:t>Re § 8(2) (new) subparagraph 1(e)</w:t>
      </w:r>
    </w:p>
    <w:p w:rsidR="00C53191" w:rsidRPr="00AE0058" w:rsidRDefault="00C53191" w:rsidP="004443DB">
      <w:pPr>
        <w:pStyle w:val="Text"/>
      </w:pPr>
      <w:r>
        <w:t>The concentrations of nutrients and pollutants of a wastewater treatment plant have thus far been collected with reference to the requirements of the Wastewater Charges Act. In order to adapt to current practice, the Wastewater Ordinance will be chosen as the legal basis in the future (cf. justification for § 7(2)(1)(e), in which the requirements are differentiated according to economic sectors.</w:t>
      </w:r>
    </w:p>
    <w:p w:rsidR="004232AA" w:rsidRPr="00AE0058" w:rsidRDefault="004232AA" w:rsidP="00E13372">
      <w:pPr>
        <w:pStyle w:val="Text"/>
        <w:keepNext/>
        <w:rPr>
          <w:b/>
        </w:rPr>
      </w:pPr>
      <w:r>
        <w:rPr>
          <w:b/>
        </w:rPr>
        <w:t>Re § 8(2)(2)</w:t>
      </w:r>
    </w:p>
    <w:p w:rsidR="004232AA" w:rsidRPr="00FB6121" w:rsidRDefault="004232AA" w:rsidP="004443DB">
      <w:pPr>
        <w:pStyle w:val="Text"/>
      </w:pPr>
      <w:r>
        <w:t xml:space="preserve">Sewage sludge producers who supply sewage sludge for use in agriculture shall be subject to the annual reporting requirement laid down in Article 1 of Regulation (EU) 2019/1010 starting from 2022. This also applies to sewage sludge produced after wastewater treatment in a non-public (on-site) wastewater treatment plant and which is comparable to sewage sludge produced from domestic or municipal wastewater. Therefore, for establishments producing such sewage sludge, Article 1(2) and (3) of Regulation (EU) 2019/1010 also requires the collection of data on the nature of the sewage sludge and the area, including size, location and geo coordinates, where the sewage sludge was applied or introduced. </w:t>
      </w:r>
    </w:p>
    <w:p w:rsidR="007A4DC0" w:rsidRPr="00AE0058" w:rsidRDefault="007A4DC0" w:rsidP="00E13372">
      <w:pPr>
        <w:pStyle w:val="Text"/>
        <w:keepNext/>
        <w:rPr>
          <w:b/>
        </w:rPr>
      </w:pPr>
      <w:r>
        <w:rPr>
          <w:b/>
        </w:rPr>
        <w:t>Re § 8(3) (new)</w:t>
      </w:r>
    </w:p>
    <w:p w:rsidR="007A4DC0" w:rsidRPr="00AE0058" w:rsidRDefault="007A4DC0" w:rsidP="007A4DC0">
      <w:pPr>
        <w:pStyle w:val="Text"/>
      </w:pPr>
      <w:r>
        <w:t>In order to simplify the survey and reduce the costs for agricultural holdings (economic sector A), these are exempted from the wastewater survey in accordance with subparagraph 2, as the water is mainly used for irrigation (arable farming) in this case or for drinking in livestock farming and hardly any wastewater is produced for disposal.</w:t>
      </w:r>
    </w:p>
    <w:p w:rsidR="00A27E6F" w:rsidRPr="00AE0058" w:rsidRDefault="00A27E6F" w:rsidP="00A27E6F">
      <w:pPr>
        <w:pStyle w:val="VerweisBegrndung"/>
        <w:rPr>
          <w:rStyle w:val="Binnenverweis"/>
        </w:rPr>
      </w:pPr>
      <w:r>
        <w:t xml:space="preserve">Re </w:t>
      </w:r>
      <w:r>
        <w:rPr>
          <w:rStyle w:val="Binnenverweis"/>
        </w:rPr>
        <w:t>subparagraph 7</w:t>
      </w:r>
    </w:p>
    <w:p w:rsidR="00EC2A59" w:rsidRPr="00AE0058" w:rsidRDefault="00EC2A59" w:rsidP="00EC2A59">
      <w:pPr>
        <w:pStyle w:val="Text"/>
      </w:pPr>
      <w:r>
        <w:t>The amendments are editorial adjustments relating to common technical terms and alignments for the provisions in § 9(1) and (2).</w:t>
      </w:r>
    </w:p>
    <w:p w:rsidR="00A27E6F" w:rsidRPr="00AE0058" w:rsidRDefault="00A27E6F" w:rsidP="00A27E6F">
      <w:pPr>
        <w:pStyle w:val="VerweisBegrndung"/>
        <w:rPr>
          <w:rStyle w:val="Binnenverweis"/>
        </w:rPr>
      </w:pPr>
      <w:r>
        <w:t xml:space="preserve">Re </w:t>
      </w:r>
      <w:r>
        <w:rPr>
          <w:rStyle w:val="Binnenverweis"/>
        </w:rPr>
        <w:t>subparagraph 8</w:t>
      </w:r>
    </w:p>
    <w:p w:rsidR="00AE6415" w:rsidRPr="00AE0058" w:rsidRDefault="00192A28" w:rsidP="00192A28">
      <w:pPr>
        <w:pStyle w:val="Text"/>
      </w:pPr>
      <w:r>
        <w:t>The results of the survey on climate-relevant substances (hydrofluorocarbons (HFCs), partially fluorinated hydrofluorocarbons (PFCs) and blends) are required by the UBA for international greenhouse gas reporting. The data are the basis for estimating part of the emissions for the Federal Republic of Germany. According to UBA calculations, HFCs, PFC blends contribute around 1.25% to total emissions (2018; excluding SF6 and NF3).</w:t>
      </w:r>
    </w:p>
    <w:p w:rsidR="00AE6415" w:rsidRPr="00AE0058" w:rsidRDefault="00192A28" w:rsidP="00192A28">
      <w:pPr>
        <w:pStyle w:val="Text"/>
      </w:pPr>
      <w:r>
        <w:t>In this context, it should be noted that the 2014 EU regulation on climate-relevant substances (517/2014) sets out a phased timetable under which the placing on the market of most HFCs/PFCs in domestic or commercial refrigeration equipment and foams will be banned in the coming years. In this respect, a shift towards other substances will be observed and the use of substances that are still relevant in terms of quantity will approach zero in the foreseeable future (cf. also the justification in General Part I. on ‘Statistics on water management and climate-relevant substances’).</w:t>
      </w:r>
    </w:p>
    <w:p w:rsidR="00793F3E" w:rsidRPr="00AE0058" w:rsidRDefault="00793F3E" w:rsidP="00C24AE2">
      <w:pPr>
        <w:pStyle w:val="Text"/>
        <w:rPr>
          <w:rStyle w:val="Marker"/>
          <w:b/>
          <w:color w:val="auto"/>
        </w:rPr>
      </w:pPr>
      <w:r>
        <w:rPr>
          <w:rStyle w:val="Marker"/>
          <w:color w:val="auto"/>
        </w:rPr>
        <w:t xml:space="preserve">In the course of the requirements for the gradual reduction of the use of certain climate-relevant substances by the EU F Gases Regulation (EU) 514/2015, new substances are being developed whose constituents are not covered by the previous regulation on statistical recording. These include, for example, halogen derivatives of aliphatic hydrocarbons. The focus is on two new chlorine-containing substances R 1224yd and R 1233zd (E) trans-1chloro-3,3,3 trifluoroprop-1-ene CHCL=CH-CF 3(E). Both substances have very low global warming potential (GWP) of 2 and 4.5 respectively. The substances are attracting great interest globally because they are non-flammable and non-toxic and are considered to be very environmentally friendly. The substances are used as substitutes in the air conditioning/refrigerant sector and as blowing agents in foam production. In addition, the low GWP values of the substances comply with the applicable EU regulations. </w:t>
      </w:r>
      <w:r>
        <w:rPr>
          <w:rStyle w:val="Marker"/>
          <w:color w:val="auto"/>
        </w:rPr>
        <w:lastRenderedPageBreak/>
        <w:t>Consumption figures are required for these newly developed or newly marketed halogen derivatives, among other things in order to be able to intervene in good time, if necessary, to prevent environmental damage and to be able to provide information to the United Nations Environment Programme (UNEP) or the EU with regard to the EU F Gases Regulation (EU) No 517/2014.</w:t>
      </w:r>
      <w:r>
        <w:rPr>
          <w:rStyle w:val="Marker"/>
          <w:b/>
          <w:color w:val="auto"/>
        </w:rPr>
        <w:t xml:space="preserve"> </w:t>
      </w:r>
    </w:p>
    <w:p w:rsidR="009E1426" w:rsidRPr="00AE0058" w:rsidRDefault="00793F3E" w:rsidP="009E1426">
      <w:pPr>
        <w:pStyle w:val="Text"/>
        <w:rPr>
          <w:rStyle w:val="Marker"/>
          <w:color w:val="auto"/>
        </w:rPr>
      </w:pPr>
      <w:r>
        <w:rPr>
          <w:rStyle w:val="Marker"/>
          <w:color w:val="auto"/>
        </w:rPr>
        <w:t>The new halogen derivatives are often unsaturated (i.e. they have one or more double bonds) and, in addition to their global warming potential, some of them also have ozone depletion potential. Despite their ozone depletion potential, these compounds are not yet regulated under the Montreal Protocol. For these substances, however, there are reporting obligations under the Framework Convention on Climate Change in accordance with Section II G 33 of the UNFCCC Reporting Guidelines.</w:t>
      </w:r>
    </w:p>
    <w:p w:rsidR="00773D54" w:rsidRPr="00AE0058" w:rsidRDefault="00773D54" w:rsidP="009E1426">
      <w:pPr>
        <w:pStyle w:val="Text"/>
        <w:rPr>
          <w:b/>
        </w:rPr>
      </w:pPr>
      <w:r>
        <w:rPr>
          <w:rStyle w:val="Marker"/>
          <w:color w:val="auto"/>
        </w:rPr>
        <w:t>The new substance group of halogen derivatives is included in the previous survey on climate-relevant substances.</w:t>
      </w:r>
    </w:p>
    <w:p w:rsidR="008A397D" w:rsidRPr="00AE0058" w:rsidRDefault="008A397D" w:rsidP="008A397D">
      <w:pPr>
        <w:pStyle w:val="VerweisBegrndung"/>
        <w:rPr>
          <w:rStyle w:val="Binnenverweis"/>
        </w:rPr>
      </w:pPr>
      <w:r>
        <w:t xml:space="preserve">Re </w:t>
      </w:r>
      <w:r>
        <w:rPr>
          <w:rStyle w:val="Binnenverweis"/>
        </w:rPr>
        <w:t>subparagraph 9</w:t>
      </w:r>
    </w:p>
    <w:p w:rsidR="008A397D" w:rsidRPr="00AE0058" w:rsidRDefault="008A397D" w:rsidP="00E13372">
      <w:pPr>
        <w:pStyle w:val="Text"/>
        <w:keepNext/>
      </w:pPr>
      <w:r>
        <w:rPr>
          <w:b/>
        </w:rPr>
        <w:t xml:space="preserve">Re § 11(1)(1)(1) </w:t>
      </w:r>
    </w:p>
    <w:p w:rsidR="00376055" w:rsidRPr="00AE0058" w:rsidRDefault="00376055" w:rsidP="00376055">
      <w:pPr>
        <w:pStyle w:val="Text"/>
      </w:pPr>
      <w:r>
        <w:t>The statistics on investments for environmental protection under § 11(1)(1)(1) (UIV statistics) will be carried out in the future without any restriction regarding an upper limit for survey units. The amendment ensures that reliable data for Germany for the manufacturing sector excluding construction can be provided for the European environmental economic accounts (Regulation (EU) No 691/2011, EPEA module (replacing Regulation (EC) No 295/2008). Due to environmental and energy policy measures of the EU and Germany, e.g. implementation of a CO</w:t>
      </w:r>
      <w:r>
        <w:rPr>
          <w:vertAlign w:val="subscript"/>
        </w:rPr>
        <w:t>2</w:t>
      </w:r>
      <w:r>
        <w:t>-free economy by the year 2050, but also due to economic considerations concerning companies investing in environmental protection, it is to be expected that the number of cases, which is now already close to 10 000, will continue to rise. Removing the upper limit is currently the only methodologically appropriate solution. There is no scientifically justified procedure to select notifications of more than 10 000 units in such a way that the upper limit is respected. When it comes to a possible alternative for the sampling procedure, stratification criteria based on environmental protection investments are missing. Even with the possibility of appropriate stratification, good sampling practices in other statistics show that a net sample of at least 10 000 units is needed to produce robust statistical results, for which a multiple of units would have to be included in a gross sample and surveyed.</w:t>
      </w:r>
    </w:p>
    <w:p w:rsidR="00376055" w:rsidRPr="00AE0058" w:rsidRDefault="00376055" w:rsidP="00376055">
      <w:pPr>
        <w:pStyle w:val="Text"/>
      </w:pPr>
      <w:r>
        <w:t>The existing legal text of § 11(1)(1)(1) has been amended to the effect that the reporting population for the statistics on investment for environmental protection is described by reference to the Statistics Law on manufacturing industry [Gesetz über die Statistik im Produzierenden Gewerbe – ProdGewStatG]. The reason for this is that the reporting population for statistics on investment for environmental protection is based on the reporting population for statistics on general investment, which is regulated in the ProdGewStatG. The advantage of this adjustment is that possible changes in the ProdGewStatG are automatically transferred to the delimitation of the reporting population of UIV statistics without having to amend the UStatG.</w:t>
      </w:r>
    </w:p>
    <w:p w:rsidR="009E1426" w:rsidRPr="00AE0058" w:rsidRDefault="009E1426" w:rsidP="009E1426">
      <w:pPr>
        <w:pStyle w:val="Text"/>
      </w:pPr>
      <w:r>
        <w:t>The UIV statistics differentiate investments by type of facility or installation. A distinction is made between clean technologies, goods and services (so-called ‘integrated environmental measures’) and facilities, installations, goods and services that serve to protect against emissions (so-called ‘end-of-pipe or additive environmental measures’).</w:t>
      </w:r>
    </w:p>
    <w:p w:rsidR="009E1426" w:rsidRPr="00AE0058" w:rsidRDefault="009E1426" w:rsidP="009E1426">
      <w:pPr>
        <w:pStyle w:val="Text"/>
      </w:pPr>
      <w:r>
        <w:t>The following definitions are given for the terms end-of-pipe measure (same as additive measure) and integrated environmental measure:</w:t>
      </w:r>
    </w:p>
    <w:p w:rsidR="009E1426" w:rsidRPr="00AE0058" w:rsidRDefault="009E1426" w:rsidP="009E1426">
      <w:pPr>
        <w:pStyle w:val="Text"/>
      </w:pPr>
      <w:r>
        <w:t>End-of-pipe or additive measures include all measures and activities that serve to eliminate or reduce emissions or pollution that have already occurred.</w:t>
      </w:r>
    </w:p>
    <w:p w:rsidR="009E1426" w:rsidRPr="00AE0058" w:rsidRDefault="009E1426" w:rsidP="009E1426">
      <w:pPr>
        <w:pStyle w:val="Text"/>
      </w:pPr>
      <w:r>
        <w:lastRenderedPageBreak/>
        <w:t>Integrated measures serve to prevent or reduce the occurrence of emissions.</w:t>
      </w:r>
    </w:p>
    <w:p w:rsidR="009E1426" w:rsidRPr="00AE0058" w:rsidRDefault="009E1426" w:rsidP="00E13372">
      <w:pPr>
        <w:pStyle w:val="Text"/>
        <w:keepNext/>
        <w:rPr>
          <w:b/>
        </w:rPr>
      </w:pPr>
      <w:r>
        <w:rPr>
          <w:b/>
        </w:rPr>
        <w:t xml:space="preserve">Re § 11(1)(1)(2) </w:t>
      </w:r>
    </w:p>
    <w:p w:rsidR="009E1426" w:rsidRPr="00AE0058" w:rsidRDefault="009E1426" w:rsidP="009E1426">
      <w:pPr>
        <w:pStyle w:val="Text"/>
      </w:pPr>
      <w:r>
        <w:t>In order to fulfil the delivery obligations to Eurostat and to ensure a uniform subdivision of the environmental domains in all environmental-economic statistics, the politically significant environmental domain of climate protection will also be differentiated in the future according to the sub-domains ‘climate-relevant substances’, ‘renewable energies’ and ‘energy efficiency’ within the framework of the statistics on current costs on environmental protection pursuant to § 11(1)(1)(2).</w:t>
      </w:r>
    </w:p>
    <w:p w:rsidR="009E1426" w:rsidRPr="00AE0058" w:rsidRDefault="009E1426" w:rsidP="00E13372">
      <w:pPr>
        <w:pStyle w:val="Text"/>
        <w:keepNext/>
        <w:rPr>
          <w:b/>
        </w:rPr>
      </w:pPr>
      <w:r>
        <w:rPr>
          <w:b/>
        </w:rPr>
        <w:t xml:space="preserve">Re § 11(1)(2) </w:t>
      </w:r>
    </w:p>
    <w:p w:rsidR="009E1426" w:rsidRPr="00AE0058" w:rsidRDefault="009E1426" w:rsidP="009E1426">
      <w:pPr>
        <w:pStyle w:val="Text"/>
      </w:pPr>
      <w:r>
        <w:t>Policymakers need a comprehensive and valid database to achieve efficient management of measures to build a sustainable economy. Official data for monetary valuation are not currently available for all climate and environmental measures, i.e. goods, technologies and services that serve to eliminate environmental issues and to enhance resource conservation, in order to meet the European delivery obligation under Regulation (EU) No 691/2011 (replacing Regulation (EC)No 295/2008) or to serve political target visions such as the European Green Deal. For example, there is a lack of data on electromobility or on measures to conserve finite resources.</w:t>
      </w:r>
    </w:p>
    <w:p w:rsidR="009E1426" w:rsidRPr="00AE0058" w:rsidRDefault="009E1426" w:rsidP="009E1426">
      <w:pPr>
        <w:pStyle w:val="Text"/>
      </w:pPr>
      <w:r>
        <w:t xml:space="preserve">In addition, the </w:t>
      </w:r>
      <w:r>
        <w:rPr>
          <w:color w:val="000000" w:themeColor="text1"/>
        </w:rPr>
        <w:t>climate</w:t>
      </w:r>
      <w:r>
        <w:t xml:space="preserve"> and environmental measures to be taken into account are subject to highly dynamic circumstances due to technological progress and changing political priorities, which require constant adjustment of climate and environmental measures to be taken into account in the statistics. As the largest information service provider in Germany, official statistics must be able to adjust the survey and the programmes on which it is based in a correspondingly timely manner in order to meet the European delivery obligations, in particular under Regulation (EU) No 691/2011 of the European Parliament and of the Council of 6 July 2011 on European environmental economic accounts (OJ L 192, 22.7.2011, p 1), as amended by Regulation (EU) No 538/2014 (OJ L 158, 27.5.2014, p 113), to comply, i.e. to fill data gaps, and to provide more rapidly and comprehensively data for monitoring climate and environmental policies and measures of political and environmental relevance. This requires an amendment to § 11(1) sentence 2 to allow flexibility in the design of the surveys of expenditure on environmental protection (§ 11) with regard to climate and environmental measures to be taken into account by law and new policy priorities. A general definition of environmental measures is given in conjunction with a reference to the existing Classification of Environmental Protection Expenditures (CEPA) and Classification of Resource Management Activities (CReMA). Accordingly, any measure that meets the definition of an environmental measure and can be classified in one of the environmental domains listed in the CEPA and CReMA environmental classifications can be surveyed within the framework of environmental economic statistics. It is therefore no longer necessary to first amend the Environmental Statistics Act in order to map further climate and environmental measures.</w:t>
      </w:r>
    </w:p>
    <w:p w:rsidR="009E1426" w:rsidRPr="00AE0058" w:rsidRDefault="009E1426" w:rsidP="009E1426">
      <w:pPr>
        <w:pStyle w:val="Text"/>
      </w:pPr>
      <w:r>
        <w:t>Explanation of the term ‘environmental measure’:</w:t>
      </w:r>
    </w:p>
    <w:p w:rsidR="009E1426" w:rsidRPr="00AE0058" w:rsidRDefault="009E1426" w:rsidP="009E1426">
      <w:pPr>
        <w:pStyle w:val="Text"/>
      </w:pPr>
      <w:r>
        <w:t xml:space="preserve">Environmental measures are all measures and activities that have the prevention, reduction and elimination of pollution and any other form of nuisance to the environment or that permit a more sustainable use of resources as their primary objective. This term is based on Regulation (EU) No 691/2011 of the European Parliament and of the Council of 6 July 2011 on European environmental economic accounts (OJ L 192, 22.7.2011, p 1), as amended by Regulation (EU) No 538/2014 (OJ L 158, 27.5.2014, p 113), and is to be understood in the sense of the Environmental Statistics Act in an open and general way, so that it may cover all possible environmental protection measures, depending on future technical developments or political priorities. Environmental measures that can be assigned to an </w:t>
      </w:r>
      <w:r>
        <w:lastRenderedPageBreak/>
        <w:t>environmental domain according to the Classification of Environmental Activities (CEPA) or the Classification of Resource Management Activities (CReMA) may be surveyed.</w:t>
      </w:r>
    </w:p>
    <w:p w:rsidR="009E1426" w:rsidRPr="00AE0058" w:rsidRDefault="009E1426" w:rsidP="009E1426">
      <w:pPr>
        <w:pStyle w:val="VerweisBegrndung"/>
        <w:rPr>
          <w:rStyle w:val="Binnenverweis"/>
        </w:rPr>
      </w:pPr>
      <w:r>
        <w:t xml:space="preserve">Re </w:t>
      </w:r>
      <w:r>
        <w:rPr>
          <w:rStyle w:val="Binnenverweis"/>
        </w:rPr>
        <w:t>subparagraph 10</w:t>
      </w:r>
    </w:p>
    <w:p w:rsidR="008C386B" w:rsidRPr="00AE0058" w:rsidRDefault="008C386B" w:rsidP="00E13372">
      <w:pPr>
        <w:pStyle w:val="Text"/>
      </w:pPr>
      <w:r>
        <w:t xml:space="preserve">Re § 12 </w:t>
      </w:r>
    </w:p>
    <w:p w:rsidR="009E1426" w:rsidRPr="00AE0058" w:rsidRDefault="009E1426" w:rsidP="009E1426">
      <w:pPr>
        <w:pStyle w:val="VerweisBegrndung"/>
      </w:pPr>
      <w:r>
        <w:t xml:space="preserve">Re </w:t>
      </w:r>
      <w:r>
        <w:rPr>
          <w:rStyle w:val="Binnenverweis"/>
        </w:rPr>
        <w:t>(a)</w:t>
      </w:r>
    </w:p>
    <w:p w:rsidR="009E1426" w:rsidRPr="00AE0058" w:rsidRDefault="009E1426" w:rsidP="009E1426">
      <w:pPr>
        <w:pStyle w:val="VerweisBegrndung"/>
      </w:pPr>
      <w:r>
        <w:t xml:space="preserve">Re </w:t>
      </w:r>
      <w:r>
        <w:rPr>
          <w:rStyle w:val="Binnenverweis"/>
        </w:rPr>
        <w:t>(aa)</w:t>
      </w:r>
    </w:p>
    <w:p w:rsidR="009E1426" w:rsidRPr="00AE0058" w:rsidRDefault="009E1426" w:rsidP="009E1426">
      <w:pPr>
        <w:pStyle w:val="VerweisBegrndung"/>
      </w:pPr>
      <w:r>
        <w:t xml:space="preserve">Re </w:t>
      </w:r>
      <w:r>
        <w:rPr>
          <w:rStyle w:val="Binnenverweis"/>
        </w:rPr>
        <w:t>(aaa)</w:t>
      </w:r>
    </w:p>
    <w:p w:rsidR="009E1426" w:rsidRPr="00AE0058" w:rsidRDefault="004B0E83" w:rsidP="009E1426">
      <w:pPr>
        <w:pStyle w:val="Text"/>
      </w:pPr>
      <w:r>
        <w:t>Since the information on the survey characteristics pursuant to § 12(1)(1)(1) is to also be collected in the breakdown by environmental measures, the start of the survey must be moved to the reporting year of 2021.</w:t>
      </w:r>
    </w:p>
    <w:p w:rsidR="009E1426" w:rsidRPr="00AE0058" w:rsidRDefault="009E1426" w:rsidP="009E1426">
      <w:pPr>
        <w:pStyle w:val="VerweisBegrndung"/>
      </w:pPr>
      <w:r>
        <w:t xml:space="preserve">Re </w:t>
      </w:r>
      <w:r>
        <w:rPr>
          <w:rStyle w:val="Binnenverweis"/>
        </w:rPr>
        <w:t>(bbb)</w:t>
      </w:r>
    </w:p>
    <w:p w:rsidR="009E1426" w:rsidRPr="00AE0058" w:rsidRDefault="00BB298B" w:rsidP="009E1426">
      <w:pPr>
        <w:pStyle w:val="Text"/>
      </w:pPr>
      <w:r>
        <w:rPr>
          <w:rStyle w:val="Marker"/>
          <w:color w:val="auto"/>
        </w:rPr>
        <w:t>Sales from environmental measures are differentiated according to domestic and foreign customers. The coding of the environmental measure allows an allocation to an environmental domain, but it is not requested in addition. Therefore, ‘by environmental domains’ should be deleted.</w:t>
      </w:r>
    </w:p>
    <w:p w:rsidR="009E1426" w:rsidRPr="00AE0058" w:rsidRDefault="009E1426" w:rsidP="009E1426">
      <w:pPr>
        <w:pStyle w:val="VerweisBegrndung"/>
      </w:pPr>
      <w:r>
        <w:t xml:space="preserve">Re </w:t>
      </w:r>
      <w:r>
        <w:rPr>
          <w:rStyle w:val="Binnenverweis"/>
        </w:rPr>
        <w:t>(bb)</w:t>
      </w:r>
    </w:p>
    <w:p w:rsidR="009E1426" w:rsidRPr="00AE0058" w:rsidRDefault="009E1426" w:rsidP="009E1426">
      <w:pPr>
        <w:pStyle w:val="Text"/>
      </w:pPr>
      <w:r>
        <w:t>Instead of Annex IV to Regulation (EU) No 691/2011, reference should be made to Annex V to the regulation. This is a correction, as Annex V is relevant for surveys that provide invoices of the environmental goods and services sector according to Article 3(1)(e) of Regulation (EU) No 691/2011. Since the collection of goods and services for environmental protection under § 12 falls within this classification, reference must therefore be made to Annex V.</w:t>
      </w:r>
    </w:p>
    <w:p w:rsidR="009E1426" w:rsidRPr="00AE0058" w:rsidRDefault="009E1426" w:rsidP="009E1426">
      <w:pPr>
        <w:pStyle w:val="Text"/>
      </w:pPr>
      <w:r>
        <w:t>Policymakers need a comprehensive and valid database to achieve efficient management of measures to build a sustainable economy. Official data for monetary valuation are not currently available for all climate and environmental measures, i.e. goods, technologies and services that serve to eliminate environmental issues and to enhance resource conservation, in order to meet the European delivery obligation under Regulation (EU) No 691/2011 or to serve political target visions such as the European Green Deal. For example, there is a lack of data on electromobility or on measures to conserve finite resources.</w:t>
      </w:r>
    </w:p>
    <w:p w:rsidR="00AE6CB7" w:rsidRPr="00AE0058" w:rsidRDefault="00AE6CB7" w:rsidP="00AE6CB7">
      <w:pPr>
        <w:pStyle w:val="Text"/>
      </w:pPr>
      <w:r>
        <w:t xml:space="preserve">In addition, the climate and environmental measures to be taken into account are subject to highly dynamic circumstances due to technological progress and changing political priorities, which require constant adjustment of climate and environmental measures to be taken into account in the statistics. As the largest information service provider in Germany, official statistics must be able to adjust the survey and the programmes on which it is based in a correspondingly timely manner in order to meet the European delivery obligations, in particular under Regulation (EU) No 691/2011, i.e. to close data gaps and to offer data on the monitoring of politically and ecologically relevant climate and environmental measures more quickly and comprehensively. This requires an amendment to § 12, which allows for flexibility in the design of the surveying of goods and services for environmental protection with regard to climate and environmental measures to be taken into account as well as new political priorities. A general definition of environmental measures is given in conjunction with a reference to the existing Classification of Environmental Protection Expenditures (CEPA) and Classification of Resource Management Activities (CReMA). Accordingly, any measure that meets the definition of an environmental measure and can be classified in one of the environmental domains listed in the CEPA and CReMA environmental </w:t>
      </w:r>
      <w:r>
        <w:lastRenderedPageBreak/>
        <w:t>classifications can be surveyed within the framework of environmental economic statistics. It is therefore no longer necessary to first amend the Environmental Statistics Act when new climate and environmental measures are to be taken into account.</w:t>
      </w:r>
    </w:p>
    <w:p w:rsidR="00AE6CB7" w:rsidRPr="00AE0058" w:rsidRDefault="00AE6CB7" w:rsidP="00AE6CB7">
      <w:pPr>
        <w:pStyle w:val="Text"/>
      </w:pPr>
      <w:r>
        <w:t>For the term ‘environmental measure’, see the Explanatory Memorandum to § 11.</w:t>
      </w:r>
    </w:p>
    <w:p w:rsidR="009E1426" w:rsidRPr="00AE0058" w:rsidRDefault="009E1426" w:rsidP="009E1426">
      <w:pPr>
        <w:pStyle w:val="VerweisBegrndung"/>
      </w:pPr>
      <w:r>
        <w:t xml:space="preserve">Re </w:t>
      </w:r>
      <w:r>
        <w:rPr>
          <w:rStyle w:val="Binnenverweis"/>
        </w:rPr>
        <w:t>(b)</w:t>
      </w:r>
    </w:p>
    <w:p w:rsidR="00AE6CB7" w:rsidRPr="00AE0058" w:rsidRDefault="00AE6CB7" w:rsidP="00AE6CB7">
      <w:pPr>
        <w:pStyle w:val="Text"/>
      </w:pPr>
      <w:r>
        <w:t>With the last amendment to the UStatG in 2017, the reporting population for statistics on goods and services for environmental protection was extended to all sectors of the economy – with the exception of agriculture – as the environmental protection industry is a cross-sectoral industry whose producers (both those specialised in environmental protection and non-specialised producers) span all sectors of the economy. In return, cut-off limits were introduced in all sectors of the economy to reduce the costs for businesses. The cut-off threshold in the services sector regulated in § 12(2)(4) is to be adjusted to the available data basis. As only turnover data at the company level are available for the services sector, the cut-off refers to companies with a total turnover of at least EUR 1 million. The amendment ensures a clear definition of the cut-off point and thus an accurate compilation of the reporting population. In this way, an additional costs for units that are not to be surveyed can be avoided.</w:t>
      </w:r>
    </w:p>
    <w:p w:rsidR="009E1426" w:rsidRPr="00AE0058" w:rsidRDefault="009E1426" w:rsidP="009E1426">
      <w:pPr>
        <w:pStyle w:val="VerweisBegrndung"/>
      </w:pPr>
      <w:r>
        <w:t xml:space="preserve">Re </w:t>
      </w:r>
      <w:r>
        <w:rPr>
          <w:rStyle w:val="Binnenverweis"/>
        </w:rPr>
        <w:t>subparagraph 11</w:t>
      </w:r>
    </w:p>
    <w:p w:rsidR="009E1426" w:rsidRPr="00AE0058" w:rsidRDefault="009E1426" w:rsidP="009E1426">
      <w:pPr>
        <w:pStyle w:val="VerweisBegrndung"/>
      </w:pPr>
      <w:r>
        <w:t xml:space="preserve">Re </w:t>
      </w:r>
      <w:r>
        <w:rPr>
          <w:rStyle w:val="Binnenverweis"/>
        </w:rPr>
        <w:t>(a)</w:t>
      </w:r>
    </w:p>
    <w:p w:rsidR="009E1426" w:rsidRPr="00AE0058" w:rsidRDefault="009E1426" w:rsidP="009E1426">
      <w:pPr>
        <w:pStyle w:val="VerweisBegrndung"/>
      </w:pPr>
      <w:r>
        <w:t xml:space="preserve">Re </w:t>
      </w:r>
      <w:r>
        <w:rPr>
          <w:rStyle w:val="Binnenverweis"/>
        </w:rPr>
        <w:t>(aa)</w:t>
      </w:r>
    </w:p>
    <w:p w:rsidR="009E1426" w:rsidRPr="00AE0058" w:rsidRDefault="009E1426" w:rsidP="009E1426">
      <w:pPr>
        <w:pStyle w:val="Text"/>
      </w:pPr>
      <w:r>
        <w:t>The use of the general term ‘contact details’ is intended to take account of technical developments in the field of communications media.</w:t>
      </w:r>
    </w:p>
    <w:p w:rsidR="009E1426" w:rsidRPr="00AE0058" w:rsidRDefault="009E1426" w:rsidP="009E1426">
      <w:pPr>
        <w:pStyle w:val="VerweisBegrndung"/>
      </w:pPr>
      <w:r>
        <w:t xml:space="preserve">Re </w:t>
      </w:r>
      <w:r>
        <w:rPr>
          <w:rStyle w:val="Binnenverweis"/>
        </w:rPr>
        <w:t>(bb)</w:t>
      </w:r>
    </w:p>
    <w:p w:rsidR="009E1426" w:rsidRPr="00AE0058" w:rsidRDefault="00C91D93" w:rsidP="009E1426">
      <w:pPr>
        <w:pStyle w:val="Text"/>
        <w:rPr>
          <w:rStyle w:val="Marker"/>
          <w:color w:val="000000" w:themeColor="text1"/>
        </w:rPr>
      </w:pPr>
      <w:r>
        <w:rPr>
          <w:rStyle w:val="Marker"/>
          <w:color w:val="000000" w:themeColor="text1"/>
        </w:rPr>
        <w:t>The replacement of the word ‘external reference’ with ‘reference’ is an editorial adjustment. The deletion of the words ‘within a federal state’ supports the inclusion of water deliveries across federal state lines. This represents the regional and inter-regional networking of water supply companies, which serves to secure the supply of drinking water.</w:t>
      </w:r>
    </w:p>
    <w:p w:rsidR="006B0FF0" w:rsidRPr="00AE0058" w:rsidRDefault="006B0FF0" w:rsidP="006B0FF0">
      <w:pPr>
        <w:pStyle w:val="VerweisBegrndung"/>
      </w:pPr>
      <w:r>
        <w:t xml:space="preserve">Re </w:t>
      </w:r>
      <w:r>
        <w:rPr>
          <w:rStyle w:val="Binnenverweis"/>
        </w:rPr>
        <w:t>(cc)</w:t>
      </w:r>
    </w:p>
    <w:p w:rsidR="006966B9" w:rsidRPr="00AE0058" w:rsidRDefault="006966B9" w:rsidP="009E1426">
      <w:pPr>
        <w:pStyle w:val="Text"/>
      </w:pPr>
      <w:r>
        <w:t>Without the additional input characteristic, no reconciliation between the surveys according to § 5a(2) and according to § 5a(3)(5) and (6) is possible. However, the clause in § 5a(3)(5) and (6) to relieve the producers of reusable packaging who are obliged to provide information is ineffective without reconciliation.</w:t>
      </w:r>
    </w:p>
    <w:p w:rsidR="006B0FF0" w:rsidRPr="00AE0058" w:rsidRDefault="006B0FF0" w:rsidP="006B0FF0">
      <w:pPr>
        <w:pStyle w:val="VerweisBegrndung"/>
      </w:pPr>
      <w:r>
        <w:t xml:space="preserve">Re </w:t>
      </w:r>
      <w:r>
        <w:rPr>
          <w:rStyle w:val="Binnenverweis"/>
        </w:rPr>
        <w:t>(dd)</w:t>
      </w:r>
    </w:p>
    <w:p w:rsidR="009E1426" w:rsidRPr="00AE0058" w:rsidRDefault="009E1426" w:rsidP="009E1426">
      <w:pPr>
        <w:pStyle w:val="VerweisBegrndung"/>
      </w:pPr>
      <w:r>
        <w:t xml:space="preserve">Re </w:t>
      </w:r>
      <w:r>
        <w:rPr>
          <w:rStyle w:val="Binnenverweis"/>
        </w:rPr>
        <w:t>(b)</w:t>
      </w:r>
    </w:p>
    <w:p w:rsidR="009E1426" w:rsidRPr="00AE0058" w:rsidRDefault="00476265" w:rsidP="009E1426">
      <w:pPr>
        <w:pStyle w:val="Text"/>
      </w:pPr>
      <w:r>
        <w:rPr>
          <w:rStyle w:val="Marker"/>
          <w:color w:val="auto"/>
        </w:rPr>
        <w:t>This regulation makes it possible to combine the information provided by the reporting parties for the survey with the input characteristics, such as the name and address of the water supply companies, and is required for quality assurance by checking the reports on delivered and purchased quantities in the non-public water sector.</w:t>
      </w:r>
    </w:p>
    <w:p w:rsidR="009E1426" w:rsidRPr="00AE0058" w:rsidRDefault="009E1426" w:rsidP="009E1426">
      <w:pPr>
        <w:pStyle w:val="VerweisBegrndung"/>
      </w:pPr>
      <w:r>
        <w:lastRenderedPageBreak/>
        <w:t xml:space="preserve">Re </w:t>
      </w:r>
      <w:r>
        <w:rPr>
          <w:rStyle w:val="Binnenverweis"/>
        </w:rPr>
        <w:t>subparagraph 12</w:t>
      </w:r>
    </w:p>
    <w:p w:rsidR="009E1426" w:rsidRPr="00AE0058" w:rsidRDefault="009E1426" w:rsidP="009E1426">
      <w:pPr>
        <w:pStyle w:val="VerweisBegrndung"/>
      </w:pPr>
      <w:r>
        <w:t xml:space="preserve">Re </w:t>
      </w:r>
      <w:r>
        <w:rPr>
          <w:rStyle w:val="Binnenverweis"/>
        </w:rPr>
        <w:t>(a)</w:t>
      </w:r>
    </w:p>
    <w:p w:rsidR="009E1426" w:rsidRPr="00AE0058" w:rsidRDefault="009E1426" w:rsidP="009E1426">
      <w:pPr>
        <w:pStyle w:val="VerweisBegrndung"/>
        <w:rPr>
          <w:rStyle w:val="Binnenverweis"/>
        </w:rPr>
      </w:pPr>
      <w:r>
        <w:t xml:space="preserve">Re </w:t>
      </w:r>
      <w:r>
        <w:rPr>
          <w:rStyle w:val="Binnenverweis"/>
        </w:rPr>
        <w:t>(aa)</w:t>
      </w:r>
    </w:p>
    <w:p w:rsidR="0074190B" w:rsidRPr="00AE0058" w:rsidRDefault="00340937" w:rsidP="00340937">
      <w:pPr>
        <w:pStyle w:val="Text"/>
      </w:pPr>
      <w:r>
        <w:rPr>
          <w:rStyle w:val="Marker"/>
          <w:color w:val="auto"/>
        </w:rPr>
        <w:t xml:space="preserve">The units surveyed in § 5(1) report data on stationary and mobile installations. Mobile installations is not only operated by the owner or management, but can also be used by others in the context of a rental or leasing relationship. In order to strengthen the obligation of parties who rent and lease to provide information, the wording of the act should be amended to include ‘users’. This is to avoid that parties who rent and lease feel that they are not obliged to provide information due to the classification ‘management’ or ‘owner’. This is a necessary prerequisite for a complete data collection, which is, inter alia, the basis for the fulfilment of reporting obligations to the EU (e.g. for the determination of the recycling rate according to the Waste Framework Directive). </w:t>
      </w:r>
    </w:p>
    <w:p w:rsidR="009E1426" w:rsidRPr="00AE0058" w:rsidRDefault="009E1426" w:rsidP="009E1426">
      <w:pPr>
        <w:pStyle w:val="VerweisBegrndung"/>
        <w:rPr>
          <w:rStyle w:val="Binnenverweis"/>
        </w:rPr>
      </w:pPr>
      <w:r>
        <w:t xml:space="preserve">Re </w:t>
      </w:r>
      <w:r>
        <w:rPr>
          <w:rStyle w:val="Binnenverweis"/>
        </w:rPr>
        <w:t>(bb)</w:t>
      </w:r>
    </w:p>
    <w:p w:rsidR="004213CE" w:rsidRPr="00AE0058" w:rsidRDefault="004213CE" w:rsidP="004213CE">
      <w:pPr>
        <w:pStyle w:val="Text"/>
      </w:pPr>
      <w:r>
        <w:t>§ 5a was newly included in the UStatG due to changes in EU directives. For this purpose, the parties responsible for providing information must be determined.</w:t>
      </w:r>
    </w:p>
    <w:p w:rsidR="004213CE" w:rsidRPr="00AE0058" w:rsidRDefault="004213CE" w:rsidP="004213CE">
      <w:pPr>
        <w:pStyle w:val="Text"/>
      </w:pPr>
      <w:r>
        <w:t xml:space="preserve">Pursuant to § 3(18) of the Packaging Act, distributors of packaging subject to the system must report to the Central Agency Packaging Register the data whose collection is governed by § 5a(1) on the basis of § 10 of the Packaging Act. For its part, the Central Agency Packaging Register is required by § 14(2)(4)(a) to provide information on this data. </w:t>
      </w:r>
    </w:p>
    <w:p w:rsidR="004213CE" w:rsidRPr="00AE0058" w:rsidRDefault="004213CE" w:rsidP="004213CE">
      <w:pPr>
        <w:pStyle w:val="Text"/>
      </w:pPr>
      <w:r>
        <w:t xml:space="preserve">The addressees of § 5a(2) to (5) are obliged to provide information by § 14(2)(4)(b). </w:t>
      </w:r>
    </w:p>
    <w:p w:rsidR="004213CE" w:rsidRPr="00AE0058" w:rsidRDefault="004213CE" w:rsidP="004213CE">
      <w:pPr>
        <w:pStyle w:val="Text"/>
      </w:pPr>
      <w:r>
        <w:t xml:space="preserve">The addressees of § 5a(6) and (7) are obliged to provide information by § 14(2)(4)(c). </w:t>
      </w:r>
    </w:p>
    <w:p w:rsidR="006B0FF0" w:rsidRPr="00AE0058" w:rsidRDefault="006B0FF0" w:rsidP="006B0FF0">
      <w:pPr>
        <w:pStyle w:val="VerweisBegrndung"/>
      </w:pPr>
      <w:r>
        <w:t xml:space="preserve">Re </w:t>
      </w:r>
      <w:r>
        <w:rPr>
          <w:rStyle w:val="Binnenverweis"/>
        </w:rPr>
        <w:t>(cc)</w:t>
      </w:r>
    </w:p>
    <w:p w:rsidR="00AC4CB4" w:rsidRPr="00AE0058" w:rsidRDefault="007A4DC0" w:rsidP="00AC4CB4">
      <w:pPr>
        <w:pStyle w:val="Text"/>
      </w:pPr>
      <w:r>
        <w:rPr>
          <w:rStyle w:val="Marker"/>
          <w:color w:val="auto"/>
        </w:rPr>
        <w:t>The amendment made minor adjustments to the terminology.</w:t>
      </w:r>
    </w:p>
    <w:p w:rsidR="00907F7B" w:rsidRPr="00AE0058" w:rsidRDefault="00907F7B" w:rsidP="00907F7B">
      <w:pPr>
        <w:pStyle w:val="VerweisBegrndung"/>
      </w:pPr>
      <w:r>
        <w:t xml:space="preserve">Re </w:t>
      </w:r>
      <w:r>
        <w:rPr>
          <w:rStyle w:val="Binnenverweis"/>
        </w:rPr>
        <w:t>(hh)</w:t>
      </w:r>
    </w:p>
    <w:p w:rsidR="003E22AD" w:rsidRPr="00AE0058" w:rsidRDefault="003E22AD" w:rsidP="003E22AD">
      <w:pPr>
        <w:pStyle w:val="Text"/>
      </w:pPr>
      <w:r>
        <w:t>This aligns with the wording of § 12, which uses the term ‘facilities’.</w:t>
      </w:r>
    </w:p>
    <w:p w:rsidR="009E1426" w:rsidRPr="00AE0058" w:rsidRDefault="009E1426" w:rsidP="00581470">
      <w:pPr>
        <w:pStyle w:val="VerweisBegrndung"/>
        <w:rPr>
          <w:rStyle w:val="Binnenverweis"/>
          <w:b w:val="0"/>
        </w:rPr>
      </w:pPr>
      <w:r>
        <w:t xml:space="preserve">Re </w:t>
      </w:r>
      <w:r>
        <w:rPr>
          <w:rStyle w:val="Binnenverweis"/>
        </w:rPr>
        <w:t>(b)</w:t>
      </w:r>
    </w:p>
    <w:p w:rsidR="004213CE" w:rsidRPr="00AE0058" w:rsidRDefault="004213CE" w:rsidP="004213CE">
      <w:pPr>
        <w:pStyle w:val="Text"/>
      </w:pPr>
      <w:r>
        <w:t>§ 14(4) is relevant to the surveys under § 11 and § 12. In order to ensure that the characteristic of ‘business start-up’ can also be applied to the survey pursuant to § 12 without any issue, it must also be possible for establishments and entities to be addressees of the standard.</w:t>
      </w:r>
    </w:p>
    <w:p w:rsidR="00907F7B" w:rsidRPr="00AE0058" w:rsidRDefault="00907F7B" w:rsidP="00907F7B">
      <w:pPr>
        <w:pStyle w:val="VerweisBegrndung"/>
      </w:pPr>
      <w:r>
        <w:t xml:space="preserve">Re </w:t>
      </w:r>
      <w:r>
        <w:rPr>
          <w:rStyle w:val="Binnenverweis"/>
        </w:rPr>
        <w:t>subparagraph 13</w:t>
      </w:r>
    </w:p>
    <w:p w:rsidR="006B0FF0" w:rsidRPr="00AE0058" w:rsidRDefault="006B0FF0" w:rsidP="006B0FF0">
      <w:pPr>
        <w:pStyle w:val="VerweisBegrndung"/>
      </w:pPr>
      <w:r>
        <w:t xml:space="preserve">Re </w:t>
      </w:r>
      <w:r>
        <w:rPr>
          <w:rStyle w:val="Binnenverweis"/>
        </w:rPr>
        <w:t>(a)</w:t>
      </w:r>
    </w:p>
    <w:p w:rsidR="005B4931" w:rsidRPr="00AE0058" w:rsidRDefault="005B4931" w:rsidP="005B4931">
      <w:pPr>
        <w:pStyle w:val="Text"/>
        <w:rPr>
          <w:rStyle w:val="Marker"/>
          <w:color w:val="000000" w:themeColor="text1"/>
        </w:rPr>
      </w:pPr>
      <w:r>
        <w:rPr>
          <w:rStyle w:val="Marker"/>
          <w:color w:val="000000" w:themeColor="text1"/>
        </w:rPr>
        <w:t>On the basis of its tasks under the Packaging Act, the Central Agency Packaging Register pursuant to § 3(18) of the Packaging Act has at its disposal the contact details and addresses of many packaging manufacturers and distributors. In order to enable and facilitate the creation of applicable and comprehensive reporting populations with regard to the addressees specified in § 5a, the Central Agency Packaging Register is to be obliged to provide information on the address data available to it.</w:t>
      </w:r>
    </w:p>
    <w:p w:rsidR="00907F7B" w:rsidRPr="00AE0058" w:rsidRDefault="005B4931" w:rsidP="00907F7B">
      <w:pPr>
        <w:pStyle w:val="Text"/>
        <w:rPr>
          <w:rStyle w:val="Marker"/>
          <w:color w:val="000000" w:themeColor="text1"/>
        </w:rPr>
      </w:pPr>
      <w:r>
        <w:rPr>
          <w:rStyle w:val="Marker"/>
          <w:color w:val="000000" w:themeColor="text1"/>
        </w:rPr>
        <w:t xml:space="preserve">A corresponding provision is also made for the legal entity who, pursuant to § 31(1) sentence 4 of the Packaging Act, is responsible for handling deposit refund claims. At </w:t>
      </w:r>
      <w:r>
        <w:rPr>
          <w:rStyle w:val="Marker"/>
          <w:color w:val="000000" w:themeColor="text1"/>
        </w:rPr>
        <w:lastRenderedPageBreak/>
        <w:t>present, this legal entity is Deutsche Pfandgesellschaft GmbH, but this task may also be assumed by another legal entity in the future.</w:t>
      </w:r>
    </w:p>
    <w:p w:rsidR="008F3996" w:rsidRPr="00AE0058" w:rsidRDefault="008F3996" w:rsidP="008F3996">
      <w:pPr>
        <w:pStyle w:val="Text"/>
        <w:rPr>
          <w:rStyle w:val="Marker"/>
          <w:color w:val="000000" w:themeColor="text1"/>
        </w:rPr>
      </w:pPr>
      <w:r>
        <w:rPr>
          <w:rStyle w:val="Marker"/>
          <w:color w:val="000000" w:themeColor="text1"/>
        </w:rPr>
        <w:t xml:space="preserve">Authorities entrusted with the collection of waste, for example, may entrust this collection to third parties. In order to be able to question these third parties, the authorities responsible under national law are obliged to make the address data of these third parties available for the survey as well. </w:t>
      </w:r>
    </w:p>
    <w:p w:rsidR="006B0FF0" w:rsidRPr="00AE0058" w:rsidRDefault="006B0FF0" w:rsidP="006B0FF0">
      <w:pPr>
        <w:pStyle w:val="VerweisBegrndung"/>
      </w:pPr>
      <w:r>
        <w:t xml:space="preserve">Re </w:t>
      </w:r>
      <w:r>
        <w:rPr>
          <w:rStyle w:val="Binnenverweis"/>
        </w:rPr>
        <w:t>(b)</w:t>
      </w:r>
    </w:p>
    <w:p w:rsidR="005E6FCC" w:rsidRPr="00AE0058" w:rsidRDefault="005E6FCC" w:rsidP="00907F7B">
      <w:pPr>
        <w:pStyle w:val="Text"/>
        <w:rPr>
          <w:rStyle w:val="Marker"/>
          <w:color w:val="auto"/>
        </w:rPr>
      </w:pPr>
      <w:r>
        <w:rPr>
          <w:rStyle w:val="Marker"/>
          <w:color w:val="auto"/>
        </w:rPr>
        <w:t>The amendment reflects an editorial adjustment to the current regulations on the implementation of environmental protection legislation in the federal states.</w:t>
      </w:r>
    </w:p>
    <w:p w:rsidR="00907F7B" w:rsidRPr="00AE0058" w:rsidRDefault="00907F7B" w:rsidP="00907F7B">
      <w:pPr>
        <w:pStyle w:val="VerweisBegrndung"/>
      </w:pPr>
      <w:r>
        <w:t xml:space="preserve">Re </w:t>
      </w:r>
      <w:r>
        <w:rPr>
          <w:rStyle w:val="Binnenverweis"/>
        </w:rPr>
        <w:t>subparagraph 14</w:t>
      </w:r>
    </w:p>
    <w:p w:rsidR="00907F7B" w:rsidRPr="00AE0058" w:rsidRDefault="00907F7B" w:rsidP="00907F7B">
      <w:pPr>
        <w:pStyle w:val="VerweisBegrndung"/>
      </w:pPr>
      <w:r>
        <w:t xml:space="preserve">Re </w:t>
      </w:r>
      <w:r>
        <w:rPr>
          <w:rStyle w:val="Binnenverweis"/>
        </w:rPr>
        <w:t>(a)</w:t>
      </w:r>
    </w:p>
    <w:p w:rsidR="00907F7B" w:rsidRPr="00AE0058" w:rsidRDefault="00907F7B" w:rsidP="00907F7B">
      <w:pPr>
        <w:pStyle w:val="Text"/>
      </w:pPr>
      <w:r>
        <w:t>The tables of results of the survey under § 3 are published not only by the statistical offices of the federal states but also by the Federal Statistical Office.</w:t>
      </w:r>
    </w:p>
    <w:p w:rsidR="00907F7B" w:rsidRPr="00AE0058" w:rsidRDefault="00907F7B" w:rsidP="00907F7B">
      <w:pPr>
        <w:pStyle w:val="VerweisBegrndung"/>
      </w:pPr>
      <w:r>
        <w:t xml:space="preserve">Re </w:t>
      </w:r>
      <w:r>
        <w:rPr>
          <w:rStyle w:val="Binnenverweis"/>
        </w:rPr>
        <w:t>(b)</w:t>
      </w:r>
    </w:p>
    <w:p w:rsidR="004213CE" w:rsidRPr="00AE0058" w:rsidRDefault="004213CE" w:rsidP="004213CE">
      <w:pPr>
        <w:pStyle w:val="Text"/>
      </w:pPr>
      <w:r>
        <w:rPr>
          <w:rStyle w:val="Marker"/>
          <w:color w:val="auto"/>
        </w:rPr>
        <w:t>Statistics on investments for environmental protection are regulated in § 11(1)(1)(1).</w:t>
      </w:r>
    </w:p>
    <w:p w:rsidR="00907F7B" w:rsidRPr="00AE0058" w:rsidRDefault="00907F7B" w:rsidP="00907F7B">
      <w:pPr>
        <w:pStyle w:val="VerweisBegrndung"/>
      </w:pPr>
      <w:r>
        <w:t xml:space="preserve">Re </w:t>
      </w:r>
      <w:r>
        <w:rPr>
          <w:rStyle w:val="Binnenverweis"/>
        </w:rPr>
        <w:t>(c)</w:t>
      </w:r>
    </w:p>
    <w:p w:rsidR="00907F7B" w:rsidRPr="00AE0058" w:rsidRDefault="00907F7B" w:rsidP="008D7C26">
      <w:r>
        <w:t>In order to reduce the overall expenditure in the area of environmental statistics and to avoid additional surveys, the data already available at the statistical offices of the federal states are to be used as comprehensively and flexibly as possible for statistical purposes. The amendment creates the precondition for the Federal Statistical Office to have at its disposal individual data from environmental statistics without anonymisation for additional federal processing, e.g. for further technical and methodological development. These include, for example, nationwide compilations of local water balances (water production and consumption as well as wastewater discharge) by economic sector.</w:t>
      </w:r>
    </w:p>
    <w:p w:rsidR="00907F7B" w:rsidRPr="00AE0058" w:rsidRDefault="00907F7B" w:rsidP="00907F7B">
      <w:pPr>
        <w:pStyle w:val="VerweisBegrndung"/>
        <w:rPr>
          <w:rStyle w:val="Binnenverweis"/>
        </w:rPr>
      </w:pPr>
      <w:r>
        <w:t xml:space="preserve">Re </w:t>
      </w:r>
      <w:r>
        <w:rPr>
          <w:rStyle w:val="Binnenverweis"/>
        </w:rPr>
        <w:t>(d)</w:t>
      </w:r>
    </w:p>
    <w:p w:rsidR="00907F7B" w:rsidRPr="00AE0058" w:rsidRDefault="00907F7B" w:rsidP="00907F7B">
      <w:pPr>
        <w:pStyle w:val="Text"/>
      </w:pPr>
      <w:r>
        <w:t>In order to fulfil the obligations of the Federal Republic of Germany under European and international law, in particular under the Environmental Information Directive (Directive 2003/4/EC of the European Parliament and of the Council of 28 January 2003 on public access to environmental information) and Directive 2012/19/EU of the European Parliament and of the Council of 4 July 2012 on waste electrical and electronic equipment (WEEE) (OJ L 197, 24.7.2012, p 38), and for its own evaluations, the Federal Environment Agency has access to data obtained by the Federal Statistical Office and the statistical offices of the federal states. The Federal Statistical Office relies on survey data obtained by the Federal Statistical Office and the statistical offices of the federal states for its own analyses and also requires individual data from these surveys for this purpose.</w:t>
      </w:r>
    </w:p>
    <w:p w:rsidR="00907F7B" w:rsidRPr="00AE0058" w:rsidRDefault="00907F7B" w:rsidP="00907F7B">
      <w:pPr>
        <w:pStyle w:val="VerweisBegrndung"/>
      </w:pPr>
      <w:r>
        <w:t xml:space="preserve">Re </w:t>
      </w:r>
      <w:r>
        <w:rPr>
          <w:rStyle w:val="Binnenverweis"/>
        </w:rPr>
        <w:t>subparagraph 15</w:t>
      </w:r>
    </w:p>
    <w:p w:rsidR="00907F7B" w:rsidRPr="00AE0058" w:rsidRDefault="00907F7B" w:rsidP="00907F7B">
      <w:pPr>
        <w:pStyle w:val="Text"/>
      </w:pPr>
      <w:r>
        <w:t>The amendment brings the terminology in line with current terminology.</w:t>
      </w:r>
    </w:p>
    <w:p w:rsidR="00907F7B" w:rsidRPr="00AE0058" w:rsidRDefault="00907F7B" w:rsidP="00907F7B">
      <w:pPr>
        <w:pStyle w:val="VerweisBegrndung"/>
      </w:pPr>
      <w:r>
        <w:t xml:space="preserve">Re </w:t>
      </w:r>
      <w:r>
        <w:rPr>
          <w:rStyle w:val="Binnenverweis"/>
        </w:rPr>
        <w:t>Article 2</w:t>
      </w:r>
      <w:r>
        <w:t xml:space="preserve"> (Amendment of the Packaging Act)</w:t>
      </w:r>
    </w:p>
    <w:p w:rsidR="007E7424" w:rsidRPr="00AE0058" w:rsidRDefault="007E7424" w:rsidP="007E7424">
      <w:pPr>
        <w:pStyle w:val="Text"/>
      </w:pPr>
      <w:r>
        <w:t>This is a consequential amendment resulting from the amendment to the UStatG. The Central Agency Packaging Register under § 3(18) of the Packaging Act must be put in a position to be able to fulfil the obligations imposed onto it by the Amendment of the Environmental Statistics Act.</w:t>
      </w:r>
    </w:p>
    <w:p w:rsidR="00907F7B" w:rsidRPr="00AE0058" w:rsidRDefault="00907F7B" w:rsidP="00907F7B">
      <w:pPr>
        <w:pStyle w:val="VerweisBegrndung"/>
      </w:pPr>
      <w:r>
        <w:lastRenderedPageBreak/>
        <w:t xml:space="preserve">Re </w:t>
      </w:r>
      <w:r>
        <w:rPr>
          <w:rStyle w:val="Binnenverweis"/>
        </w:rPr>
        <w:t>subparagraph 1</w:t>
      </w:r>
    </w:p>
    <w:p w:rsidR="00907F7B" w:rsidRPr="00AE0058" w:rsidRDefault="006C1920" w:rsidP="00907F7B">
      <w:pPr>
        <w:pStyle w:val="Text"/>
      </w:pPr>
      <w:r>
        <w:rPr>
          <w:rStyle w:val="Marker"/>
          <w:color w:val="auto"/>
        </w:rPr>
        <w:t>This change is due to the replacement of the repealed § 5(2) by the new § 5a.</w:t>
      </w:r>
    </w:p>
    <w:p w:rsidR="00907F7B" w:rsidRPr="00AE0058" w:rsidRDefault="00907F7B" w:rsidP="00907F7B">
      <w:pPr>
        <w:pStyle w:val="VerweisBegrndung"/>
      </w:pPr>
      <w:r>
        <w:t xml:space="preserve">Re </w:t>
      </w:r>
      <w:r>
        <w:rPr>
          <w:rStyle w:val="Binnenverweis"/>
        </w:rPr>
        <w:t>subparagraph 2</w:t>
      </w:r>
    </w:p>
    <w:p w:rsidR="00907F7B" w:rsidRPr="00AE0058" w:rsidRDefault="006C1920" w:rsidP="00907F7B">
      <w:pPr>
        <w:pStyle w:val="Text"/>
      </w:pPr>
      <w:r>
        <w:rPr>
          <w:rStyle w:val="Marker"/>
          <w:color w:val="auto"/>
        </w:rPr>
        <w:t>The survey will be conducted as a secondary survey: The (administrative) data already available at the central office are not collected again separately from the systems and sector solutions, but directly from the central office (reduction of statistical obligations).</w:t>
      </w:r>
    </w:p>
    <w:p w:rsidR="00907F7B" w:rsidRPr="00AE0058" w:rsidRDefault="00907F7B" w:rsidP="00907F7B">
      <w:pPr>
        <w:pStyle w:val="VerweisBegrndung"/>
      </w:pPr>
      <w:r>
        <w:t xml:space="preserve">Re </w:t>
      </w:r>
      <w:r>
        <w:rPr>
          <w:rStyle w:val="Binnenverweis"/>
        </w:rPr>
        <w:t>Article 3</w:t>
      </w:r>
      <w:r>
        <w:t xml:space="preserve"> (Entry into force)</w:t>
      </w:r>
    </w:p>
    <w:p w:rsidR="008A397D" w:rsidRPr="00AE0058" w:rsidRDefault="008D7C26" w:rsidP="00907F7B">
      <w:pPr>
        <w:pStyle w:val="Text"/>
      </w:pPr>
      <w:r>
        <w:t>As the reporting obligation to the EU on self-composting already exists from the reporting year of 2020 under the relevant EU legislation, the entry into force in this respect is already set for the day after the promulgation of the law, in deviation from the other regulations, so that the statistical offices have sufficient time to collect and process the data. .</w:t>
      </w:r>
    </w:p>
    <w:sectPr w:rsidR="008A397D" w:rsidRPr="00AE0058" w:rsidSect="001F550D">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F82" w:rsidRDefault="000F0F82" w:rsidP="005D1540">
      <w:pPr>
        <w:spacing w:before="0" w:after="0"/>
      </w:pPr>
      <w:r>
        <w:separator/>
      </w:r>
    </w:p>
  </w:endnote>
  <w:endnote w:type="continuationSeparator" w:id="0">
    <w:p w:rsidR="000F0F82" w:rsidRDefault="000F0F82" w:rsidP="005D1540">
      <w:pPr>
        <w:spacing w:before="0" w:after="0"/>
      </w:pPr>
      <w:r>
        <w:continuationSeparator/>
      </w:r>
    </w:p>
  </w:endnote>
  <w:endnote w:type="continuationNotice" w:id="1">
    <w:p w:rsidR="000F0F82" w:rsidRDefault="000F0F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taNormalLF-Roman">
    <w:altName w:val="Times New Roman"/>
    <w:charset w:val="00"/>
    <w:family w:val="swiss"/>
    <w:pitch w:val="variable"/>
    <w:sig w:usb0="8000002F" w:usb1="10000048"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F82" w:rsidRDefault="000F0F82" w:rsidP="005D1540">
      <w:pPr>
        <w:spacing w:before="0" w:after="0"/>
      </w:pPr>
      <w:r>
        <w:separator/>
      </w:r>
    </w:p>
  </w:footnote>
  <w:footnote w:type="continuationSeparator" w:id="0">
    <w:p w:rsidR="000F0F82" w:rsidRDefault="000F0F82" w:rsidP="005D1540">
      <w:pPr>
        <w:spacing w:before="0" w:after="0"/>
      </w:pPr>
      <w:r>
        <w:continuationSeparator/>
      </w:r>
    </w:p>
  </w:footnote>
  <w:footnote w:type="continuationNotice" w:id="1">
    <w:p w:rsidR="000F0F82" w:rsidRDefault="000F0F82">
      <w:pPr>
        <w:spacing w:before="0" w:after="0"/>
      </w:pPr>
    </w:p>
  </w:footnote>
  <w:footnote w:id="2">
    <w:p w:rsidR="00AC5546" w:rsidRDefault="00AC5546">
      <w:pPr>
        <w:pStyle w:val="FootnoteText"/>
      </w:pPr>
      <w:r>
        <w:rPr>
          <w:rStyle w:val="FootnoteReference"/>
        </w:rPr>
        <w:footnoteRef/>
      </w:r>
      <w:r>
        <w:rPr>
          <w:rStyle w:val="FootnoteReference"/>
          <w:vertAlign w:val="baseline"/>
        </w:rPr>
        <w:t>)</w:t>
      </w:r>
      <w:r>
        <w:tab/>
        <w:t>This Act has been notified in accordance with Directive 94/62/EC of the European Parliament and of the Council of 20 December 1994 on packaging and packaging waste (OJ L 365, 31.12.1994, p 10) as last amended by Directive (EU) 2018/852 of the European Parliament and of the Council of 30 May 2018 (OJ L 150, 14.6.2018, p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546" w:rsidRPr="001F550D" w:rsidRDefault="00AC5546" w:rsidP="001F550D">
    <w:pPr>
      <w:pStyle w:val="Header"/>
    </w:pPr>
    <w:r>
      <w:tab/>
      <w:t xml:space="preserve">- </w:t>
    </w:r>
    <w:r>
      <w:fldChar w:fldCharType="begin"/>
    </w:r>
    <w:r>
      <w:instrText xml:space="preserve"> PAGE  \* MERGEFORMAT </w:instrText>
    </w:r>
    <w:r>
      <w:fldChar w:fldCharType="separate"/>
    </w:r>
    <w:r>
      <w:t>2</w:t>
    </w:r>
    <w:r>
      <w:fldChar w:fldCharType="end"/>
    </w:r>
    <w:r>
      <w:t xml:space="preserve"> -</w:t>
    </w:r>
    <w:r>
      <w:tab/>
    </w:r>
    <w:r>
      <w:rPr>
        <w:sz w:val="18"/>
      </w:rPr>
      <w:t>As at: 01/02/2021 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546" w:rsidRPr="001F550D" w:rsidRDefault="00AC5546" w:rsidP="006C07FA">
    <w:pPr>
      <w:pStyle w:val="Header"/>
      <w:jc w:val="right"/>
    </w:pPr>
    <w:r>
      <w:rPr>
        <w:sz w:val="18"/>
      </w:rPr>
      <w:t>Version: 01/02/2021 16:22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3" w15:restartNumberingAfterBreak="0">
    <w:nsid w:val="40971705"/>
    <w:multiLevelType w:val="hybridMultilevel"/>
    <w:tmpl w:val="B48CDA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2"/>
    </w:lvlOverride>
    <w:lvlOverride w:ilvl="3">
      <w:startOverride w:val="2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8"/>
  </w:num>
  <w:num w:numId="14">
    <w:abstractNumId w:val="25"/>
  </w:num>
  <w:num w:numId="15">
    <w:abstractNumId w:val="17"/>
  </w:num>
  <w:num w:numId="16">
    <w:abstractNumId w:val="3"/>
  </w:num>
  <w:num w:numId="17">
    <w:abstractNumId w:val="10"/>
  </w:num>
  <w:num w:numId="18">
    <w:abstractNumId w:val="0"/>
  </w:num>
  <w:num w:numId="19">
    <w:abstractNumId w:val="24"/>
  </w:num>
  <w:num w:numId="20">
    <w:abstractNumId w:val="11"/>
  </w:num>
  <w:num w:numId="21">
    <w:abstractNumId w:val="20"/>
  </w:num>
  <w:num w:numId="22">
    <w:abstractNumId w:val="2"/>
  </w:num>
  <w:num w:numId="23">
    <w:abstractNumId w:val="16"/>
  </w:num>
  <w:num w:numId="24">
    <w:abstractNumId w:val="7"/>
  </w:num>
  <w:num w:numId="25">
    <w:abstractNumId w:val="6"/>
  </w:num>
  <w:num w:numId="26">
    <w:abstractNumId w:val="15"/>
  </w:num>
  <w:num w:numId="27">
    <w:abstractNumId w:val="21"/>
  </w:num>
  <w:num w:numId="28">
    <w:abstractNumId w:val="8"/>
  </w:num>
  <w:num w:numId="29">
    <w:abstractNumId w:val="12"/>
  </w:num>
  <w:num w:numId="30">
    <w:abstractNumId w:val="1"/>
  </w:num>
  <w:num w:numId="31">
    <w:abstractNumId w:val="14"/>
  </w:num>
  <w:num w:numId="32">
    <w:abstractNumId w:val="4"/>
  </w:num>
  <w:num w:numId="33">
    <w:abstractNumId w:val="23"/>
  </w:num>
  <w:num w:numId="34">
    <w:abstractNumId w:val="22"/>
  </w:num>
  <w:num w:numId="35">
    <w:abstractNumId w:val="9"/>
  </w:num>
  <w:num w:numId="36">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de-DE" w:vendorID="64" w:dllVersion="6" w:nlCheck="1" w:checkStyle="0"/>
  <w:activeWritingStyle w:appName="MSWord" w:lang="en-US" w:vendorID="64" w:dllVersion="6" w:nlCheck="1" w:checkStyle="0"/>
  <w:activeWritingStyle w:appName="MSWord" w:lang="de-DE" w:vendorID="64" w:dllVersion="4096" w:nlCheck="1" w:checkStyle="0"/>
  <w:activeWritingStyle w:appName="MSWord" w:lang="en-GB" w:vendorID="64" w:dllVersion="4096" w:nlCheck="1" w:checkStyle="0"/>
  <w:attachedTemplate r:id="rId1"/>
  <w:defaultTabStop w:val="720"/>
  <w:hyphenationZone w:val="425"/>
  <w:doNotHyphenateCaps/>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26ms] [Main] [eNormCommandSeilegx::SEILEGX.Marker.GotoFirstMarkerInDocument]"/>
    <w:docVar w:name="BefehlsHistorie_Befehl02" w:val="Aktualisierung der Strukturanzeige [3251ms] [Main] [eNormCommandLocal::DynamicStructureCheck.UpdateStructure]"/>
    <w:docVar w:name="BefehlsHistorie_Befehl65" w:val="Begründungsbereich erzeugen [2330ms] [Main] [eNormCommandLocal::BegründungsCommands.BGBegründungsbereichErzeugen]"/>
    <w:docVar w:name="BefehlsHistorie_Befehl66" w:val="Aktualisierung der Strukturanzeige [1664ms] [Main] [eNormCommandLocal::DynamicStructureCheck.UpdateStructure]"/>
    <w:docVar w:name="BefehlsHistorie_Befehl67" w:val="Aktualisierung der Strukturanzeige [1038ms] [Main] [eNormCommandLocal::DynamicStructureCheck.UpdateStructure]"/>
    <w:docVar w:name="BefehlsHistorie_Befehl68" w:val="Revision einrücken (Markierung) [354ms] [Main] [eNormCommandSeilegx::SEILEGX.eNormCmds.LWRevisionAusrichten]"/>
    <w:docVar w:name="BefehlsHistorie_Befehl69" w:val="Revision einrücken (Markierung) [323ms] [Main] [eNormCommandSeilegx::SEILEGX.eNormCmds.LWRevisionAusrichten]"/>
    <w:docVar w:name="BefehlsHistorie_Befehl70" w:val="Aktualisierung der Strukturanzeige [1555ms] [Main] [eNormCommandLocal::DynamicStructureCheck.UpdateStructure]"/>
    <w:docVar w:name="BefehlsHistorie_Befehl71" w:val="Begründungsgerüst aktualisieren [2934ms] [Main] [eNormCommandLocal::BegründungsCommands.BGAktualisieren]"/>
    <w:docVar w:name="BefehlsHistorie_Befehl72" w:val="Aktualisierung der Strukturanzeige [1186ms] [Main] [eNormCommandLocal::DynamicStructureCheck.UpdateStructure]"/>
    <w:docVar w:name="BefehlsHistorie_Befehl73" w:val="Aktualisierung der Strukturanzeige [1322ms] [Main] [eNormCommandLocal::DynamicStructureCheck.UpdateStructure]"/>
    <w:docVar w:name="BefehlsHistorie_Befehl74" w:val="Zur Regelung springen [537ms] [Main] [eNormCommandLocal::BegründungsCommands.BGGeheZuRegelung]"/>
    <w:docVar w:name="BefehlsHistorie_BefehlsZähler" w:val="2"/>
    <w:docVar w:name="BefehlsKontext_SpeichernOOXML_Maximum" w:val="1150ms"/>
    <w:docVar w:name="BefehlsKontext_SpeichernOOXML_Schnitt" w:val="1150ms"/>
    <w:docVar w:name="BMJ" w:val="True"/>
    <w:docVar w:name="CUSTOMER" w:val="8"/>
    <w:docVar w:name="DQCDateTime" w:val="28.01.2021 11:21:38"/>
    <w:docVar w:name="DQCHighlighting" w:val="0"/>
    <w:docVar w:name="DQCPart_Begruendung" w:val="0"/>
    <w:docVar w:name="DQCPart_Dokument" w:val="0"/>
    <w:docVar w:name="DQCPart_Regelungsteil" w:val="0"/>
    <w:docVar w:name="DQCPart_Vorblatt" w:val="0"/>
    <w:docVar w:name="DQCResult_Aenderungsbefehl" w:val="0;11"/>
    <w:docVar w:name="DQCResult_Binnenverweise" w:val="0;0"/>
    <w:docVar w:name="DQCResult_Citations" w:val="0;27"/>
    <w:docVar w:name="DQCResult_EinzelneRegelungsteile" w:val="1;1"/>
    <w:docVar w:name="DQCResult_EmbeddedObjects" w:val="0;0"/>
    <w:docVar w:name="DQCResult_Gliederung" w:val="0;2"/>
    <w:docVar w:name="DQCResult_Marker" w:val="0;0"/>
    <w:docVar w:name="DQCResult_Metadata" w:val="0;0"/>
    <w:docVar w:name="DQCResult_ModifiedCharFormat" w:val="0;512"/>
    <w:docVar w:name="DQCResult_ModifiedMargins" w:val="0;0"/>
    <w:docVar w:name="DQCResult_ModifiedNumbering" w:val="0;0"/>
    <w:docVar w:name="DQCResult_StructureCheck" w:val="0;0"/>
    <w:docVar w:name="DQCResult_SuperfluousWhitespace" w:val="0;0"/>
    <w:docVar w:name="DQCResult_TermsAndDiction" w:val="0;10"/>
    <w:docVar w:name="DQCResult_Verweise" w:val="0;0"/>
    <w:docVar w:name="DQCWithWarnings" w:val="0"/>
    <w:docVar w:name="EN_DocFileDateTimeAtOpen" w:val="08.02.2021 11:10:43"/>
    <w:docVar w:name="eNV_06A4174E8BAA413DA5B409EA68ABF851" w:val="Doppelbuchstabe bb"/>
    <w:docVar w:name="eNV_06A4174E8BAA413DA5B409EA68ABF851_Struct" w:val="Artikel 1 Nummer 11 Buchstabe a Doppelbuchstabe bb;6;Struktur:1/0/11/1/2;CheckSums:-1/-1/-1/-1/-1;eNV_06A4174E8BAA413DA5B409EA68ABF851_1@@2"/>
    <w:docVar w:name="eNV_0724C3E2EE8B4AE389B31A02518044AA" w:val="Buchstabe d"/>
    <w:docVar w:name="eNV_0724C3E2EE8B4AE389B31A02518044AA_Struct" w:val="Artikel 1 Nummer 14 Buchstabe d;6;Struktur:1/0/14/4;CheckSums:-1/-1/-1/-1;eNV_0724C3E2EE8B4AE389B31A02518044AA_1@@2"/>
    <w:docVar w:name="eNV_0A95B372C7E44562AFE9966708ED8AD4_Struct" w:val="§ 1 Nummer 16;2;Struktur:1/0/16;CheckSums:-1/-1/-1;eNV_0A95B372C7E44562AFE9966708ED8AD4_1@@2"/>
    <w:docVar w:name="eNV_0B9C25099D3A4E9B8B90247F918B5505" w:val="Dreifachbuchstabe aaa"/>
    <w:docVar w:name="eNV_0B9C25099D3A4E9B8B90247F918B5505_Struct" w:val="Artikel 1 Nummer 10 Buchstabe a Doppelbuchstabe aa Dreifachbuchstabe aaa;6;Struktur:1/0/10/1/1/1;CheckSums:-1/-1/-1/-1/-1/-1;eNV_0B9C25099D3A4E9B8B90247F918B5505_1@@2"/>
    <w:docVar w:name="eNV_0D1BEB61EACE40E6B3BD0D016021B844" w:val="Doppelbuchstabe bb"/>
    <w:docVar w:name="eNV_0D1BEB61EACE40E6B3BD0D016021B844_Struct" w:val="Artikel 1 Nummer 10 Buchstabe a Doppelbuchstabe bb;6;Struktur:1/0/10/1/2;CheckSums:-1/-1/-1/-1/-1;eNV_0D1BEB61EACE40E6B3BD0D016021B844_1@@2"/>
    <w:docVar w:name="eNV_0FC12D2A490F41358821CABD67B8A01B" w:val="Nummer 10"/>
    <w:docVar w:name="eNV_0FC12D2A490F41358821CABD67B8A01B_Struct" w:val="Artikel 1 Nummer 10;6;Struktur:1/0/10;CheckSums:-1/-1/-1;eNV_0FC12D2A490F41358821CABD67B8A01B_1@@2"/>
    <w:docVar w:name="eNV_1013B81588E14BE8A61125A936CDD2E3" w:val="Doppelbuchstabe cc"/>
    <w:docVar w:name="eNV_1013B81588E14BE8A61125A936CDD2E3_Struct" w:val="Artikel 1 Nummer 11 Buchstabe a Doppelbuchstabe cc;6;Struktur:1/0/11/1/3;CheckSums:-1/-1/-1/-1/-1;eNV_1013B81588E14BE8A61125A936CDD2E3_1@@2"/>
    <w:docVar w:name="eNV_14E25007273B42E9A8E2D38453A6CE4D" w:val="Doppelbuchstabe aa"/>
    <w:docVar w:name="eNV_14E25007273B42E9A8E2D38453A6CE4D_Struct" w:val="Artikel 1 Nummer 11 Buchstabe a Doppelbuchstabe aa;6;Struktur:1/0/11/1/1;CheckSums:-1/-1/-1/-1/-1;eNV_14E25007273B42E9A8E2D38453A6CE4D_1@@2"/>
    <w:docVar w:name="eNV_14FBF0E48B52467B960F59686F135207" w:val="Doppelbuchstabe bb"/>
    <w:docVar w:name="eNV_14FBF0E48B52467B960F59686F135207_Struct" w:val="Artikel 1 Nummer 1 Buchstabe a Doppelbuchstabe bb;6;Struktur:1/0/1/1/2;CheckSums:-1/-1/-1/-1/-1;eNV_14FBF0E48B52467B960F59686F135207_1@@2"/>
    <w:docVar w:name="eNV_1555FAE285AF40C9A227B33D63A404BF_Struct" w:val="§ 1 Nummer 8 Buchstabe b Doppelbuchstabe cc;2;Struktur:1/0/8/2/3;CheckSums:-1/-1/-1/-1/-1;eNV_1555FAE285AF40C9A227B33D63A404BF_1@@2"/>
    <w:docVar w:name="eNV_1894A2AAD1104D2AAFC5FD6F05D2BE2A" w:val="Buchstabe c"/>
    <w:docVar w:name="eNV_1894A2AAD1104D2AAFC5FD6F05D2BE2A_Struct" w:val="Artikel 1 Nummer 14 Buchstabe c;6;Struktur:1/0/14/3;CheckSums:-1/-1/-1/-1;eNV_1894A2AAD1104D2AAFC5FD6F05D2BE2A_1@@2"/>
    <w:docVar w:name="eNV_1F6D5C60960E4C63BCABE47F098C4C5C_Struct" w:val="§ 1 Nummer 8 Buchstabe b;2;Struktur:1/0/8/2;CheckSums:-1/-1/-1/-1;eNV_1F6D5C60960E4C63BCABE47F098C4C5C_1@@2"/>
    <w:docVar w:name="eNV_231D4CFCFF8546608FB6D92F04783E94_Struct" w:val="§ 1 Nummer 7 Buchstabe a Doppelbuchstabe cc;2;Struktur:1/0/7/1/3;CheckSums:-1/-1/-1/-1/-1;eNV_231D4CFCFF8546608FB6D92F04783E94_1@@2"/>
    <w:docVar w:name="eNV_24CC49E86443434089618C630945645D" w:val="Buchstabe b"/>
    <w:docVar w:name="eNV_24CC49E86443434089618C630945645D_Struct" w:val="Artikel 1 Nummer 11 Buchstabe b;6;Struktur:1/0/11/2;CheckSums:-1/-1/-1/-1;eNV_24CC49E86443434089618C630945645D_1@@2"/>
    <w:docVar w:name="eNV_267A0DEB6626483EAC332C8B0448D0EF_Struct" w:val="Artikel 1 Nummer 12 Buchstabe a Doppelbuchstabe gg;6;Struktur:1/0/12/1/7;CheckSums:-1/-1/-1/-1/-1;eNV_267A0DEB6626483EAC332C8B0448D0EF_1@@2"/>
    <w:docVar w:name="eNV_27AEE0AC75D54CCD9F3BB955CA852702_Struct" w:val="§ 1 Nummer 8 Buchstabe a Doppelbuchstabe aa;2;Struktur:1/0/8/1/1;CheckSums:-1/-1/-1/-1/-1;eNV_27AEE0AC75D54CCD9F3BB955CA852702_1@@2"/>
    <w:docVar w:name="eNV_29284B1D547A47E98251699629F3DEE3" w:val="Nummer 9"/>
    <w:docVar w:name="eNV_29284B1D547A47E98251699629F3DEE3_Struct" w:val="Artikel 1 Nummer 9;6;Struktur:1/0/9;CheckSums:-1/-1/-1;eNV_29284B1D547A47E98251699629F3DEE3_1@@2"/>
    <w:docVar w:name="eNV_297C7DBCBC0C435397C71372043EF364" w:val="Artikel 3"/>
    <w:docVar w:name="eNV_297C7DBCBC0C435397C71372043EF364_Struct" w:val="Artikel 3;6;Struktur:3;CheckSums:-1;eNV_297C7DBCBC0C435397C71372043EF364_1@@2"/>
    <w:docVar w:name="eNV_29AD5E65852C47BF95FC33B581DA0B19_Struct" w:val="Artikel 1 Nummer 12 Buchstabe a Doppelbuchstabe dd;6;Struktur:1/0/12/1/4;CheckSums:-1/-1/-1/-1/-1;eNV_29AD5E65852C47BF95FC33B581DA0B19_1@@2"/>
    <w:docVar w:name="eNV_2BCE328C3D304B96987F664F2198A65D_Struct" w:val="Doppelbuchstabe cc;2;Struktur:-1/-1/-1/-1/3;CheckSums:-1/-1/-1/-1/-1;eNV_2BCE328C3D304B96987F664F2198A65D_1@@2"/>
    <w:docVar w:name="eNV_31BED33C63DE475090F6BD1BC9DD27CE_Struct" w:val="Artikel 1 Nummer 12 Buchstabe a Doppelbuchstabe ff;6;Struktur:1/0/12/1/6;CheckSums:-1/-1/-1/-1/-1;eNV_31BED33C63DE475090F6BD1BC9DD27CE_1@@2"/>
    <w:docVar w:name="eNV_3366BA07B01C4BB885FC04F865B3B389_Struct" w:val="§ 1 Nummer 7 Buchstabe b Doppelbuchstabe aa;2;Struktur:1/0/7/2/1;CheckSums:-1/-1/-1/-1/-1;eNV_3366BA07B01C4BB885FC04F865B3B389_1@@2"/>
    <w:docVar w:name="eNV_34188D8A3806408C8BA25BB72E366894_Struct" w:val="Artikel 1 Nummer 12 Buchstabe a Doppelbuchstabe ee;6;Struktur:1/0/12/1/5;CheckSums:-1/-1/-1/-1/-1;eNV_34188D8A3806408C8BA25BB72E366894_1@@2"/>
    <w:docVar w:name="eNV_41C17A4F7BB54AB098A52DDA63A05590_Struct" w:val="§ 1 Nummer 8 Buchstabe b Doppelbuchstabe bb;2;Struktur:1/0/8/2/2;CheckSums:-1/-1/-1/-1/-1;eNV_41C17A4F7BB54AB098A52DDA63A05590_1@@2"/>
    <w:docVar w:name="eNV_44D982235C3A4125B58FB2DA0C2BAA39" w:val="Nummer 2"/>
    <w:docVar w:name="eNV_44D982235C3A4125B58FB2DA0C2BAA39_Struct" w:val="Artikel 2 Nummer 2;6;Struktur:2/0/2;CheckSums:-1/-1/-1;eNV_44D982235C3A4125B58FB2DA0C2BAA39_1@@2"/>
    <w:docVar w:name="eNV_471994EB723B4F71AA90C130C5146424_Struct" w:val="Artikel 1 Nummer 7 Buchstabe b Doppelbuchstabe aa;6;Struktur:1/0/7/2/1;CheckSums:-1/-1/-1/-1/-1;eNV_471994EB723B4F71AA90C130C5146424_1@@2"/>
    <w:docVar w:name="eNV_4A7EBEDB9F3543CEB939C43226520D4F_Struct" w:val="§ 1 Nummer 7 Buchstabe b;2;Struktur:1/0/7/2;CheckSums:-1/-1/-1/-1;eNV_4A7EBEDB9F3543CEB939C43226520D4F_1@@2"/>
    <w:docVar w:name="eNV_4A91B50ECC074D96BB1CAD826966DB5A" w:val="Buchstabe b"/>
    <w:docVar w:name="eNV_4A91B50ECC074D96BB1CAD826966DB5A_Struct" w:val="Artikel 1 Nummer 1 Buchstabe b;6;Struktur:1/0/1/2;CheckSums:-1/-1/-1/-1;eNV_4A91B50ECC074D96BB1CAD826966DB5A_1@@2"/>
    <w:docVar w:name="eNV_5BBA1CDC6F8D44359317D05BDD97078A_Struct" w:val="§ 1 Nummer 13 Buchstabe c;2;Struktur:1/0/13/3;CheckSums:-1/-1/-1/-1;eNV_5BBA1CDC6F8D44359317D05BDD97078A_1@@2"/>
    <w:docVar w:name="eNV_5CCACD29CC1340CE9BF116D4F03E89B5" w:val="Nummer 14"/>
    <w:docVar w:name="eNV_5CCACD29CC1340CE9BF116D4F03E89B5_Struct" w:val="Artikel 1 Nummer 14;6;Struktur:1/0/14;CheckSums:-1/-1/-1;eNV_5CCACD29CC1340CE9BF116D4F03E89B5_1@@2"/>
    <w:docVar w:name="eNV_5E7D535AE0474E4E9BBC566E352A6BA1_Struct" w:val="§ 1 Nummer 12 Doppelbuchstabe dd;2;Struktur:1/0/12/0/4;CheckSums:-1/-1/-1/-1/-1;eNV_5E7D535AE0474E4E9BBC566E352A6BA1_1@@2"/>
    <w:docVar w:name="eNV_6AF07D16E4F74E28B1FD0B57ED1B8845" w:val="Buchstabe a"/>
    <w:docVar w:name="eNV_6AF07D16E4F74E28B1FD0B57ED1B8845_Struct" w:val="Artikel 1 Nummer 11 Buchstabe a;6;Struktur:1/0/11/1;CheckSums:-1/-1/-1/-1;eNV_6AF07D16E4F74E28B1FD0B57ED1B8845_1@@2"/>
    <w:docVar w:name="eNV_700A2E7A57084117B3C29B338BAA2B44" w:val="Buchstabe a"/>
    <w:docVar w:name="eNV_700A2E7A57084117B3C29B338BAA2B44_Struct" w:val="Artikel 1 Nummer 10 Buchstabe a;6;Struktur:1/0/10/1;CheckSums:-1/-1/-1/-1;eNV_700A2E7A57084117B3C29B338BAA2B44_1@@2"/>
    <w:docVar w:name="eNV_71F13A1D32BE49E4999A0C8B7BD82167" w:val="Nummer 13"/>
    <w:docVar w:name="eNV_71F13A1D32BE49E4999A0C8B7BD82167_Struct" w:val="Artikel 1 Nummer 13;6;Struktur:1/0/13;CheckSums:-1/-1/-1;eNV_71F13A1D32BE49E4999A0C8B7BD82167_1@@2"/>
    <w:docVar w:name="eNV_7D5E16DFA2B24E82B6F8E78E56AD4872_Struct" w:val="§ 1 Nummer 11 Buchstabe a Doppelbuchstabe cc;2;Struktur:1/0/11/1/3;CheckSums:-1/-1/-1/-1/-1;eNV_7D5E16DFA2B24E82B6F8E78E56AD4872_1@@2"/>
    <w:docVar w:name="eNV_8A28E0430EAA4487BAFE235BFEB8A615" w:val="Doppelbuchstabe aa"/>
    <w:docVar w:name="eNV_8A28E0430EAA4487BAFE235BFEB8A615_Struct" w:val="Artikel 1 Nummer 12 Buchstabe a Doppelbuchstabe aa;6;Struktur:1/0/12/1/1;CheckSums:-1/-1/-1/-1/-1;eNV_8A28E0430EAA4487BAFE235BFEB8A615_1@@2"/>
    <w:docVar w:name="eNV_8B35C5566D354308A82C64B4684AFD4C_Struct" w:val="§ 1 Nummer 8 Buchstabe a Doppelbuchstabe bb;2;Struktur:1/0/8/1/2;CheckSums:-1/-1/-1/-1/-1;eNV_8B35C5566D354308A82C64B4684AFD4C_1@@2"/>
    <w:docVar w:name="eNV_8E85AB447C1944409B89B574BDB91660_Struct" w:val="§ 1 Nummer 13 Buchstabe d;2;Struktur:1/0/13/4;CheckSums:-1/-1/-1/-1;eNV_8E85AB447C1944409B89B574BDB91660_1@@2"/>
    <w:docVar w:name="eNV_924C1C4B739E4406882DFC4CB9EC084F" w:val="Nummer 15"/>
    <w:docVar w:name="eNV_924C1C4B739E4406882DFC4CB9EC084F_Struct" w:val="Artikel 1 Nummer 15;6;Struktur:1/0/15;CheckSums:-1/-1/-1;eNV_924C1C4B739E4406882DFC4CB9EC084F_1@@2"/>
    <w:docVar w:name="eNV_99CE60777CA441D0866FE8E4237C6278" w:val="Artikel 2"/>
    <w:docVar w:name="eNV_99CE60777CA441D0866FE8E4237C6278_Struct" w:val="Artikel 2;6;Struktur:2;CheckSums:-1;eNV_99CE60777CA441D0866FE8E4237C6278_1@@2"/>
    <w:docVar w:name="eNV_99EEF5C816DE4C02AF7AE479A867CFD8_Struct" w:val="Artikel 1 Nummer 12 Buchstabe a Doppelbuchstabe aa Dreifachbuchstabe aaa;6;Struktur:1/0/12/1/1/1;CheckSums:-1/-1/-1/-1/-1/-1;eNV_99EEF5C816DE4C02AF7AE479A867CFD8_1@@2"/>
    <w:docVar w:name="eNV_9CAE74EE2FF04736BB5EBB1193F962FC" w:val="Buchstabe a"/>
    <w:docVar w:name="eNV_9CAE74EE2FF04736BB5EBB1193F962FC_Struct" w:val="Artikel 1 Nummer 1 Buchstabe a;6;Struktur:1/0/1/1;CheckSums:-1/-1/-1/-1;eNV_9CAE74EE2FF04736BB5EBB1193F962FC_1@@2"/>
    <w:docVar w:name="eNV_9CEFD052826E4D1BBFC328DDEB36B71D" w:val="Buchstabe a"/>
    <w:docVar w:name="eNV_9CEFD052826E4D1BBFC328DDEB36B71D_Struct" w:val="Artikel 1 Nummer 14 Buchstabe a;6;Struktur:1/0/14/1;CheckSums:-1/-1/-1/-1;eNV_9CEFD052826E4D1BBFC328DDEB36B71D_1@@2"/>
    <w:docVar w:name="eNV_A0202C39B36141DDB7B0DDC5257ED538" w:val="Buchstabe b"/>
    <w:docVar w:name="eNV_A0202C39B36141DDB7B0DDC5257ED538_Struct" w:val="Artikel 1 Nummer 13 Buchstabe b;6;Struktur:1/0/13/2;CheckSums:-1/-1/-1/-1;eNV_A0202C39B36141DDB7B0DDC5257ED538_1@@2"/>
    <w:docVar w:name="eNV_A4C00053FEF04DEDAA64DF97DB4B9768_Struct" w:val="Artikel 1 Nummer 3 Buchstabe a;6;Struktur:1/0/3/1;CheckSums:-1/-1/-1/-1;eNV_A4C00053FEF04DEDAA64DF97DB4B9768_1@@2"/>
    <w:docVar w:name="eNV_A5875FC3AB164C7A898001BA7174BE0E" w:val="Doppelbuchstabe dd"/>
    <w:docVar w:name="eNV_A5875FC3AB164C7A898001BA7174BE0E_Struct" w:val="Artikel 1 Nummer 11 Buchstabe a Doppelbuchstabe dd;6;Struktur:1/0/11/1/4;CheckSums:-1/-1/-1/-1/-1;eNV_A5875FC3AB164C7A898001BA7174BE0E_1@@2"/>
    <w:docVar w:name="eNV_AB6843B867A242F3981DFDC06121F66E" w:val="Nummer 5"/>
    <w:docVar w:name="eNV_AB6843B867A242F3981DFDC06121F66E_Struct" w:val="Artikel 1 Nummer 5;6;Struktur:1/0/5;CheckSums:-1/-1/-1;eNV_AB6843B867A242F3981DFDC06121F66E_1@@2"/>
    <w:docVar w:name="eNV_ADFDFC8BC67D40CA9534EF157F69331E_Struct" w:val="Artikel 1 Nummer 7 Buchstabe a Doppelbuchstabe aa;6;Struktur:1/0/7/1/1;CheckSums:-1/-1/-1/-1/-1;eNV_ADFDFC8BC67D40CA9534EF157F69331E_1@@2"/>
    <w:docVar w:name="eNV_B9DC853076D44E3C830F76DD6AF29CF5" w:val="Nummer 1"/>
    <w:docVar w:name="eNV_B9DC853076D44E3C830F76DD6AF29CF5_Struct" w:val="Artikel 2 Nummer 1;6;Struktur:2/0/1;CheckSums:-1/-1/-1;eNV_B9DC853076D44E3C830F76DD6AF29CF5_1@@2"/>
    <w:docVar w:name="eNV_BA7652AA18AA486DAF08D363610A1F7E_Struct" w:val="§ 1 Nummer 7 Buchstabe a Doppelbuchstabe bb;2;Struktur:1/0/7/1/2;CheckSums:-1/-1/-1/-1/-1;eNV_BA7652AA18AA486DAF08D363610A1F7E_1@@2"/>
    <w:docVar w:name="eNV_BD261607B0CD405787BFBFB78198A831" w:val="Nummer 7"/>
    <w:docVar w:name="eNV_BD261607B0CD405787BFBFB78198A831_Struct" w:val="Artikel 1 Nummer 7;6;Struktur:1/0/7;CheckSums:-1/-1/-1;eNV_BD261607B0CD405787BFBFB78198A831_1@@2"/>
    <w:docVar w:name="eNV_BDE5BD1C4DC74C47A8AA2241B1C54217" w:val="Artikel 1"/>
    <w:docVar w:name="eNV_BDE5BD1C4DC74C47A8AA2241B1C54217_Struct" w:val="Artikel 1;6;Struktur:1;CheckSums:-1;eNV_BDE5BD1C4DC74C47A8AA2241B1C54217_1@@2"/>
    <w:docVar w:name="eNV_BE652C4ACA6A44AFA4C49172EF0CBA9C_Struct" w:val="§ 1 Nummer 7 Buchstabe b Doppelbuchstabe bb;2;Struktur:1/0/7/2/2;CheckSums:-1/-1/-1/-1/-1;eNV_BE652C4ACA6A44AFA4C49172EF0CBA9C_1@@2"/>
    <w:docVar w:name="eNV_BF64DB0639384507AEA7DED5CA1EFBD3" w:val="Buchstabe b"/>
    <w:docVar w:name="eNV_BF64DB0639384507AEA7DED5CA1EFBD3_Struct" w:val="Artikel 1 Nummer 10 Buchstabe b;6;Struktur:1/0/10/2;CheckSums:-1/-1/-1/-1;eNV_BF64DB0639384507AEA7DED5CA1EFBD3_1@@2"/>
    <w:docVar w:name="eNV_C1F363279B604E27A828E818E1F78C01_Struct" w:val="§ 1 Nummer 12 Buchstabe b;2;Struktur:1/0/12/2;CheckSums:-1/-1/-1/-1;eNV_C1F363279B604E27A828E818E1F78C01_1@@2"/>
    <w:docVar w:name="eNV_C72D5E7CC47F45CF9B446D171C293AB0" w:val="Nummer 4"/>
    <w:docVar w:name="eNV_C72D5E7CC47F45CF9B446D171C293AB0_Struct" w:val="Artikel 1 Nummer 4;6;Struktur:1/0/4;CheckSums:-1/-1/-1;eNV_C72D5E7CC47F45CF9B446D171C293AB0_1@@2"/>
    <w:docVar w:name="eNV_CB1639C9E4D64C2EAAD865CF4132CBEA" w:val="Nummer 6"/>
    <w:docVar w:name="eNV_CB1639C9E4D64C2EAAD865CF4132CBEA_Struct" w:val="Artikel 1 Nummer 6;6;Struktur:1/0/6;CheckSums:-1/-1/-1;eNV_CB1639C9E4D64C2EAAD865CF4132CBEA_1@@2"/>
    <w:docVar w:name="eNV_CB3E3D60F6ED49F98976130B15C72462" w:val="Dreifachbuchstabe bbb"/>
    <w:docVar w:name="eNV_CB3E3D60F6ED49F98976130B15C72462_Struct" w:val="Artikel 1 Nummer 10 Buchstabe a Doppelbuchstabe aa Dreifachbuchstabe bbb;6;Struktur:1/0/10/1/1/2;CheckSums:-1/-1/-1/-1/-1/-1;eNV_CB3E3D60F6ED49F98976130B15C72462_1@@2"/>
    <w:docVar w:name="eNV_CBA448FDDD2D474D8D9C651764E41BCC_Struct" w:val="§ 1 Nummer 8 Buchstabe a;2;Struktur:1/0/8/1;CheckSums:-1/-1/-1/-1;eNV_CBA448FDDD2D474D8D9C651764E41BCC_1@@2"/>
    <w:docVar w:name="eNV_CC583A98006C4039B49472D39408159D" w:val="Nummer 3"/>
    <w:docVar w:name="eNV_CC583A98006C4039B49472D39408159D_Struct" w:val="Artikel 1 Nummer 3;6;Struktur:1/0/3;CheckSums:-1/-1/-1;eNV_CC583A98006C4039B49472D39408159D_1@@2"/>
    <w:docVar w:name="eNV_CD39D63F9990467E84DD82D412174201" w:val="Buchstabe b"/>
    <w:docVar w:name="eNV_CD39D63F9990467E84DD82D412174201_Struct" w:val="Artikel 1 Nummer 12 Buchstabe b;6;Struktur:1/0/12/2;CheckSums:-1/-1/-1/-1;eNV_CD39D63F9990467E84DD82D412174201_1@@2"/>
    <w:docVar w:name="eNV_CEF6EF113BA646D39942EB727D75A8F4" w:val="Nummer 1"/>
    <w:docVar w:name="eNV_CEF6EF113BA646D39942EB727D75A8F4_Struct" w:val="Artikel 1 Nummer 1;6;Struktur:1/0/1;CheckSums:-1/-1/-1;eNV_CEF6EF113BA646D39942EB727D75A8F4_1@@2"/>
    <w:docVar w:name="eNV_D4E7CBF7404D4CE4BFB7125B1ADC5CA5_Struct" w:val="§ 1 Nummer 13 Buchstabe a;2;Struktur:1/0/13/1;CheckSums:-1/-1/-1/-1;eNV_D4E7CBF7404D4CE4BFB7125B1ADC5CA5_1@@2"/>
    <w:docVar w:name="eNV_D5E8C67376AA42EA9549E325940EED2C" w:val="Buchstabe a"/>
    <w:docVar w:name="eNV_D5E8C67376AA42EA9549E325940EED2C_Struct" w:val="Artikel 1 Nummer 12 Buchstabe a;6;Struktur:1/0/12/1;CheckSums:-1/-1/-1/-1;eNV_D5E8C67376AA42EA9549E325940EED2C_1@@2"/>
    <w:docVar w:name="eNV_D91ED0A934B244679B7DD4879759DCA1_Struct" w:val="§ 1 Nummer 7 Buchstabe a Doppelbuchstabe aa;2;Struktur:1/0/7/1/1;CheckSums:-1/-1/-1/-1/-1;eNV_D91ED0A934B244679B7DD4879759DCA1_1@@2"/>
    <w:docVar w:name="eNV_DAE31EB644684FBAB36B6CBF9D061C99" w:val="Doppelbuchstabe bb"/>
    <w:docVar w:name="eNV_DAE31EB644684FBAB36B6CBF9D061C99_Struct" w:val="Artikel 1 Nummer 12 Buchstabe a Doppelbuchstabe bb;6;Struktur:1/0/12/1/2;CheckSums:-1/-1/-1/-1/-1;eNV_DAE31EB644684FBAB36B6CBF9D061C99_1@@2"/>
    <w:docVar w:name="eNV_DE93D9C7F6B443F99F1575732F6EA5A1_Struct" w:val="Artikel 1 Nummer 12 Buchstabe a Doppelbuchstabe aa Dreifachbuchstabe ccc;6;Struktur:1/0/12/1/1/3;CheckSums:-1/-1/-1/-1/-1/-1;eNV_DE93D9C7F6B443F99F1575732F6EA5A1_1@@2"/>
    <w:docVar w:name="eNV_DF604488B8994E8E85DA0411327D2181_Struct" w:val="§ 1 Nummer 7 Buchstabe a;2;Struktur:1/0/7/1;CheckSums:-1/-1/-1/-1;eNV_DF604488B8994E8E85DA0411327D2181_1@@2"/>
    <w:docVar w:name="eNV_DF60C261ED8347FEB2C6FD6F9E940639" w:val="Nummer 8"/>
    <w:docVar w:name="eNV_DF60C261ED8347FEB2C6FD6F9E940639_Struct" w:val="Artikel 1 Nummer 8;6;Struktur:1/0/8;CheckSums:-1/-1/-1;eNV_DF60C261ED8347FEB2C6FD6F9E940639_1@@2"/>
    <w:docVar w:name="eNV_E182AE22B9D34B9B86E245E496C33FBD" w:val="Nummer 11"/>
    <w:docVar w:name="eNV_E182AE22B9D34B9B86E245E496C33FBD_Struct" w:val="Artikel 1 Nummer 11;6;Struktur:1/0/11;CheckSums:-1/-1/-1;eNV_E182AE22B9D34B9B86E245E496C33FBD_1@@2"/>
    <w:docVar w:name="eNV_E28FF3FB83DD4C79A4A612DCB5B5C82B" w:val="Doppelbuchstabe aa"/>
    <w:docVar w:name="eNV_E28FF3FB83DD4C79A4A612DCB5B5C82B_Struct" w:val="Artikel 1 Nummer 1 Buchstabe a Doppelbuchstabe aa;6;Struktur:1/0/1/1/1;CheckSums:-1/-1/-1/-1/-1;eNV_E28FF3FB83DD4C79A4A612DCB5B5C82B_1@@2"/>
    <w:docVar w:name="eNV_E9ADB020A73C4A859709B60F4E79313C_Struct" w:val="§ 1 Nummer 8 Buchstabe b Doppelbuchstabe aa;2;Struktur:1/0/8/2/1;CheckSums:-1/-1/-1/-1/-1;eNV_E9ADB020A73C4A859709B60F4E79313C_1@@2"/>
    <w:docVar w:name="eNV_EDD5CECE9E8E4F4596F1F736448D0A1F_Struct" w:val="Artikel 1 Nummer 12 Buchstabe a Doppelbuchstabe aa Dreifachbuchstabe bbb;6;Struktur:1/0/12/1/1/2;CheckSums:-1/-1/-1/-1/-1/-1;eNV_EDD5CECE9E8E4F4596F1F736448D0A1F_1@@2"/>
    <w:docVar w:name="eNV_EE851CFEA74C4A0AA173E4C334AD4C1D_Struct" w:val="Artikel 1 Nummer 3 Buchstabe b;6;Struktur:1/0/3/2;CheckSums:-1/-1/-1/-1;eNV_EE851CFEA74C4A0AA173E4C334AD4C1D_1@@2"/>
    <w:docVar w:name="eNV_EF625305ECEE4AB1812E042763169AED_Struct" w:val="§ 1 Nummer 11 Buchstabe a Doppelbuchstabe dd;2;Struktur:1/0/11/1/4;CheckSums:-1/-1/-1/-1/-1;eNV_EF625305ECEE4AB1812E042763169AED_1@@2"/>
    <w:docVar w:name="eNV_F25B8D7F748740E7A932E4B7FFB739DD" w:val="Doppelbuchstabe hh"/>
    <w:docVar w:name="eNV_F25B8D7F748740E7A932E4B7FFB739DD_Struct" w:val="Artikel 1 Nummer 12 Buchstabe a Doppelbuchstabe hh;6;Struktur:1/0/12/1/8;CheckSums:-1/-1/-1/-1/-1;eNV_F25B8D7F748740E7A932E4B7FFB739DD_1@@2"/>
    <w:docVar w:name="eNV_F30973858F6C486FB9B6758F25C6CC6D_Struct" w:val="Artikel 1 Nummer 12 Buchstabe a;6;Struktur:1/0/12/1/0;CheckSums:-1/-1/-1/-1/-1;eNV_F30973858F6C486FB9B6758F25C6CC6D_1@@2"/>
    <w:docVar w:name="eNV_F3B11589D89740BDB05AEB7D8ADBBB52" w:val="Buchstabe b"/>
    <w:docVar w:name="eNV_F3B11589D89740BDB05AEB7D8ADBBB52_Struct" w:val="Artikel 1 Nummer 14 Buchstabe b;6;Struktur:1/0/14/2;CheckSums:-1/-1/-1/-1;eNV_F3B11589D89740BDB05AEB7D8ADBBB52_1@@2"/>
    <w:docVar w:name="eNV_F626649796A047169761B1EADD38409A_Struct" w:val="Nummer 3;2;Struktur:-1/-1/3;CheckSums:-1/-1/-1;eNV_F626649796A047169761B1EADD38409A_1@@2"/>
    <w:docVar w:name="eNV_F7403DE77B46418585AF98992AF393DB" w:val="Nummer 2"/>
    <w:docVar w:name="eNV_F7403DE77B46418585AF98992AF393DB_Struct" w:val="Artikel 1 Nummer 2;6;Struktur:1/0/2;CheckSums:-1/-1/-1;eNV_F7403DE77B46418585AF98992AF393DB_1@@2"/>
    <w:docVar w:name="eNV_F86A28B5F8CE4559B46C8CDFA675F014" w:val="Nummer 12"/>
    <w:docVar w:name="eNV_F86A28B5F8CE4559B46C8CDFA675F014_Struct" w:val="Artikel 1 Nummer 12;6;Struktur:1/0/12;CheckSums:-1/-1/-1;eNV_F86A28B5F8CE4559B46C8CDFA675F014_1@@2"/>
    <w:docVar w:name="eNV_FA4EAF139CC4444FA7BD1E2A430836C8" w:val="Buchstabe a"/>
    <w:docVar w:name="eNV_FA4EAF139CC4444FA7BD1E2A430836C8_Struct" w:val="Artikel 1 Nummer 13 Buchstabe a;6;Struktur:1/0/13/1;CheckSums:-1/-1/-1/-1;eNV_FA4EAF139CC4444FA7BD1E2A430836C8_1@@2"/>
    <w:docVar w:name="eNV_FC92ED3ADF9741B6B15C10F5892EC569_Struct" w:val="§ 1 Nummer 12 Doppelbuchstabe ee;2;Struktur:1/0/12/0/5;CheckSums:-1/-1/-1/-1/-1;eNV_FC92ED3ADF9741B6B15C10F5892EC569_1@@2"/>
    <w:docVar w:name="eNV_FE891968B57D44878BDEB9695C6C9239" w:val="Doppelbuchstabe cc"/>
    <w:docVar w:name="eNV_FE891968B57D44878BDEB9695C6C9239_Struct" w:val="Artikel 1 Nummer 12 Buchstabe a Doppelbuchstabe cc;6;Struktur:1/0/12/1/3;CheckSums:-1/-1/-1/-1/-1;eNV_FE891968B57D44878BDEB9695C6C9239_1@@2"/>
    <w:docVar w:name="eNV_FEA489147BEF43C1A5340A20A9B9B7D7" w:val="Doppelbuchstabe aa"/>
    <w:docVar w:name="eNV_FEA489147BEF43C1A5340A20A9B9B7D7_Struct" w:val="Artikel 1 Nummer 10 Buchstabe a Doppelbuchstabe aa;6;Struktur:1/0/10/1/1;CheckSums:-1/-1/-1/-1/-1;eNV_FEA489147BEF43C1A5340A20A9B9B7D7_1@@2"/>
    <w:docVar w:name="eNV_FF66C108BAF446798228FBA1D953FDBA_Struct" w:val="§ 1 Nummer 12 Buchstabe a Doppelbuchstabe cc;2;Struktur:1/0/12/1/3;CheckSums:-1/-1/-1/-1/-1;eNV_FF66C108BAF446798228FBA1D953FDBA_1@@2"/>
    <w:docVar w:name="LW_DocType" w:val="AENDER"/>
    <w:docVar w:name="LWCons_Langue" w:val="DE"/>
  </w:docVars>
  <w:rsids>
    <w:rsidRoot w:val="004705E2"/>
    <w:rsid w:val="0000050F"/>
    <w:rsid w:val="00000A0E"/>
    <w:rsid w:val="0000100D"/>
    <w:rsid w:val="00001542"/>
    <w:rsid w:val="0000288B"/>
    <w:rsid w:val="0000316B"/>
    <w:rsid w:val="000035C1"/>
    <w:rsid w:val="000037FF"/>
    <w:rsid w:val="0000431D"/>
    <w:rsid w:val="0000456D"/>
    <w:rsid w:val="00004F52"/>
    <w:rsid w:val="000135A7"/>
    <w:rsid w:val="00014477"/>
    <w:rsid w:val="00014FEE"/>
    <w:rsid w:val="00016325"/>
    <w:rsid w:val="0001635D"/>
    <w:rsid w:val="0002015B"/>
    <w:rsid w:val="00020330"/>
    <w:rsid w:val="00021DF5"/>
    <w:rsid w:val="000226C1"/>
    <w:rsid w:val="000251B7"/>
    <w:rsid w:val="00025B89"/>
    <w:rsid w:val="00030336"/>
    <w:rsid w:val="00030FB5"/>
    <w:rsid w:val="000310F4"/>
    <w:rsid w:val="00031363"/>
    <w:rsid w:val="00032CD8"/>
    <w:rsid w:val="00032CDD"/>
    <w:rsid w:val="000333D2"/>
    <w:rsid w:val="000339AF"/>
    <w:rsid w:val="00034160"/>
    <w:rsid w:val="0003416E"/>
    <w:rsid w:val="00034D4D"/>
    <w:rsid w:val="00034DCD"/>
    <w:rsid w:val="0003646A"/>
    <w:rsid w:val="0004027E"/>
    <w:rsid w:val="00043965"/>
    <w:rsid w:val="00043F0D"/>
    <w:rsid w:val="0004520F"/>
    <w:rsid w:val="00045823"/>
    <w:rsid w:val="00045F6D"/>
    <w:rsid w:val="0004692B"/>
    <w:rsid w:val="000475B8"/>
    <w:rsid w:val="00047BA1"/>
    <w:rsid w:val="00047F33"/>
    <w:rsid w:val="0005174F"/>
    <w:rsid w:val="000526F0"/>
    <w:rsid w:val="00052A0D"/>
    <w:rsid w:val="0005413E"/>
    <w:rsid w:val="00054475"/>
    <w:rsid w:val="00055193"/>
    <w:rsid w:val="00055A1D"/>
    <w:rsid w:val="00056263"/>
    <w:rsid w:val="00056DE4"/>
    <w:rsid w:val="00057336"/>
    <w:rsid w:val="00057E52"/>
    <w:rsid w:val="00060927"/>
    <w:rsid w:val="00063C98"/>
    <w:rsid w:val="00063E37"/>
    <w:rsid w:val="00066C91"/>
    <w:rsid w:val="00070B13"/>
    <w:rsid w:val="00071892"/>
    <w:rsid w:val="000720B4"/>
    <w:rsid w:val="00072523"/>
    <w:rsid w:val="00075097"/>
    <w:rsid w:val="00075BBB"/>
    <w:rsid w:val="0008360C"/>
    <w:rsid w:val="0008363A"/>
    <w:rsid w:val="000856B5"/>
    <w:rsid w:val="000862E2"/>
    <w:rsid w:val="00087852"/>
    <w:rsid w:val="00087DA6"/>
    <w:rsid w:val="00091369"/>
    <w:rsid w:val="00095151"/>
    <w:rsid w:val="00095690"/>
    <w:rsid w:val="0009689E"/>
    <w:rsid w:val="000A124C"/>
    <w:rsid w:val="000A192B"/>
    <w:rsid w:val="000A28CD"/>
    <w:rsid w:val="000A2EE3"/>
    <w:rsid w:val="000A32C3"/>
    <w:rsid w:val="000A3748"/>
    <w:rsid w:val="000A458C"/>
    <w:rsid w:val="000A4A16"/>
    <w:rsid w:val="000A5B2A"/>
    <w:rsid w:val="000A6D4E"/>
    <w:rsid w:val="000B1962"/>
    <w:rsid w:val="000B257A"/>
    <w:rsid w:val="000B2725"/>
    <w:rsid w:val="000B2F65"/>
    <w:rsid w:val="000B3642"/>
    <w:rsid w:val="000B3B78"/>
    <w:rsid w:val="000B450B"/>
    <w:rsid w:val="000B5B4F"/>
    <w:rsid w:val="000B6526"/>
    <w:rsid w:val="000B719A"/>
    <w:rsid w:val="000C3068"/>
    <w:rsid w:val="000C32DC"/>
    <w:rsid w:val="000C571F"/>
    <w:rsid w:val="000C6A92"/>
    <w:rsid w:val="000C74A4"/>
    <w:rsid w:val="000D52D0"/>
    <w:rsid w:val="000D6C0F"/>
    <w:rsid w:val="000D7C86"/>
    <w:rsid w:val="000E1C4B"/>
    <w:rsid w:val="000E1FB7"/>
    <w:rsid w:val="000E379E"/>
    <w:rsid w:val="000E54A3"/>
    <w:rsid w:val="000E6544"/>
    <w:rsid w:val="000F00A7"/>
    <w:rsid w:val="000F0E2A"/>
    <w:rsid w:val="000F0F82"/>
    <w:rsid w:val="000F176C"/>
    <w:rsid w:val="000F3746"/>
    <w:rsid w:val="000F4E7A"/>
    <w:rsid w:val="000F59F4"/>
    <w:rsid w:val="000F7856"/>
    <w:rsid w:val="00101026"/>
    <w:rsid w:val="001010D6"/>
    <w:rsid w:val="00102ED6"/>
    <w:rsid w:val="0010567E"/>
    <w:rsid w:val="00106387"/>
    <w:rsid w:val="00107C99"/>
    <w:rsid w:val="001100AC"/>
    <w:rsid w:val="001102BD"/>
    <w:rsid w:val="0011240F"/>
    <w:rsid w:val="0011251F"/>
    <w:rsid w:val="001158D5"/>
    <w:rsid w:val="00116DFA"/>
    <w:rsid w:val="001179E1"/>
    <w:rsid w:val="00117FDD"/>
    <w:rsid w:val="001203C5"/>
    <w:rsid w:val="001205F9"/>
    <w:rsid w:val="00120830"/>
    <w:rsid w:val="001208F2"/>
    <w:rsid w:val="001226FC"/>
    <w:rsid w:val="001239F6"/>
    <w:rsid w:val="0012563E"/>
    <w:rsid w:val="00125DF7"/>
    <w:rsid w:val="001267DF"/>
    <w:rsid w:val="00126C95"/>
    <w:rsid w:val="00127749"/>
    <w:rsid w:val="00133BBD"/>
    <w:rsid w:val="00133FD2"/>
    <w:rsid w:val="0013400C"/>
    <w:rsid w:val="001340D6"/>
    <w:rsid w:val="001357B0"/>
    <w:rsid w:val="0013639E"/>
    <w:rsid w:val="00136D86"/>
    <w:rsid w:val="00140C96"/>
    <w:rsid w:val="00141E4F"/>
    <w:rsid w:val="0014584C"/>
    <w:rsid w:val="001461A2"/>
    <w:rsid w:val="00146D53"/>
    <w:rsid w:val="00152334"/>
    <w:rsid w:val="00155FAC"/>
    <w:rsid w:val="00156BA8"/>
    <w:rsid w:val="00156C7F"/>
    <w:rsid w:val="00156FE5"/>
    <w:rsid w:val="001601F9"/>
    <w:rsid w:val="00162A64"/>
    <w:rsid w:val="001636B4"/>
    <w:rsid w:val="00170381"/>
    <w:rsid w:val="001708D5"/>
    <w:rsid w:val="00171203"/>
    <w:rsid w:val="00171317"/>
    <w:rsid w:val="001718D7"/>
    <w:rsid w:val="0017276B"/>
    <w:rsid w:val="0017331B"/>
    <w:rsid w:val="00173A26"/>
    <w:rsid w:val="00173ACC"/>
    <w:rsid w:val="001818D1"/>
    <w:rsid w:val="00181E1E"/>
    <w:rsid w:val="001822DE"/>
    <w:rsid w:val="0018238B"/>
    <w:rsid w:val="00182F98"/>
    <w:rsid w:val="00186417"/>
    <w:rsid w:val="00187055"/>
    <w:rsid w:val="001874C1"/>
    <w:rsid w:val="00190F75"/>
    <w:rsid w:val="00191A08"/>
    <w:rsid w:val="00191EEB"/>
    <w:rsid w:val="00192A28"/>
    <w:rsid w:val="0019346E"/>
    <w:rsid w:val="00194E50"/>
    <w:rsid w:val="001952F5"/>
    <w:rsid w:val="00195652"/>
    <w:rsid w:val="0019778C"/>
    <w:rsid w:val="00197B8D"/>
    <w:rsid w:val="001A39E7"/>
    <w:rsid w:val="001A434B"/>
    <w:rsid w:val="001A4424"/>
    <w:rsid w:val="001A4CD5"/>
    <w:rsid w:val="001A5741"/>
    <w:rsid w:val="001A60FF"/>
    <w:rsid w:val="001A76A7"/>
    <w:rsid w:val="001B7BD7"/>
    <w:rsid w:val="001C01E4"/>
    <w:rsid w:val="001C0EA5"/>
    <w:rsid w:val="001C1978"/>
    <w:rsid w:val="001C24B6"/>
    <w:rsid w:val="001C3904"/>
    <w:rsid w:val="001C3FE1"/>
    <w:rsid w:val="001C4753"/>
    <w:rsid w:val="001C5522"/>
    <w:rsid w:val="001D046D"/>
    <w:rsid w:val="001D1DEE"/>
    <w:rsid w:val="001D39CE"/>
    <w:rsid w:val="001D686E"/>
    <w:rsid w:val="001D7536"/>
    <w:rsid w:val="001E020B"/>
    <w:rsid w:val="001E090D"/>
    <w:rsid w:val="001E1AFE"/>
    <w:rsid w:val="001E32F3"/>
    <w:rsid w:val="001E4546"/>
    <w:rsid w:val="001E655B"/>
    <w:rsid w:val="001E659A"/>
    <w:rsid w:val="001E76F5"/>
    <w:rsid w:val="001E7F50"/>
    <w:rsid w:val="001F0DC2"/>
    <w:rsid w:val="001F1E3A"/>
    <w:rsid w:val="001F2E91"/>
    <w:rsid w:val="001F2F20"/>
    <w:rsid w:val="001F550D"/>
    <w:rsid w:val="001F7C2E"/>
    <w:rsid w:val="0020080C"/>
    <w:rsid w:val="00203ED8"/>
    <w:rsid w:val="0020652B"/>
    <w:rsid w:val="0021276C"/>
    <w:rsid w:val="00213B81"/>
    <w:rsid w:val="0021442E"/>
    <w:rsid w:val="00214548"/>
    <w:rsid w:val="00215086"/>
    <w:rsid w:val="0022007B"/>
    <w:rsid w:val="0022030F"/>
    <w:rsid w:val="0022059B"/>
    <w:rsid w:val="0022088A"/>
    <w:rsid w:val="00220B67"/>
    <w:rsid w:val="00221BB8"/>
    <w:rsid w:val="00223834"/>
    <w:rsid w:val="0022502C"/>
    <w:rsid w:val="002251CA"/>
    <w:rsid w:val="002266A8"/>
    <w:rsid w:val="00227350"/>
    <w:rsid w:val="00227794"/>
    <w:rsid w:val="00227D94"/>
    <w:rsid w:val="00230A62"/>
    <w:rsid w:val="00233A5C"/>
    <w:rsid w:val="00234D04"/>
    <w:rsid w:val="002416FE"/>
    <w:rsid w:val="002423F2"/>
    <w:rsid w:val="0024336E"/>
    <w:rsid w:val="002479F8"/>
    <w:rsid w:val="0025139D"/>
    <w:rsid w:val="00252101"/>
    <w:rsid w:val="002559CD"/>
    <w:rsid w:val="00255DB5"/>
    <w:rsid w:val="002563FB"/>
    <w:rsid w:val="00257896"/>
    <w:rsid w:val="002609F2"/>
    <w:rsid w:val="00261D9D"/>
    <w:rsid w:val="00261E19"/>
    <w:rsid w:val="00263284"/>
    <w:rsid w:val="00263856"/>
    <w:rsid w:val="0026435F"/>
    <w:rsid w:val="002673BA"/>
    <w:rsid w:val="002703AA"/>
    <w:rsid w:val="00272515"/>
    <w:rsid w:val="00274D4E"/>
    <w:rsid w:val="0027501D"/>
    <w:rsid w:val="0027594F"/>
    <w:rsid w:val="00280BC8"/>
    <w:rsid w:val="002823DD"/>
    <w:rsid w:val="002830FD"/>
    <w:rsid w:val="00283C00"/>
    <w:rsid w:val="00284713"/>
    <w:rsid w:val="00286584"/>
    <w:rsid w:val="002876B7"/>
    <w:rsid w:val="00290A84"/>
    <w:rsid w:val="00290C43"/>
    <w:rsid w:val="00292D7E"/>
    <w:rsid w:val="00294063"/>
    <w:rsid w:val="002945CF"/>
    <w:rsid w:val="0029562D"/>
    <w:rsid w:val="00296B6B"/>
    <w:rsid w:val="0029727F"/>
    <w:rsid w:val="002A043B"/>
    <w:rsid w:val="002A1AAE"/>
    <w:rsid w:val="002A46EC"/>
    <w:rsid w:val="002B005F"/>
    <w:rsid w:val="002B00AB"/>
    <w:rsid w:val="002B114B"/>
    <w:rsid w:val="002B2952"/>
    <w:rsid w:val="002B5232"/>
    <w:rsid w:val="002B605B"/>
    <w:rsid w:val="002B6FAC"/>
    <w:rsid w:val="002C10F4"/>
    <w:rsid w:val="002C2ED7"/>
    <w:rsid w:val="002C3008"/>
    <w:rsid w:val="002C3C5B"/>
    <w:rsid w:val="002C527A"/>
    <w:rsid w:val="002C5439"/>
    <w:rsid w:val="002C6588"/>
    <w:rsid w:val="002C7F95"/>
    <w:rsid w:val="002D0E07"/>
    <w:rsid w:val="002D10CE"/>
    <w:rsid w:val="002D250F"/>
    <w:rsid w:val="002D3C6B"/>
    <w:rsid w:val="002D5EC3"/>
    <w:rsid w:val="002D6682"/>
    <w:rsid w:val="002D79F3"/>
    <w:rsid w:val="002D7A0A"/>
    <w:rsid w:val="002D7E17"/>
    <w:rsid w:val="002E0F10"/>
    <w:rsid w:val="002E4120"/>
    <w:rsid w:val="002E4C48"/>
    <w:rsid w:val="002E570B"/>
    <w:rsid w:val="002E783F"/>
    <w:rsid w:val="002E7F44"/>
    <w:rsid w:val="002F0BCD"/>
    <w:rsid w:val="002F0F40"/>
    <w:rsid w:val="002F1CD7"/>
    <w:rsid w:val="002F4BEE"/>
    <w:rsid w:val="002F6370"/>
    <w:rsid w:val="00300090"/>
    <w:rsid w:val="003011E1"/>
    <w:rsid w:val="00301ECB"/>
    <w:rsid w:val="00302A79"/>
    <w:rsid w:val="00302B08"/>
    <w:rsid w:val="00303766"/>
    <w:rsid w:val="00306900"/>
    <w:rsid w:val="00310DAC"/>
    <w:rsid w:val="00311823"/>
    <w:rsid w:val="003137FB"/>
    <w:rsid w:val="00313BFD"/>
    <w:rsid w:val="00313DAF"/>
    <w:rsid w:val="00314431"/>
    <w:rsid w:val="00314AC3"/>
    <w:rsid w:val="00314EB5"/>
    <w:rsid w:val="00316C14"/>
    <w:rsid w:val="00317A14"/>
    <w:rsid w:val="00320144"/>
    <w:rsid w:val="0032091A"/>
    <w:rsid w:val="00321BC0"/>
    <w:rsid w:val="00322045"/>
    <w:rsid w:val="003238F7"/>
    <w:rsid w:val="00323C0C"/>
    <w:rsid w:val="00324B16"/>
    <w:rsid w:val="00325838"/>
    <w:rsid w:val="00327D12"/>
    <w:rsid w:val="00330794"/>
    <w:rsid w:val="00331628"/>
    <w:rsid w:val="00334B14"/>
    <w:rsid w:val="003364F1"/>
    <w:rsid w:val="00340937"/>
    <w:rsid w:val="00341200"/>
    <w:rsid w:val="0034228B"/>
    <w:rsid w:val="00343B7C"/>
    <w:rsid w:val="00344485"/>
    <w:rsid w:val="003444ED"/>
    <w:rsid w:val="003448EA"/>
    <w:rsid w:val="00345232"/>
    <w:rsid w:val="0034539C"/>
    <w:rsid w:val="003459D1"/>
    <w:rsid w:val="003506D2"/>
    <w:rsid w:val="003517C3"/>
    <w:rsid w:val="00351B67"/>
    <w:rsid w:val="003543EF"/>
    <w:rsid w:val="0035490B"/>
    <w:rsid w:val="00354CA4"/>
    <w:rsid w:val="00357943"/>
    <w:rsid w:val="00357B55"/>
    <w:rsid w:val="00357F73"/>
    <w:rsid w:val="00360398"/>
    <w:rsid w:val="0036325B"/>
    <w:rsid w:val="00364100"/>
    <w:rsid w:val="003646A0"/>
    <w:rsid w:val="0036549C"/>
    <w:rsid w:val="00366471"/>
    <w:rsid w:val="00372E31"/>
    <w:rsid w:val="00374B9F"/>
    <w:rsid w:val="003758D8"/>
    <w:rsid w:val="00375C5A"/>
    <w:rsid w:val="00376055"/>
    <w:rsid w:val="00376FAB"/>
    <w:rsid w:val="0037746B"/>
    <w:rsid w:val="00377C34"/>
    <w:rsid w:val="00384F98"/>
    <w:rsid w:val="00385B33"/>
    <w:rsid w:val="00385CDD"/>
    <w:rsid w:val="00387A5C"/>
    <w:rsid w:val="00391177"/>
    <w:rsid w:val="00391B62"/>
    <w:rsid w:val="00391E8B"/>
    <w:rsid w:val="00391FDD"/>
    <w:rsid w:val="0039204C"/>
    <w:rsid w:val="00392DD6"/>
    <w:rsid w:val="003936B6"/>
    <w:rsid w:val="003941B8"/>
    <w:rsid w:val="003943E7"/>
    <w:rsid w:val="003956AA"/>
    <w:rsid w:val="00395A86"/>
    <w:rsid w:val="00395DE4"/>
    <w:rsid w:val="00396276"/>
    <w:rsid w:val="00396DB7"/>
    <w:rsid w:val="003976D6"/>
    <w:rsid w:val="003A06B1"/>
    <w:rsid w:val="003A199E"/>
    <w:rsid w:val="003A1E19"/>
    <w:rsid w:val="003A1FE0"/>
    <w:rsid w:val="003A2ADF"/>
    <w:rsid w:val="003A2DB8"/>
    <w:rsid w:val="003A30CF"/>
    <w:rsid w:val="003A392E"/>
    <w:rsid w:val="003A4BEB"/>
    <w:rsid w:val="003A58EE"/>
    <w:rsid w:val="003A624A"/>
    <w:rsid w:val="003A6C1F"/>
    <w:rsid w:val="003A70ED"/>
    <w:rsid w:val="003A7756"/>
    <w:rsid w:val="003B0603"/>
    <w:rsid w:val="003B0D9A"/>
    <w:rsid w:val="003B130E"/>
    <w:rsid w:val="003B2C1E"/>
    <w:rsid w:val="003B37E2"/>
    <w:rsid w:val="003B51B1"/>
    <w:rsid w:val="003B5D00"/>
    <w:rsid w:val="003B729A"/>
    <w:rsid w:val="003B7CBF"/>
    <w:rsid w:val="003C1620"/>
    <w:rsid w:val="003C18B4"/>
    <w:rsid w:val="003C4864"/>
    <w:rsid w:val="003C4E72"/>
    <w:rsid w:val="003C583E"/>
    <w:rsid w:val="003C687B"/>
    <w:rsid w:val="003C6E4B"/>
    <w:rsid w:val="003D008B"/>
    <w:rsid w:val="003D0819"/>
    <w:rsid w:val="003D54F7"/>
    <w:rsid w:val="003D664C"/>
    <w:rsid w:val="003D68D9"/>
    <w:rsid w:val="003E0860"/>
    <w:rsid w:val="003E22AD"/>
    <w:rsid w:val="003E4216"/>
    <w:rsid w:val="003E6EC6"/>
    <w:rsid w:val="003F05E3"/>
    <w:rsid w:val="003F1199"/>
    <w:rsid w:val="003F12AC"/>
    <w:rsid w:val="003F1A05"/>
    <w:rsid w:val="003F272A"/>
    <w:rsid w:val="003F2F2D"/>
    <w:rsid w:val="003F4D5D"/>
    <w:rsid w:val="003F4E00"/>
    <w:rsid w:val="003F5274"/>
    <w:rsid w:val="003F5C90"/>
    <w:rsid w:val="003F73E2"/>
    <w:rsid w:val="003F7942"/>
    <w:rsid w:val="004007EB"/>
    <w:rsid w:val="0040295E"/>
    <w:rsid w:val="00405556"/>
    <w:rsid w:val="004063AE"/>
    <w:rsid w:val="004114F4"/>
    <w:rsid w:val="00412611"/>
    <w:rsid w:val="00412944"/>
    <w:rsid w:val="00412E5E"/>
    <w:rsid w:val="00413A48"/>
    <w:rsid w:val="00413D2B"/>
    <w:rsid w:val="0041614D"/>
    <w:rsid w:val="00420CDE"/>
    <w:rsid w:val="004213CE"/>
    <w:rsid w:val="004232AA"/>
    <w:rsid w:val="00423C1D"/>
    <w:rsid w:val="0042408C"/>
    <w:rsid w:val="00425352"/>
    <w:rsid w:val="00426A50"/>
    <w:rsid w:val="00427E8D"/>
    <w:rsid w:val="00433061"/>
    <w:rsid w:val="004346DE"/>
    <w:rsid w:val="00435E11"/>
    <w:rsid w:val="00437059"/>
    <w:rsid w:val="004374AC"/>
    <w:rsid w:val="00443370"/>
    <w:rsid w:val="004443DB"/>
    <w:rsid w:val="004450EB"/>
    <w:rsid w:val="00446A95"/>
    <w:rsid w:val="00446EFE"/>
    <w:rsid w:val="00447576"/>
    <w:rsid w:val="00447D8A"/>
    <w:rsid w:val="0045099A"/>
    <w:rsid w:val="004512AA"/>
    <w:rsid w:val="00452165"/>
    <w:rsid w:val="00452490"/>
    <w:rsid w:val="0045280E"/>
    <w:rsid w:val="00452B23"/>
    <w:rsid w:val="00453466"/>
    <w:rsid w:val="0045492C"/>
    <w:rsid w:val="0045583F"/>
    <w:rsid w:val="00455C81"/>
    <w:rsid w:val="00455E87"/>
    <w:rsid w:val="00456D6B"/>
    <w:rsid w:val="00460505"/>
    <w:rsid w:val="00460E2D"/>
    <w:rsid w:val="00462AD7"/>
    <w:rsid w:val="0046534F"/>
    <w:rsid w:val="00465D99"/>
    <w:rsid w:val="00466F95"/>
    <w:rsid w:val="004705E2"/>
    <w:rsid w:val="00470EE0"/>
    <w:rsid w:val="004718DF"/>
    <w:rsid w:val="00472043"/>
    <w:rsid w:val="00473D89"/>
    <w:rsid w:val="00475621"/>
    <w:rsid w:val="00476265"/>
    <w:rsid w:val="00477AE4"/>
    <w:rsid w:val="00480DA9"/>
    <w:rsid w:val="00485123"/>
    <w:rsid w:val="00485139"/>
    <w:rsid w:val="00486DC7"/>
    <w:rsid w:val="00486F92"/>
    <w:rsid w:val="00486FC9"/>
    <w:rsid w:val="00487BE7"/>
    <w:rsid w:val="00491B7A"/>
    <w:rsid w:val="004927E0"/>
    <w:rsid w:val="00492956"/>
    <w:rsid w:val="00493D73"/>
    <w:rsid w:val="004960D8"/>
    <w:rsid w:val="004971BB"/>
    <w:rsid w:val="00497B9E"/>
    <w:rsid w:val="00497D90"/>
    <w:rsid w:val="004A2275"/>
    <w:rsid w:val="004A24C5"/>
    <w:rsid w:val="004A4F08"/>
    <w:rsid w:val="004A5514"/>
    <w:rsid w:val="004A5602"/>
    <w:rsid w:val="004A7726"/>
    <w:rsid w:val="004A7A21"/>
    <w:rsid w:val="004B0E83"/>
    <w:rsid w:val="004B1123"/>
    <w:rsid w:val="004B505D"/>
    <w:rsid w:val="004B7234"/>
    <w:rsid w:val="004C04FE"/>
    <w:rsid w:val="004C4040"/>
    <w:rsid w:val="004C47E5"/>
    <w:rsid w:val="004C5393"/>
    <w:rsid w:val="004C5600"/>
    <w:rsid w:val="004D0A61"/>
    <w:rsid w:val="004D1AB5"/>
    <w:rsid w:val="004D2226"/>
    <w:rsid w:val="004D334A"/>
    <w:rsid w:val="004D5A7F"/>
    <w:rsid w:val="004D7B48"/>
    <w:rsid w:val="004E097E"/>
    <w:rsid w:val="004E25D3"/>
    <w:rsid w:val="004E48B2"/>
    <w:rsid w:val="004E490F"/>
    <w:rsid w:val="004E4B39"/>
    <w:rsid w:val="004E4D4B"/>
    <w:rsid w:val="004E50A2"/>
    <w:rsid w:val="004E5329"/>
    <w:rsid w:val="004E5DDE"/>
    <w:rsid w:val="004E77D6"/>
    <w:rsid w:val="004F0F6D"/>
    <w:rsid w:val="004F1D0E"/>
    <w:rsid w:val="004F1ECA"/>
    <w:rsid w:val="004F26E4"/>
    <w:rsid w:val="004F2AFE"/>
    <w:rsid w:val="004F3A17"/>
    <w:rsid w:val="004F5319"/>
    <w:rsid w:val="004F57A5"/>
    <w:rsid w:val="004F594E"/>
    <w:rsid w:val="004F59B9"/>
    <w:rsid w:val="004F5C68"/>
    <w:rsid w:val="004F7136"/>
    <w:rsid w:val="00500298"/>
    <w:rsid w:val="00500884"/>
    <w:rsid w:val="0050178F"/>
    <w:rsid w:val="00501BBC"/>
    <w:rsid w:val="0050223E"/>
    <w:rsid w:val="00502B42"/>
    <w:rsid w:val="00503FFE"/>
    <w:rsid w:val="0050434B"/>
    <w:rsid w:val="0050530C"/>
    <w:rsid w:val="00510185"/>
    <w:rsid w:val="00510CD6"/>
    <w:rsid w:val="0051192E"/>
    <w:rsid w:val="0051447E"/>
    <w:rsid w:val="00515A6D"/>
    <w:rsid w:val="00515B80"/>
    <w:rsid w:val="005174F8"/>
    <w:rsid w:val="00517A63"/>
    <w:rsid w:val="0052114B"/>
    <w:rsid w:val="00522486"/>
    <w:rsid w:val="00522F26"/>
    <w:rsid w:val="005234C2"/>
    <w:rsid w:val="005244D7"/>
    <w:rsid w:val="0052549C"/>
    <w:rsid w:val="005256F7"/>
    <w:rsid w:val="00532C70"/>
    <w:rsid w:val="00533DDD"/>
    <w:rsid w:val="00534074"/>
    <w:rsid w:val="00534D1E"/>
    <w:rsid w:val="005354E9"/>
    <w:rsid w:val="00537455"/>
    <w:rsid w:val="005376C1"/>
    <w:rsid w:val="005379A9"/>
    <w:rsid w:val="00540E57"/>
    <w:rsid w:val="00541EC0"/>
    <w:rsid w:val="00542223"/>
    <w:rsid w:val="00551751"/>
    <w:rsid w:val="00552FB2"/>
    <w:rsid w:val="00560469"/>
    <w:rsid w:val="005608A0"/>
    <w:rsid w:val="005608B6"/>
    <w:rsid w:val="0056158E"/>
    <w:rsid w:val="005702DB"/>
    <w:rsid w:val="00571DE1"/>
    <w:rsid w:val="00573732"/>
    <w:rsid w:val="0057793C"/>
    <w:rsid w:val="00581470"/>
    <w:rsid w:val="00581AB6"/>
    <w:rsid w:val="00582578"/>
    <w:rsid w:val="00583AA2"/>
    <w:rsid w:val="005846A7"/>
    <w:rsid w:val="005847E9"/>
    <w:rsid w:val="00585857"/>
    <w:rsid w:val="00586515"/>
    <w:rsid w:val="00586994"/>
    <w:rsid w:val="0058727C"/>
    <w:rsid w:val="00587703"/>
    <w:rsid w:val="0059024C"/>
    <w:rsid w:val="005912F6"/>
    <w:rsid w:val="005913F8"/>
    <w:rsid w:val="005923BB"/>
    <w:rsid w:val="0059766D"/>
    <w:rsid w:val="005A0337"/>
    <w:rsid w:val="005A1E4A"/>
    <w:rsid w:val="005A3B0C"/>
    <w:rsid w:val="005A55CF"/>
    <w:rsid w:val="005B14FB"/>
    <w:rsid w:val="005B4931"/>
    <w:rsid w:val="005B5A3F"/>
    <w:rsid w:val="005B74AD"/>
    <w:rsid w:val="005C1D72"/>
    <w:rsid w:val="005C389B"/>
    <w:rsid w:val="005C54D7"/>
    <w:rsid w:val="005C61C5"/>
    <w:rsid w:val="005D01CB"/>
    <w:rsid w:val="005D12E7"/>
    <w:rsid w:val="005D1540"/>
    <w:rsid w:val="005D1E01"/>
    <w:rsid w:val="005D2545"/>
    <w:rsid w:val="005D5506"/>
    <w:rsid w:val="005D694F"/>
    <w:rsid w:val="005D6AAE"/>
    <w:rsid w:val="005D7F81"/>
    <w:rsid w:val="005E1BF6"/>
    <w:rsid w:val="005E6D66"/>
    <w:rsid w:val="005E6DFB"/>
    <w:rsid w:val="005E6FCC"/>
    <w:rsid w:val="005F293E"/>
    <w:rsid w:val="005F4BF1"/>
    <w:rsid w:val="005F4DDF"/>
    <w:rsid w:val="005F5A12"/>
    <w:rsid w:val="005F65AA"/>
    <w:rsid w:val="005F6ABA"/>
    <w:rsid w:val="005F7D66"/>
    <w:rsid w:val="006001AE"/>
    <w:rsid w:val="00600A3E"/>
    <w:rsid w:val="00601020"/>
    <w:rsid w:val="006017E2"/>
    <w:rsid w:val="006018E3"/>
    <w:rsid w:val="0060358A"/>
    <w:rsid w:val="00604F80"/>
    <w:rsid w:val="00605A44"/>
    <w:rsid w:val="00605DF6"/>
    <w:rsid w:val="00606837"/>
    <w:rsid w:val="00606EAD"/>
    <w:rsid w:val="00607CF0"/>
    <w:rsid w:val="006159C7"/>
    <w:rsid w:val="00620AD7"/>
    <w:rsid w:val="00621740"/>
    <w:rsid w:val="006236CA"/>
    <w:rsid w:val="006244F8"/>
    <w:rsid w:val="006246B9"/>
    <w:rsid w:val="00625289"/>
    <w:rsid w:val="00627207"/>
    <w:rsid w:val="006278FD"/>
    <w:rsid w:val="00630200"/>
    <w:rsid w:val="006302CE"/>
    <w:rsid w:val="00631381"/>
    <w:rsid w:val="00632288"/>
    <w:rsid w:val="006405D1"/>
    <w:rsid w:val="006455C0"/>
    <w:rsid w:val="00645B0D"/>
    <w:rsid w:val="006462B6"/>
    <w:rsid w:val="006475C1"/>
    <w:rsid w:val="00647922"/>
    <w:rsid w:val="006507B5"/>
    <w:rsid w:val="0065536D"/>
    <w:rsid w:val="00657375"/>
    <w:rsid w:val="00660365"/>
    <w:rsid w:val="00660C83"/>
    <w:rsid w:val="00661D9E"/>
    <w:rsid w:val="0066280F"/>
    <w:rsid w:val="00662FF8"/>
    <w:rsid w:val="00665924"/>
    <w:rsid w:val="00665C13"/>
    <w:rsid w:val="006666CA"/>
    <w:rsid w:val="00666CB7"/>
    <w:rsid w:val="00666F84"/>
    <w:rsid w:val="00671255"/>
    <w:rsid w:val="006745FF"/>
    <w:rsid w:val="00675906"/>
    <w:rsid w:val="00676FC3"/>
    <w:rsid w:val="006805A7"/>
    <w:rsid w:val="006810E1"/>
    <w:rsid w:val="00682561"/>
    <w:rsid w:val="00682E11"/>
    <w:rsid w:val="00683904"/>
    <w:rsid w:val="00683C5C"/>
    <w:rsid w:val="006857CF"/>
    <w:rsid w:val="0068650A"/>
    <w:rsid w:val="00686F12"/>
    <w:rsid w:val="00687AA9"/>
    <w:rsid w:val="00693CFF"/>
    <w:rsid w:val="00694D2B"/>
    <w:rsid w:val="00694D79"/>
    <w:rsid w:val="00695556"/>
    <w:rsid w:val="006956B8"/>
    <w:rsid w:val="006966B9"/>
    <w:rsid w:val="00696AB3"/>
    <w:rsid w:val="00696DA5"/>
    <w:rsid w:val="006A0212"/>
    <w:rsid w:val="006A3CCD"/>
    <w:rsid w:val="006A587D"/>
    <w:rsid w:val="006B017F"/>
    <w:rsid w:val="006B0E98"/>
    <w:rsid w:val="006B0FF0"/>
    <w:rsid w:val="006B135F"/>
    <w:rsid w:val="006B1B3E"/>
    <w:rsid w:val="006B1F1E"/>
    <w:rsid w:val="006B235C"/>
    <w:rsid w:val="006B4595"/>
    <w:rsid w:val="006B59E6"/>
    <w:rsid w:val="006B6233"/>
    <w:rsid w:val="006B6C45"/>
    <w:rsid w:val="006B739A"/>
    <w:rsid w:val="006B7770"/>
    <w:rsid w:val="006B7EBD"/>
    <w:rsid w:val="006B7F6A"/>
    <w:rsid w:val="006C06C3"/>
    <w:rsid w:val="006C07FA"/>
    <w:rsid w:val="006C1920"/>
    <w:rsid w:val="006C2B85"/>
    <w:rsid w:val="006C68C3"/>
    <w:rsid w:val="006C6930"/>
    <w:rsid w:val="006C6FDF"/>
    <w:rsid w:val="006D02F4"/>
    <w:rsid w:val="006D06A6"/>
    <w:rsid w:val="006D094D"/>
    <w:rsid w:val="006D1223"/>
    <w:rsid w:val="006D1458"/>
    <w:rsid w:val="006D2983"/>
    <w:rsid w:val="006D2D92"/>
    <w:rsid w:val="006D2E5C"/>
    <w:rsid w:val="006D3212"/>
    <w:rsid w:val="006D4080"/>
    <w:rsid w:val="006D498A"/>
    <w:rsid w:val="006D53E6"/>
    <w:rsid w:val="006D63ED"/>
    <w:rsid w:val="006E047C"/>
    <w:rsid w:val="006E05C0"/>
    <w:rsid w:val="006E37E3"/>
    <w:rsid w:val="006E3EC9"/>
    <w:rsid w:val="006E7AA8"/>
    <w:rsid w:val="006F13B4"/>
    <w:rsid w:val="006F2FC4"/>
    <w:rsid w:val="006F4C27"/>
    <w:rsid w:val="006F6499"/>
    <w:rsid w:val="006F793A"/>
    <w:rsid w:val="006F7AD1"/>
    <w:rsid w:val="007021A8"/>
    <w:rsid w:val="00703334"/>
    <w:rsid w:val="00703B4C"/>
    <w:rsid w:val="007062C1"/>
    <w:rsid w:val="007109CA"/>
    <w:rsid w:val="00713BD1"/>
    <w:rsid w:val="007201CE"/>
    <w:rsid w:val="007219C8"/>
    <w:rsid w:val="00721F08"/>
    <w:rsid w:val="007250FA"/>
    <w:rsid w:val="00726E77"/>
    <w:rsid w:val="00730C69"/>
    <w:rsid w:val="00730F4F"/>
    <w:rsid w:val="00734EE4"/>
    <w:rsid w:val="007366C3"/>
    <w:rsid w:val="007366C8"/>
    <w:rsid w:val="0074190B"/>
    <w:rsid w:val="00742A8E"/>
    <w:rsid w:val="00743D57"/>
    <w:rsid w:val="00743E9C"/>
    <w:rsid w:val="0074484C"/>
    <w:rsid w:val="00744EBB"/>
    <w:rsid w:val="0074513C"/>
    <w:rsid w:val="00745449"/>
    <w:rsid w:val="007455AD"/>
    <w:rsid w:val="0074582E"/>
    <w:rsid w:val="007459BC"/>
    <w:rsid w:val="007467FC"/>
    <w:rsid w:val="00750908"/>
    <w:rsid w:val="00754614"/>
    <w:rsid w:val="00754B66"/>
    <w:rsid w:val="007554E9"/>
    <w:rsid w:val="00760072"/>
    <w:rsid w:val="00760B6C"/>
    <w:rsid w:val="00761C8E"/>
    <w:rsid w:val="00762CEA"/>
    <w:rsid w:val="0077042C"/>
    <w:rsid w:val="00770904"/>
    <w:rsid w:val="00773D54"/>
    <w:rsid w:val="007740A5"/>
    <w:rsid w:val="00774179"/>
    <w:rsid w:val="00774308"/>
    <w:rsid w:val="007752C8"/>
    <w:rsid w:val="0077555C"/>
    <w:rsid w:val="00777592"/>
    <w:rsid w:val="0078271B"/>
    <w:rsid w:val="007834D1"/>
    <w:rsid w:val="00783FD5"/>
    <w:rsid w:val="00785602"/>
    <w:rsid w:val="0078759F"/>
    <w:rsid w:val="007917AD"/>
    <w:rsid w:val="00792A54"/>
    <w:rsid w:val="00793F3E"/>
    <w:rsid w:val="0079428D"/>
    <w:rsid w:val="007958D3"/>
    <w:rsid w:val="00795A83"/>
    <w:rsid w:val="007A0CBC"/>
    <w:rsid w:val="007A21AB"/>
    <w:rsid w:val="007A26E3"/>
    <w:rsid w:val="007A4DC0"/>
    <w:rsid w:val="007A57EC"/>
    <w:rsid w:val="007B031A"/>
    <w:rsid w:val="007B13EC"/>
    <w:rsid w:val="007B206C"/>
    <w:rsid w:val="007B356B"/>
    <w:rsid w:val="007B3A6E"/>
    <w:rsid w:val="007B48D5"/>
    <w:rsid w:val="007B56E0"/>
    <w:rsid w:val="007B5778"/>
    <w:rsid w:val="007B590A"/>
    <w:rsid w:val="007B72EC"/>
    <w:rsid w:val="007C62B6"/>
    <w:rsid w:val="007C754B"/>
    <w:rsid w:val="007D10C1"/>
    <w:rsid w:val="007D2FF6"/>
    <w:rsid w:val="007D321F"/>
    <w:rsid w:val="007D5C8F"/>
    <w:rsid w:val="007D6E4B"/>
    <w:rsid w:val="007D797A"/>
    <w:rsid w:val="007D7B8E"/>
    <w:rsid w:val="007E2DA3"/>
    <w:rsid w:val="007E3D2D"/>
    <w:rsid w:val="007E4C79"/>
    <w:rsid w:val="007E5396"/>
    <w:rsid w:val="007E5D7C"/>
    <w:rsid w:val="007E621C"/>
    <w:rsid w:val="007E6573"/>
    <w:rsid w:val="007E6A77"/>
    <w:rsid w:val="007E7424"/>
    <w:rsid w:val="007E7778"/>
    <w:rsid w:val="007E77C4"/>
    <w:rsid w:val="007F00DD"/>
    <w:rsid w:val="007F0674"/>
    <w:rsid w:val="007F08AC"/>
    <w:rsid w:val="007F1082"/>
    <w:rsid w:val="007F26D4"/>
    <w:rsid w:val="007F2C75"/>
    <w:rsid w:val="007F5482"/>
    <w:rsid w:val="007F749C"/>
    <w:rsid w:val="007F7B8B"/>
    <w:rsid w:val="00801227"/>
    <w:rsid w:val="0080323B"/>
    <w:rsid w:val="00803CBA"/>
    <w:rsid w:val="00804A50"/>
    <w:rsid w:val="008074D6"/>
    <w:rsid w:val="008113B5"/>
    <w:rsid w:val="00811C7C"/>
    <w:rsid w:val="00812C3A"/>
    <w:rsid w:val="0081317D"/>
    <w:rsid w:val="008138CB"/>
    <w:rsid w:val="00813A7E"/>
    <w:rsid w:val="0081432A"/>
    <w:rsid w:val="00816615"/>
    <w:rsid w:val="00821C25"/>
    <w:rsid w:val="00822851"/>
    <w:rsid w:val="0082450C"/>
    <w:rsid w:val="00830D8B"/>
    <w:rsid w:val="008332C6"/>
    <w:rsid w:val="00833D9D"/>
    <w:rsid w:val="00837FE0"/>
    <w:rsid w:val="008410C4"/>
    <w:rsid w:val="0084493D"/>
    <w:rsid w:val="00845179"/>
    <w:rsid w:val="0084630D"/>
    <w:rsid w:val="00846340"/>
    <w:rsid w:val="00846B62"/>
    <w:rsid w:val="008475E8"/>
    <w:rsid w:val="00847E06"/>
    <w:rsid w:val="00850605"/>
    <w:rsid w:val="00851670"/>
    <w:rsid w:val="008552D1"/>
    <w:rsid w:val="00856AEC"/>
    <w:rsid w:val="008575C5"/>
    <w:rsid w:val="00857E5D"/>
    <w:rsid w:val="00861301"/>
    <w:rsid w:val="0086201A"/>
    <w:rsid w:val="00862B70"/>
    <w:rsid w:val="0086428D"/>
    <w:rsid w:val="00864BAD"/>
    <w:rsid w:val="00864F71"/>
    <w:rsid w:val="00865262"/>
    <w:rsid w:val="00866196"/>
    <w:rsid w:val="008678A4"/>
    <w:rsid w:val="00870215"/>
    <w:rsid w:val="00870F46"/>
    <w:rsid w:val="008729D8"/>
    <w:rsid w:val="00872DE0"/>
    <w:rsid w:val="0087483C"/>
    <w:rsid w:val="00874E79"/>
    <w:rsid w:val="00875B67"/>
    <w:rsid w:val="00875F4F"/>
    <w:rsid w:val="008766B1"/>
    <w:rsid w:val="00876882"/>
    <w:rsid w:val="00877BEF"/>
    <w:rsid w:val="0088029F"/>
    <w:rsid w:val="00881C97"/>
    <w:rsid w:val="008824B2"/>
    <w:rsid w:val="00883D5B"/>
    <w:rsid w:val="00884BDD"/>
    <w:rsid w:val="0088607F"/>
    <w:rsid w:val="00887B36"/>
    <w:rsid w:val="00887C5A"/>
    <w:rsid w:val="00892073"/>
    <w:rsid w:val="00892642"/>
    <w:rsid w:val="00894958"/>
    <w:rsid w:val="008949C3"/>
    <w:rsid w:val="008A066F"/>
    <w:rsid w:val="008A0861"/>
    <w:rsid w:val="008A3281"/>
    <w:rsid w:val="008A397D"/>
    <w:rsid w:val="008A3CE8"/>
    <w:rsid w:val="008A413E"/>
    <w:rsid w:val="008A59DC"/>
    <w:rsid w:val="008A63B1"/>
    <w:rsid w:val="008B3A8C"/>
    <w:rsid w:val="008B7B0A"/>
    <w:rsid w:val="008C0260"/>
    <w:rsid w:val="008C04CB"/>
    <w:rsid w:val="008C0814"/>
    <w:rsid w:val="008C1B6D"/>
    <w:rsid w:val="008C23F7"/>
    <w:rsid w:val="008C386B"/>
    <w:rsid w:val="008C7AC3"/>
    <w:rsid w:val="008D08F3"/>
    <w:rsid w:val="008D1D03"/>
    <w:rsid w:val="008D1D8F"/>
    <w:rsid w:val="008D26A8"/>
    <w:rsid w:val="008D33F3"/>
    <w:rsid w:val="008D3B24"/>
    <w:rsid w:val="008D6481"/>
    <w:rsid w:val="008D7C26"/>
    <w:rsid w:val="008E1661"/>
    <w:rsid w:val="008E2CBB"/>
    <w:rsid w:val="008E5208"/>
    <w:rsid w:val="008E69AE"/>
    <w:rsid w:val="008F2FD4"/>
    <w:rsid w:val="008F3996"/>
    <w:rsid w:val="008F4737"/>
    <w:rsid w:val="008F49F5"/>
    <w:rsid w:val="008F51A9"/>
    <w:rsid w:val="008F7037"/>
    <w:rsid w:val="00900292"/>
    <w:rsid w:val="0090216F"/>
    <w:rsid w:val="0090258C"/>
    <w:rsid w:val="009037C3"/>
    <w:rsid w:val="009041A9"/>
    <w:rsid w:val="00904282"/>
    <w:rsid w:val="00906ED6"/>
    <w:rsid w:val="0090743B"/>
    <w:rsid w:val="00907636"/>
    <w:rsid w:val="009078AA"/>
    <w:rsid w:val="00907F7B"/>
    <w:rsid w:val="00910BD2"/>
    <w:rsid w:val="00912065"/>
    <w:rsid w:val="0091334C"/>
    <w:rsid w:val="00916C8B"/>
    <w:rsid w:val="00917739"/>
    <w:rsid w:val="00917DFD"/>
    <w:rsid w:val="00920366"/>
    <w:rsid w:val="0092159B"/>
    <w:rsid w:val="00921919"/>
    <w:rsid w:val="00923BB2"/>
    <w:rsid w:val="00923DB0"/>
    <w:rsid w:val="00926125"/>
    <w:rsid w:val="009321C7"/>
    <w:rsid w:val="00932E47"/>
    <w:rsid w:val="00934A4A"/>
    <w:rsid w:val="00935A7A"/>
    <w:rsid w:val="00937682"/>
    <w:rsid w:val="009401D1"/>
    <w:rsid w:val="00940583"/>
    <w:rsid w:val="00940BD6"/>
    <w:rsid w:val="00942B1E"/>
    <w:rsid w:val="00944AAC"/>
    <w:rsid w:val="00944C02"/>
    <w:rsid w:val="009460EA"/>
    <w:rsid w:val="00946176"/>
    <w:rsid w:val="009463B1"/>
    <w:rsid w:val="00946649"/>
    <w:rsid w:val="00947D77"/>
    <w:rsid w:val="00952079"/>
    <w:rsid w:val="0095298E"/>
    <w:rsid w:val="00953DB9"/>
    <w:rsid w:val="00954E0A"/>
    <w:rsid w:val="009552B2"/>
    <w:rsid w:val="009575B9"/>
    <w:rsid w:val="00957C94"/>
    <w:rsid w:val="009602C6"/>
    <w:rsid w:val="00962AA9"/>
    <w:rsid w:val="00962B34"/>
    <w:rsid w:val="00962C62"/>
    <w:rsid w:val="00963C97"/>
    <w:rsid w:val="00966ADD"/>
    <w:rsid w:val="00966C94"/>
    <w:rsid w:val="0096734A"/>
    <w:rsid w:val="009715FC"/>
    <w:rsid w:val="00973CBD"/>
    <w:rsid w:val="00973FE0"/>
    <w:rsid w:val="00974B6D"/>
    <w:rsid w:val="00977B9C"/>
    <w:rsid w:val="009800BB"/>
    <w:rsid w:val="009802CB"/>
    <w:rsid w:val="00980397"/>
    <w:rsid w:val="00985295"/>
    <w:rsid w:val="0098621E"/>
    <w:rsid w:val="0098639F"/>
    <w:rsid w:val="00986770"/>
    <w:rsid w:val="0098689C"/>
    <w:rsid w:val="009873A6"/>
    <w:rsid w:val="00990231"/>
    <w:rsid w:val="00990855"/>
    <w:rsid w:val="009914FE"/>
    <w:rsid w:val="0099182E"/>
    <w:rsid w:val="00992964"/>
    <w:rsid w:val="00992E15"/>
    <w:rsid w:val="00993772"/>
    <w:rsid w:val="009949DA"/>
    <w:rsid w:val="0099569F"/>
    <w:rsid w:val="009A1986"/>
    <w:rsid w:val="009A1BF1"/>
    <w:rsid w:val="009A5500"/>
    <w:rsid w:val="009A70D9"/>
    <w:rsid w:val="009B066C"/>
    <w:rsid w:val="009B1D76"/>
    <w:rsid w:val="009B22B7"/>
    <w:rsid w:val="009B2651"/>
    <w:rsid w:val="009B26F4"/>
    <w:rsid w:val="009B32F6"/>
    <w:rsid w:val="009B400F"/>
    <w:rsid w:val="009B48F6"/>
    <w:rsid w:val="009B49EC"/>
    <w:rsid w:val="009B6488"/>
    <w:rsid w:val="009B6F24"/>
    <w:rsid w:val="009C1D6F"/>
    <w:rsid w:val="009C3831"/>
    <w:rsid w:val="009D01A0"/>
    <w:rsid w:val="009D11A3"/>
    <w:rsid w:val="009D2655"/>
    <w:rsid w:val="009D2FF5"/>
    <w:rsid w:val="009D3543"/>
    <w:rsid w:val="009D4369"/>
    <w:rsid w:val="009D4399"/>
    <w:rsid w:val="009D4A84"/>
    <w:rsid w:val="009D4D9D"/>
    <w:rsid w:val="009D5F52"/>
    <w:rsid w:val="009E02F4"/>
    <w:rsid w:val="009E11C1"/>
    <w:rsid w:val="009E13D4"/>
    <w:rsid w:val="009E1426"/>
    <w:rsid w:val="009E2305"/>
    <w:rsid w:val="009E446A"/>
    <w:rsid w:val="009E6068"/>
    <w:rsid w:val="009E60B3"/>
    <w:rsid w:val="009E7FC8"/>
    <w:rsid w:val="009F2F72"/>
    <w:rsid w:val="009F66BB"/>
    <w:rsid w:val="009F6D53"/>
    <w:rsid w:val="00A0125F"/>
    <w:rsid w:val="00A018EC"/>
    <w:rsid w:val="00A062A5"/>
    <w:rsid w:val="00A0652D"/>
    <w:rsid w:val="00A103FE"/>
    <w:rsid w:val="00A13944"/>
    <w:rsid w:val="00A13F1E"/>
    <w:rsid w:val="00A147E3"/>
    <w:rsid w:val="00A17FAB"/>
    <w:rsid w:val="00A22057"/>
    <w:rsid w:val="00A22F79"/>
    <w:rsid w:val="00A24281"/>
    <w:rsid w:val="00A24431"/>
    <w:rsid w:val="00A24F7C"/>
    <w:rsid w:val="00A259EE"/>
    <w:rsid w:val="00A26D26"/>
    <w:rsid w:val="00A27E6F"/>
    <w:rsid w:val="00A30464"/>
    <w:rsid w:val="00A30A9F"/>
    <w:rsid w:val="00A33A61"/>
    <w:rsid w:val="00A33D4C"/>
    <w:rsid w:val="00A34D4A"/>
    <w:rsid w:val="00A34E60"/>
    <w:rsid w:val="00A353F5"/>
    <w:rsid w:val="00A3593C"/>
    <w:rsid w:val="00A35F52"/>
    <w:rsid w:val="00A409D9"/>
    <w:rsid w:val="00A43443"/>
    <w:rsid w:val="00A43CEB"/>
    <w:rsid w:val="00A43E54"/>
    <w:rsid w:val="00A4516C"/>
    <w:rsid w:val="00A45669"/>
    <w:rsid w:val="00A46F96"/>
    <w:rsid w:val="00A4741A"/>
    <w:rsid w:val="00A50765"/>
    <w:rsid w:val="00A511DA"/>
    <w:rsid w:val="00A5205A"/>
    <w:rsid w:val="00A52514"/>
    <w:rsid w:val="00A52D55"/>
    <w:rsid w:val="00A56CB6"/>
    <w:rsid w:val="00A605FA"/>
    <w:rsid w:val="00A60750"/>
    <w:rsid w:val="00A60CD1"/>
    <w:rsid w:val="00A63D48"/>
    <w:rsid w:val="00A64605"/>
    <w:rsid w:val="00A6487B"/>
    <w:rsid w:val="00A66BB9"/>
    <w:rsid w:val="00A66FB5"/>
    <w:rsid w:val="00A6733D"/>
    <w:rsid w:val="00A673A9"/>
    <w:rsid w:val="00A673D0"/>
    <w:rsid w:val="00A7300E"/>
    <w:rsid w:val="00A7776C"/>
    <w:rsid w:val="00A77886"/>
    <w:rsid w:val="00A80E21"/>
    <w:rsid w:val="00A81572"/>
    <w:rsid w:val="00A825C0"/>
    <w:rsid w:val="00A83383"/>
    <w:rsid w:val="00A837B9"/>
    <w:rsid w:val="00A8514B"/>
    <w:rsid w:val="00A86989"/>
    <w:rsid w:val="00A86C73"/>
    <w:rsid w:val="00A956BF"/>
    <w:rsid w:val="00A95D39"/>
    <w:rsid w:val="00A96EC2"/>
    <w:rsid w:val="00AA0650"/>
    <w:rsid w:val="00AA1378"/>
    <w:rsid w:val="00AA274F"/>
    <w:rsid w:val="00AA3246"/>
    <w:rsid w:val="00AA352B"/>
    <w:rsid w:val="00AA3AEF"/>
    <w:rsid w:val="00AA5EC1"/>
    <w:rsid w:val="00AA619D"/>
    <w:rsid w:val="00AB0F0A"/>
    <w:rsid w:val="00AB2F4C"/>
    <w:rsid w:val="00AB5F1B"/>
    <w:rsid w:val="00AC065C"/>
    <w:rsid w:val="00AC2A5A"/>
    <w:rsid w:val="00AC4CB4"/>
    <w:rsid w:val="00AC5546"/>
    <w:rsid w:val="00AC7891"/>
    <w:rsid w:val="00AC7A00"/>
    <w:rsid w:val="00AC7BF6"/>
    <w:rsid w:val="00AD27DC"/>
    <w:rsid w:val="00AD5824"/>
    <w:rsid w:val="00AE0058"/>
    <w:rsid w:val="00AE0685"/>
    <w:rsid w:val="00AE11E0"/>
    <w:rsid w:val="00AE1399"/>
    <w:rsid w:val="00AE1D04"/>
    <w:rsid w:val="00AE2E66"/>
    <w:rsid w:val="00AE4803"/>
    <w:rsid w:val="00AE53B4"/>
    <w:rsid w:val="00AE581D"/>
    <w:rsid w:val="00AE6415"/>
    <w:rsid w:val="00AE6CB7"/>
    <w:rsid w:val="00AF065E"/>
    <w:rsid w:val="00AF6B18"/>
    <w:rsid w:val="00B01433"/>
    <w:rsid w:val="00B01D39"/>
    <w:rsid w:val="00B01F94"/>
    <w:rsid w:val="00B025EE"/>
    <w:rsid w:val="00B039A3"/>
    <w:rsid w:val="00B05A27"/>
    <w:rsid w:val="00B07F3F"/>
    <w:rsid w:val="00B10A65"/>
    <w:rsid w:val="00B1182F"/>
    <w:rsid w:val="00B11980"/>
    <w:rsid w:val="00B13ADD"/>
    <w:rsid w:val="00B1514F"/>
    <w:rsid w:val="00B169CE"/>
    <w:rsid w:val="00B17CEC"/>
    <w:rsid w:val="00B2040E"/>
    <w:rsid w:val="00B20A33"/>
    <w:rsid w:val="00B215B5"/>
    <w:rsid w:val="00B21F1F"/>
    <w:rsid w:val="00B23FBA"/>
    <w:rsid w:val="00B25630"/>
    <w:rsid w:val="00B25AC0"/>
    <w:rsid w:val="00B26EA8"/>
    <w:rsid w:val="00B2766D"/>
    <w:rsid w:val="00B30A9D"/>
    <w:rsid w:val="00B31AAB"/>
    <w:rsid w:val="00B323A4"/>
    <w:rsid w:val="00B32DDB"/>
    <w:rsid w:val="00B33388"/>
    <w:rsid w:val="00B34C9D"/>
    <w:rsid w:val="00B3632C"/>
    <w:rsid w:val="00B508B6"/>
    <w:rsid w:val="00B51CA6"/>
    <w:rsid w:val="00B56511"/>
    <w:rsid w:val="00B60E13"/>
    <w:rsid w:val="00B626DD"/>
    <w:rsid w:val="00B6275F"/>
    <w:rsid w:val="00B62B01"/>
    <w:rsid w:val="00B639EE"/>
    <w:rsid w:val="00B63A78"/>
    <w:rsid w:val="00B648F4"/>
    <w:rsid w:val="00B64B4B"/>
    <w:rsid w:val="00B66141"/>
    <w:rsid w:val="00B713F0"/>
    <w:rsid w:val="00B72142"/>
    <w:rsid w:val="00B73404"/>
    <w:rsid w:val="00B73724"/>
    <w:rsid w:val="00B73E8D"/>
    <w:rsid w:val="00B757FD"/>
    <w:rsid w:val="00B84AAF"/>
    <w:rsid w:val="00B84F61"/>
    <w:rsid w:val="00B85934"/>
    <w:rsid w:val="00B8643A"/>
    <w:rsid w:val="00B907E0"/>
    <w:rsid w:val="00B93FBF"/>
    <w:rsid w:val="00B9475D"/>
    <w:rsid w:val="00B947DC"/>
    <w:rsid w:val="00B94B96"/>
    <w:rsid w:val="00B9584A"/>
    <w:rsid w:val="00B962CF"/>
    <w:rsid w:val="00B96604"/>
    <w:rsid w:val="00BA09F5"/>
    <w:rsid w:val="00BA0DEB"/>
    <w:rsid w:val="00BA14E8"/>
    <w:rsid w:val="00BA21D1"/>
    <w:rsid w:val="00BA28BD"/>
    <w:rsid w:val="00BA34F6"/>
    <w:rsid w:val="00BA3FBC"/>
    <w:rsid w:val="00BA5E22"/>
    <w:rsid w:val="00BB0A57"/>
    <w:rsid w:val="00BB1C01"/>
    <w:rsid w:val="00BB1D33"/>
    <w:rsid w:val="00BB298B"/>
    <w:rsid w:val="00BB2FBA"/>
    <w:rsid w:val="00BB53AB"/>
    <w:rsid w:val="00BB555C"/>
    <w:rsid w:val="00BB76A9"/>
    <w:rsid w:val="00BC2F89"/>
    <w:rsid w:val="00BC37C4"/>
    <w:rsid w:val="00BC3EF8"/>
    <w:rsid w:val="00BC3F91"/>
    <w:rsid w:val="00BC7BAF"/>
    <w:rsid w:val="00BD0F58"/>
    <w:rsid w:val="00BD2104"/>
    <w:rsid w:val="00BD2CCF"/>
    <w:rsid w:val="00BD4E72"/>
    <w:rsid w:val="00BD6352"/>
    <w:rsid w:val="00BD64EA"/>
    <w:rsid w:val="00BE1948"/>
    <w:rsid w:val="00BE230B"/>
    <w:rsid w:val="00BE38D6"/>
    <w:rsid w:val="00BF23C2"/>
    <w:rsid w:val="00BF29D0"/>
    <w:rsid w:val="00BF59B2"/>
    <w:rsid w:val="00BF6167"/>
    <w:rsid w:val="00C00D99"/>
    <w:rsid w:val="00C01418"/>
    <w:rsid w:val="00C0180A"/>
    <w:rsid w:val="00C0319D"/>
    <w:rsid w:val="00C04A7F"/>
    <w:rsid w:val="00C055B1"/>
    <w:rsid w:val="00C0754D"/>
    <w:rsid w:val="00C145C3"/>
    <w:rsid w:val="00C15A4C"/>
    <w:rsid w:val="00C17488"/>
    <w:rsid w:val="00C17C63"/>
    <w:rsid w:val="00C20AC0"/>
    <w:rsid w:val="00C20CA9"/>
    <w:rsid w:val="00C20F9C"/>
    <w:rsid w:val="00C2125D"/>
    <w:rsid w:val="00C21BC3"/>
    <w:rsid w:val="00C222BF"/>
    <w:rsid w:val="00C22AE8"/>
    <w:rsid w:val="00C23039"/>
    <w:rsid w:val="00C23319"/>
    <w:rsid w:val="00C23571"/>
    <w:rsid w:val="00C24AE2"/>
    <w:rsid w:val="00C24E6D"/>
    <w:rsid w:val="00C25F19"/>
    <w:rsid w:val="00C2647B"/>
    <w:rsid w:val="00C269EA"/>
    <w:rsid w:val="00C30419"/>
    <w:rsid w:val="00C31152"/>
    <w:rsid w:val="00C32D07"/>
    <w:rsid w:val="00C35CDC"/>
    <w:rsid w:val="00C3693F"/>
    <w:rsid w:val="00C37305"/>
    <w:rsid w:val="00C37863"/>
    <w:rsid w:val="00C40718"/>
    <w:rsid w:val="00C41B11"/>
    <w:rsid w:val="00C41B2E"/>
    <w:rsid w:val="00C42320"/>
    <w:rsid w:val="00C43D92"/>
    <w:rsid w:val="00C43EF3"/>
    <w:rsid w:val="00C45B61"/>
    <w:rsid w:val="00C50771"/>
    <w:rsid w:val="00C51B8E"/>
    <w:rsid w:val="00C53191"/>
    <w:rsid w:val="00C547BE"/>
    <w:rsid w:val="00C55799"/>
    <w:rsid w:val="00C603E0"/>
    <w:rsid w:val="00C60AA1"/>
    <w:rsid w:val="00C6186C"/>
    <w:rsid w:val="00C61EC2"/>
    <w:rsid w:val="00C63345"/>
    <w:rsid w:val="00C65795"/>
    <w:rsid w:val="00C66D9C"/>
    <w:rsid w:val="00C72551"/>
    <w:rsid w:val="00C72C8A"/>
    <w:rsid w:val="00C74AAF"/>
    <w:rsid w:val="00C75B48"/>
    <w:rsid w:val="00C76325"/>
    <w:rsid w:val="00C805F4"/>
    <w:rsid w:val="00C83A97"/>
    <w:rsid w:val="00C83E20"/>
    <w:rsid w:val="00C844FF"/>
    <w:rsid w:val="00C85505"/>
    <w:rsid w:val="00C857BD"/>
    <w:rsid w:val="00C858B9"/>
    <w:rsid w:val="00C86B2F"/>
    <w:rsid w:val="00C904AA"/>
    <w:rsid w:val="00C91D93"/>
    <w:rsid w:val="00C93134"/>
    <w:rsid w:val="00C95043"/>
    <w:rsid w:val="00C9652A"/>
    <w:rsid w:val="00C96C31"/>
    <w:rsid w:val="00CA11F6"/>
    <w:rsid w:val="00CA78D2"/>
    <w:rsid w:val="00CB0361"/>
    <w:rsid w:val="00CB06F2"/>
    <w:rsid w:val="00CB3287"/>
    <w:rsid w:val="00CB56B1"/>
    <w:rsid w:val="00CB621F"/>
    <w:rsid w:val="00CB77C0"/>
    <w:rsid w:val="00CB789F"/>
    <w:rsid w:val="00CC1B21"/>
    <w:rsid w:val="00CC3D26"/>
    <w:rsid w:val="00CC3D66"/>
    <w:rsid w:val="00CC526C"/>
    <w:rsid w:val="00CC71B5"/>
    <w:rsid w:val="00CD20B6"/>
    <w:rsid w:val="00CD6A93"/>
    <w:rsid w:val="00CD701C"/>
    <w:rsid w:val="00CE00A8"/>
    <w:rsid w:val="00CE223E"/>
    <w:rsid w:val="00CE2E9F"/>
    <w:rsid w:val="00CE2F39"/>
    <w:rsid w:val="00CE45B3"/>
    <w:rsid w:val="00CE4EA6"/>
    <w:rsid w:val="00CE5DAB"/>
    <w:rsid w:val="00CF1F28"/>
    <w:rsid w:val="00CF21B1"/>
    <w:rsid w:val="00CF3179"/>
    <w:rsid w:val="00CF4478"/>
    <w:rsid w:val="00CF4720"/>
    <w:rsid w:val="00CF52D9"/>
    <w:rsid w:val="00CF5D69"/>
    <w:rsid w:val="00CF5E43"/>
    <w:rsid w:val="00CF6AD8"/>
    <w:rsid w:val="00CF70E9"/>
    <w:rsid w:val="00CF7775"/>
    <w:rsid w:val="00CF7E3C"/>
    <w:rsid w:val="00CF7EBA"/>
    <w:rsid w:val="00D01204"/>
    <w:rsid w:val="00D0183B"/>
    <w:rsid w:val="00D01AC6"/>
    <w:rsid w:val="00D05389"/>
    <w:rsid w:val="00D066DF"/>
    <w:rsid w:val="00D07CC3"/>
    <w:rsid w:val="00D10A1C"/>
    <w:rsid w:val="00D121A6"/>
    <w:rsid w:val="00D139D3"/>
    <w:rsid w:val="00D143C9"/>
    <w:rsid w:val="00D20DF2"/>
    <w:rsid w:val="00D221A7"/>
    <w:rsid w:val="00D241FE"/>
    <w:rsid w:val="00D245FD"/>
    <w:rsid w:val="00D25AA4"/>
    <w:rsid w:val="00D2668E"/>
    <w:rsid w:val="00D2684C"/>
    <w:rsid w:val="00D26D7D"/>
    <w:rsid w:val="00D26DA5"/>
    <w:rsid w:val="00D27FF6"/>
    <w:rsid w:val="00D338CC"/>
    <w:rsid w:val="00D33D89"/>
    <w:rsid w:val="00D342FF"/>
    <w:rsid w:val="00D35D55"/>
    <w:rsid w:val="00D37A4E"/>
    <w:rsid w:val="00D40327"/>
    <w:rsid w:val="00D4293E"/>
    <w:rsid w:val="00D43309"/>
    <w:rsid w:val="00D43CAA"/>
    <w:rsid w:val="00D43E96"/>
    <w:rsid w:val="00D44F2C"/>
    <w:rsid w:val="00D45480"/>
    <w:rsid w:val="00D457FA"/>
    <w:rsid w:val="00D4693A"/>
    <w:rsid w:val="00D5417F"/>
    <w:rsid w:val="00D54C52"/>
    <w:rsid w:val="00D550BB"/>
    <w:rsid w:val="00D56B6B"/>
    <w:rsid w:val="00D56FDD"/>
    <w:rsid w:val="00D60EBF"/>
    <w:rsid w:val="00D624E4"/>
    <w:rsid w:val="00D636B1"/>
    <w:rsid w:val="00D64B1C"/>
    <w:rsid w:val="00D67385"/>
    <w:rsid w:val="00D673EF"/>
    <w:rsid w:val="00D6787C"/>
    <w:rsid w:val="00D70BCD"/>
    <w:rsid w:val="00D716E6"/>
    <w:rsid w:val="00D729C0"/>
    <w:rsid w:val="00D73869"/>
    <w:rsid w:val="00D74B10"/>
    <w:rsid w:val="00D7525A"/>
    <w:rsid w:val="00D752BC"/>
    <w:rsid w:val="00D76E44"/>
    <w:rsid w:val="00D77A21"/>
    <w:rsid w:val="00D77C74"/>
    <w:rsid w:val="00D81B85"/>
    <w:rsid w:val="00D83627"/>
    <w:rsid w:val="00D857CC"/>
    <w:rsid w:val="00D8664D"/>
    <w:rsid w:val="00D87341"/>
    <w:rsid w:val="00D90626"/>
    <w:rsid w:val="00D91352"/>
    <w:rsid w:val="00D913EB"/>
    <w:rsid w:val="00D95BD6"/>
    <w:rsid w:val="00D963D6"/>
    <w:rsid w:val="00DA15CC"/>
    <w:rsid w:val="00DA1981"/>
    <w:rsid w:val="00DA3B5A"/>
    <w:rsid w:val="00DA5F4D"/>
    <w:rsid w:val="00DB14D2"/>
    <w:rsid w:val="00DB1B63"/>
    <w:rsid w:val="00DB29E0"/>
    <w:rsid w:val="00DB4B08"/>
    <w:rsid w:val="00DB6651"/>
    <w:rsid w:val="00DB6C68"/>
    <w:rsid w:val="00DB7859"/>
    <w:rsid w:val="00DB7A58"/>
    <w:rsid w:val="00DC0857"/>
    <w:rsid w:val="00DC225C"/>
    <w:rsid w:val="00DC2BA2"/>
    <w:rsid w:val="00DC2BC3"/>
    <w:rsid w:val="00DC2F09"/>
    <w:rsid w:val="00DC384A"/>
    <w:rsid w:val="00DC4E35"/>
    <w:rsid w:val="00DC5F97"/>
    <w:rsid w:val="00DC69B0"/>
    <w:rsid w:val="00DD09FB"/>
    <w:rsid w:val="00DD7883"/>
    <w:rsid w:val="00DE020C"/>
    <w:rsid w:val="00DE2DEB"/>
    <w:rsid w:val="00DE41FA"/>
    <w:rsid w:val="00DE430B"/>
    <w:rsid w:val="00DE57AB"/>
    <w:rsid w:val="00DE71A3"/>
    <w:rsid w:val="00DE767B"/>
    <w:rsid w:val="00DF00BE"/>
    <w:rsid w:val="00DF16A7"/>
    <w:rsid w:val="00DF43BB"/>
    <w:rsid w:val="00DF77AF"/>
    <w:rsid w:val="00E00965"/>
    <w:rsid w:val="00E00A24"/>
    <w:rsid w:val="00E00E7B"/>
    <w:rsid w:val="00E014C9"/>
    <w:rsid w:val="00E02F59"/>
    <w:rsid w:val="00E041CC"/>
    <w:rsid w:val="00E04E68"/>
    <w:rsid w:val="00E05FCF"/>
    <w:rsid w:val="00E069C2"/>
    <w:rsid w:val="00E06B2B"/>
    <w:rsid w:val="00E07014"/>
    <w:rsid w:val="00E077EC"/>
    <w:rsid w:val="00E111DD"/>
    <w:rsid w:val="00E11559"/>
    <w:rsid w:val="00E12A4D"/>
    <w:rsid w:val="00E1315F"/>
    <w:rsid w:val="00E13372"/>
    <w:rsid w:val="00E15DAD"/>
    <w:rsid w:val="00E21E2E"/>
    <w:rsid w:val="00E21E36"/>
    <w:rsid w:val="00E21F09"/>
    <w:rsid w:val="00E26AA8"/>
    <w:rsid w:val="00E2740C"/>
    <w:rsid w:val="00E30EE0"/>
    <w:rsid w:val="00E32C92"/>
    <w:rsid w:val="00E35250"/>
    <w:rsid w:val="00E4217E"/>
    <w:rsid w:val="00E42783"/>
    <w:rsid w:val="00E42A8E"/>
    <w:rsid w:val="00E45786"/>
    <w:rsid w:val="00E45D64"/>
    <w:rsid w:val="00E46289"/>
    <w:rsid w:val="00E5123A"/>
    <w:rsid w:val="00E51A65"/>
    <w:rsid w:val="00E52A52"/>
    <w:rsid w:val="00E538A3"/>
    <w:rsid w:val="00E53B4A"/>
    <w:rsid w:val="00E545B4"/>
    <w:rsid w:val="00E55095"/>
    <w:rsid w:val="00E56FA5"/>
    <w:rsid w:val="00E5747F"/>
    <w:rsid w:val="00E61003"/>
    <w:rsid w:val="00E617BF"/>
    <w:rsid w:val="00E618FE"/>
    <w:rsid w:val="00E61A5B"/>
    <w:rsid w:val="00E61EB8"/>
    <w:rsid w:val="00E63402"/>
    <w:rsid w:val="00E63BCC"/>
    <w:rsid w:val="00E644EE"/>
    <w:rsid w:val="00E64589"/>
    <w:rsid w:val="00E64C13"/>
    <w:rsid w:val="00E6535E"/>
    <w:rsid w:val="00E65C09"/>
    <w:rsid w:val="00E66001"/>
    <w:rsid w:val="00E671D7"/>
    <w:rsid w:val="00E7220E"/>
    <w:rsid w:val="00E7314B"/>
    <w:rsid w:val="00E740A6"/>
    <w:rsid w:val="00E742D8"/>
    <w:rsid w:val="00E74768"/>
    <w:rsid w:val="00E77776"/>
    <w:rsid w:val="00E77F88"/>
    <w:rsid w:val="00E80063"/>
    <w:rsid w:val="00E857CC"/>
    <w:rsid w:val="00E8613C"/>
    <w:rsid w:val="00E862E3"/>
    <w:rsid w:val="00E866AB"/>
    <w:rsid w:val="00E920B3"/>
    <w:rsid w:val="00E945C2"/>
    <w:rsid w:val="00E95F1C"/>
    <w:rsid w:val="00EA2732"/>
    <w:rsid w:val="00EA3133"/>
    <w:rsid w:val="00EA390A"/>
    <w:rsid w:val="00EA4C1E"/>
    <w:rsid w:val="00EA568A"/>
    <w:rsid w:val="00EA6308"/>
    <w:rsid w:val="00EA6FE9"/>
    <w:rsid w:val="00EB3B09"/>
    <w:rsid w:val="00EB678B"/>
    <w:rsid w:val="00EB75BE"/>
    <w:rsid w:val="00EC16E9"/>
    <w:rsid w:val="00EC1BFA"/>
    <w:rsid w:val="00EC2A59"/>
    <w:rsid w:val="00EC2A5E"/>
    <w:rsid w:val="00EC519E"/>
    <w:rsid w:val="00EC5284"/>
    <w:rsid w:val="00EC5750"/>
    <w:rsid w:val="00EC6C37"/>
    <w:rsid w:val="00EC74DD"/>
    <w:rsid w:val="00ED0E5E"/>
    <w:rsid w:val="00ED174A"/>
    <w:rsid w:val="00ED18F5"/>
    <w:rsid w:val="00ED215D"/>
    <w:rsid w:val="00ED27C0"/>
    <w:rsid w:val="00ED3243"/>
    <w:rsid w:val="00ED6CD5"/>
    <w:rsid w:val="00ED7234"/>
    <w:rsid w:val="00ED763A"/>
    <w:rsid w:val="00EE1CB1"/>
    <w:rsid w:val="00EE2E00"/>
    <w:rsid w:val="00EE2ED7"/>
    <w:rsid w:val="00EE5045"/>
    <w:rsid w:val="00EE5C61"/>
    <w:rsid w:val="00EE6870"/>
    <w:rsid w:val="00EF021A"/>
    <w:rsid w:val="00EF3FE1"/>
    <w:rsid w:val="00EF4141"/>
    <w:rsid w:val="00EF4574"/>
    <w:rsid w:val="00EF4AEE"/>
    <w:rsid w:val="00F009DD"/>
    <w:rsid w:val="00F021C2"/>
    <w:rsid w:val="00F031E5"/>
    <w:rsid w:val="00F03CF2"/>
    <w:rsid w:val="00F03D61"/>
    <w:rsid w:val="00F03FD7"/>
    <w:rsid w:val="00F04311"/>
    <w:rsid w:val="00F04C14"/>
    <w:rsid w:val="00F06CAB"/>
    <w:rsid w:val="00F1603C"/>
    <w:rsid w:val="00F17160"/>
    <w:rsid w:val="00F17C42"/>
    <w:rsid w:val="00F203A4"/>
    <w:rsid w:val="00F20B0C"/>
    <w:rsid w:val="00F20B54"/>
    <w:rsid w:val="00F21D08"/>
    <w:rsid w:val="00F248B3"/>
    <w:rsid w:val="00F26E45"/>
    <w:rsid w:val="00F2774F"/>
    <w:rsid w:val="00F27BB4"/>
    <w:rsid w:val="00F313B8"/>
    <w:rsid w:val="00F31658"/>
    <w:rsid w:val="00F34138"/>
    <w:rsid w:val="00F36627"/>
    <w:rsid w:val="00F40C1D"/>
    <w:rsid w:val="00F4491F"/>
    <w:rsid w:val="00F45C1A"/>
    <w:rsid w:val="00F51032"/>
    <w:rsid w:val="00F55A3E"/>
    <w:rsid w:val="00F563E7"/>
    <w:rsid w:val="00F56725"/>
    <w:rsid w:val="00F57AB4"/>
    <w:rsid w:val="00F61A7A"/>
    <w:rsid w:val="00F6248F"/>
    <w:rsid w:val="00F626C4"/>
    <w:rsid w:val="00F62958"/>
    <w:rsid w:val="00F636E3"/>
    <w:rsid w:val="00F63CD3"/>
    <w:rsid w:val="00F6464F"/>
    <w:rsid w:val="00F6526F"/>
    <w:rsid w:val="00F66F2D"/>
    <w:rsid w:val="00F740BC"/>
    <w:rsid w:val="00F76632"/>
    <w:rsid w:val="00F779CB"/>
    <w:rsid w:val="00F8023E"/>
    <w:rsid w:val="00F803E4"/>
    <w:rsid w:val="00F80BF4"/>
    <w:rsid w:val="00F8189A"/>
    <w:rsid w:val="00F848B0"/>
    <w:rsid w:val="00F87ABD"/>
    <w:rsid w:val="00F91A6E"/>
    <w:rsid w:val="00F92F83"/>
    <w:rsid w:val="00F9342F"/>
    <w:rsid w:val="00F93AB8"/>
    <w:rsid w:val="00F94FF8"/>
    <w:rsid w:val="00FA085B"/>
    <w:rsid w:val="00FA100A"/>
    <w:rsid w:val="00FA1FE1"/>
    <w:rsid w:val="00FA2A49"/>
    <w:rsid w:val="00FA74A3"/>
    <w:rsid w:val="00FB070B"/>
    <w:rsid w:val="00FB2F0D"/>
    <w:rsid w:val="00FB5BAD"/>
    <w:rsid w:val="00FB6028"/>
    <w:rsid w:val="00FB6121"/>
    <w:rsid w:val="00FC101D"/>
    <w:rsid w:val="00FC3186"/>
    <w:rsid w:val="00FC3EB2"/>
    <w:rsid w:val="00FC74A8"/>
    <w:rsid w:val="00FD00D2"/>
    <w:rsid w:val="00FD0AF0"/>
    <w:rsid w:val="00FD0D71"/>
    <w:rsid w:val="00FD1068"/>
    <w:rsid w:val="00FD3293"/>
    <w:rsid w:val="00FD36AC"/>
    <w:rsid w:val="00FD36C6"/>
    <w:rsid w:val="00FD560D"/>
    <w:rsid w:val="00FD699D"/>
    <w:rsid w:val="00FE1DEB"/>
    <w:rsid w:val="00FE305A"/>
    <w:rsid w:val="00FE30B4"/>
    <w:rsid w:val="00FE481B"/>
    <w:rsid w:val="00FE5565"/>
    <w:rsid w:val="00FE5789"/>
    <w:rsid w:val="00FE6341"/>
    <w:rsid w:val="00FE63D3"/>
    <w:rsid w:val="00FE7951"/>
    <w:rsid w:val="00FE7CE7"/>
    <w:rsid w:val="00FE7F60"/>
    <w:rsid w:val="00FF0B94"/>
    <w:rsid w:val="00FF1450"/>
    <w:rsid w:val="00FF52C2"/>
    <w:rsid w:val="00FF6DEF"/>
    <w:rsid w:val="00FF706E"/>
    <w:rsid w:val="00FF74E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2695FD3-6120-42BA-AB99-EBCD4DFB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22"/>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22"/>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22"/>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22"/>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05E2"/>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3A624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A624A"/>
    <w:rPr>
      <w:b/>
      <w:bCs/>
    </w:rPr>
  </w:style>
  <w:style w:type="character" w:customStyle="1" w:styleId="CommentSubjectChar">
    <w:name w:val="Comment Subject Char"/>
    <w:basedOn w:val="CommentTextChar"/>
    <w:link w:val="CommentSubject"/>
    <w:uiPriority w:val="99"/>
    <w:semiHidden/>
    <w:rsid w:val="003A624A"/>
    <w:rPr>
      <w:rFonts w:ascii="Arial" w:hAnsi="Arial" w:cs="Arial"/>
      <w:b/>
      <w:bCs/>
      <w:sz w:val="20"/>
      <w:szCs w:val="20"/>
    </w:rPr>
  </w:style>
  <w:style w:type="paragraph" w:styleId="BalloonText">
    <w:name w:val="Balloon Text"/>
    <w:basedOn w:val="Normal"/>
    <w:link w:val="BalloonTextChar"/>
    <w:uiPriority w:val="99"/>
    <w:semiHidden/>
    <w:unhideWhenUsed/>
    <w:rsid w:val="003A624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24A"/>
    <w:rPr>
      <w:rFonts w:ascii="Segoe UI" w:hAnsi="Segoe UI" w:cs="Segoe UI"/>
      <w:sz w:val="18"/>
      <w:szCs w:val="18"/>
    </w:rPr>
  </w:style>
  <w:style w:type="paragraph" w:styleId="Revision">
    <w:name w:val="Revision"/>
    <w:hidden/>
    <w:uiPriority w:val="99"/>
    <w:semiHidden/>
    <w:rsid w:val="001F7C2E"/>
    <w:pPr>
      <w:spacing w:after="0" w:line="240" w:lineRule="auto"/>
    </w:pPr>
    <w:rPr>
      <w:rFonts w:ascii="Arial" w:hAnsi="Arial" w:cs="Arial"/>
    </w:rPr>
  </w:style>
  <w:style w:type="character" w:customStyle="1" w:styleId="fontstyle01">
    <w:name w:val="fontstyle01"/>
    <w:basedOn w:val="DefaultParagraphFont"/>
    <w:rsid w:val="0095298E"/>
    <w:rPr>
      <w:rFonts w:ascii="Arial" w:hAnsi="Arial" w:cs="Arial" w:hint="default"/>
      <w:b w:val="0"/>
      <w:bCs w:val="0"/>
      <w:i w:val="0"/>
      <w:iCs w:val="0"/>
      <w:color w:val="000000"/>
      <w:sz w:val="22"/>
      <w:szCs w:val="22"/>
    </w:rPr>
  </w:style>
  <w:style w:type="table" w:styleId="TableGrid">
    <w:name w:val="Table Grid"/>
    <w:basedOn w:val="TableNormal"/>
    <w:uiPriority w:val="59"/>
    <w:rsid w:val="00952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298E"/>
    <w:pPr>
      <w:spacing w:before="0" w:after="200" w:line="276" w:lineRule="auto"/>
      <w:ind w:left="720"/>
      <w:contextualSpacing/>
      <w:jc w:val="left"/>
    </w:pPr>
    <w:rPr>
      <w:rFonts w:asciiTheme="minorHAnsi" w:hAnsiTheme="minorHAnsi" w:cstheme="minorBidi"/>
    </w:rPr>
  </w:style>
  <w:style w:type="paragraph" w:styleId="Caption">
    <w:name w:val="caption"/>
    <w:basedOn w:val="Normal"/>
    <w:next w:val="Normal"/>
    <w:uiPriority w:val="35"/>
    <w:unhideWhenUsed/>
    <w:qFormat/>
    <w:rsid w:val="0095298E"/>
    <w:pPr>
      <w:spacing w:before="0" w:after="200"/>
    </w:pPr>
    <w:rPr>
      <w:i/>
      <w:iCs/>
      <w:color w:val="1F497D" w:themeColor="text2"/>
      <w:sz w:val="18"/>
      <w:szCs w:val="18"/>
    </w:rPr>
  </w:style>
  <w:style w:type="paragraph" w:styleId="PlainText">
    <w:name w:val="Plain Text"/>
    <w:basedOn w:val="Normal"/>
    <w:link w:val="PlainTextChar"/>
    <w:uiPriority w:val="99"/>
    <w:semiHidden/>
    <w:unhideWhenUsed/>
    <w:rsid w:val="00AA274F"/>
    <w:pPr>
      <w:spacing w:before="0" w:after="0"/>
      <w:jc w:val="left"/>
    </w:pPr>
    <w:rPr>
      <w:rFonts w:ascii="Calibri" w:hAnsi="Calibri" w:cstheme="minorBidi"/>
      <w:szCs w:val="21"/>
    </w:rPr>
  </w:style>
  <w:style w:type="character" w:customStyle="1" w:styleId="PlainTextChar">
    <w:name w:val="Plain Text Char"/>
    <w:basedOn w:val="DefaultParagraphFont"/>
    <w:link w:val="PlainText"/>
    <w:uiPriority w:val="99"/>
    <w:semiHidden/>
    <w:rsid w:val="00AA274F"/>
    <w:rPr>
      <w:rFonts w:ascii="Calibri" w:hAnsi="Calibri"/>
      <w:szCs w:val="21"/>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8"/>
      </w:numPr>
      <w:spacing w:before="60" w:after="60"/>
    </w:pPr>
    <w:rPr>
      <w:sz w:val="18"/>
    </w:rPr>
  </w:style>
  <w:style w:type="paragraph" w:customStyle="1" w:styleId="TabelleListe">
    <w:name w:val="Tabelle Liste"/>
    <w:basedOn w:val="Normal"/>
    <w:rsid w:val="00A147E3"/>
    <w:pPr>
      <w:numPr>
        <w:numId w:val="19"/>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17"/>
      </w:numPr>
      <w:tabs>
        <w:tab w:val="left" w:pos="0"/>
      </w:tabs>
    </w:pPr>
  </w:style>
  <w:style w:type="paragraph" w:customStyle="1" w:styleId="ListeFolgeabsatzStufe1">
    <w:name w:val="Liste Folgeabsatz (Stufe 1)"/>
    <w:basedOn w:val="Normal"/>
    <w:rsid w:val="00A147E3"/>
    <w:pPr>
      <w:numPr>
        <w:ilvl w:val="1"/>
        <w:numId w:val="17"/>
      </w:numPr>
    </w:pPr>
  </w:style>
  <w:style w:type="paragraph" w:customStyle="1" w:styleId="ListeStufe2">
    <w:name w:val="Liste (Stufe 2)"/>
    <w:basedOn w:val="Normal"/>
    <w:rsid w:val="00A147E3"/>
    <w:pPr>
      <w:numPr>
        <w:ilvl w:val="2"/>
        <w:numId w:val="17"/>
      </w:numPr>
    </w:pPr>
  </w:style>
  <w:style w:type="paragraph" w:customStyle="1" w:styleId="ListeFolgeabsatzStufe2">
    <w:name w:val="Liste Folgeabsatz (Stufe 2)"/>
    <w:basedOn w:val="Normal"/>
    <w:rsid w:val="00A147E3"/>
    <w:pPr>
      <w:numPr>
        <w:ilvl w:val="3"/>
        <w:numId w:val="17"/>
      </w:numPr>
    </w:pPr>
  </w:style>
  <w:style w:type="paragraph" w:customStyle="1" w:styleId="ListeStufe3">
    <w:name w:val="Liste (Stufe 3)"/>
    <w:basedOn w:val="Normal"/>
    <w:rsid w:val="00A147E3"/>
    <w:pPr>
      <w:numPr>
        <w:ilvl w:val="4"/>
        <w:numId w:val="17"/>
      </w:numPr>
    </w:pPr>
  </w:style>
  <w:style w:type="paragraph" w:customStyle="1" w:styleId="ListeFolgeabsatzStufe3">
    <w:name w:val="Liste Folgeabsatz (Stufe 3)"/>
    <w:basedOn w:val="Normal"/>
    <w:rsid w:val="00A147E3"/>
    <w:pPr>
      <w:numPr>
        <w:ilvl w:val="5"/>
        <w:numId w:val="17"/>
      </w:numPr>
    </w:pPr>
  </w:style>
  <w:style w:type="paragraph" w:customStyle="1" w:styleId="ListeStufe4">
    <w:name w:val="Liste (Stufe 4)"/>
    <w:basedOn w:val="Normal"/>
    <w:rsid w:val="00A147E3"/>
    <w:pPr>
      <w:numPr>
        <w:ilvl w:val="6"/>
        <w:numId w:val="17"/>
      </w:numPr>
    </w:pPr>
  </w:style>
  <w:style w:type="paragraph" w:customStyle="1" w:styleId="ListeFolgeabsatzStufe4">
    <w:name w:val="Liste Folgeabsatz (Stufe 4)"/>
    <w:basedOn w:val="Normal"/>
    <w:rsid w:val="00A147E3"/>
    <w:pPr>
      <w:numPr>
        <w:ilvl w:val="7"/>
        <w:numId w:val="17"/>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12"/>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13"/>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14"/>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15"/>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6"/>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32"/>
      </w:numPr>
      <w:outlineLvl w:val="5"/>
    </w:pPr>
  </w:style>
  <w:style w:type="paragraph" w:customStyle="1" w:styleId="NummerierungStufe2">
    <w:name w:val="Nummerierung (Stufe 2)"/>
    <w:basedOn w:val="Normal"/>
    <w:rsid w:val="00A147E3"/>
    <w:pPr>
      <w:numPr>
        <w:ilvl w:val="4"/>
        <w:numId w:val="32"/>
      </w:numPr>
    </w:pPr>
  </w:style>
  <w:style w:type="paragraph" w:customStyle="1" w:styleId="NummerierungStufe3">
    <w:name w:val="Nummerierung (Stufe 3)"/>
    <w:basedOn w:val="Normal"/>
    <w:rsid w:val="00A147E3"/>
    <w:pPr>
      <w:numPr>
        <w:ilvl w:val="5"/>
        <w:numId w:val="32"/>
      </w:numPr>
    </w:pPr>
  </w:style>
  <w:style w:type="paragraph" w:customStyle="1" w:styleId="NummerierungStufe4">
    <w:name w:val="Nummerierung (Stufe 4)"/>
    <w:basedOn w:val="Normal"/>
    <w:rsid w:val="00A147E3"/>
    <w:pPr>
      <w:numPr>
        <w:ilvl w:val="6"/>
        <w:numId w:val="32"/>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20"/>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21"/>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33"/>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32"/>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32"/>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34"/>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35"/>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34"/>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35"/>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34"/>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35"/>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34"/>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35"/>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34"/>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35"/>
      </w:numPr>
      <w:spacing w:after="240"/>
      <w:jc w:val="center"/>
      <w:outlineLvl w:val="2"/>
    </w:pPr>
  </w:style>
  <w:style w:type="paragraph" w:customStyle="1" w:styleId="TitelBezeichner">
    <w:name w:val="Titel Bezeichner"/>
    <w:basedOn w:val="Normal"/>
    <w:next w:val="Titelberschrift"/>
    <w:rsid w:val="00A147E3"/>
    <w:pPr>
      <w:keepNext/>
      <w:numPr>
        <w:ilvl w:val="5"/>
        <w:numId w:val="34"/>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35"/>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34"/>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35"/>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36"/>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36"/>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23"/>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23"/>
      </w:numPr>
    </w:pPr>
    <w:rPr>
      <w:color w:val="800000"/>
    </w:rPr>
  </w:style>
  <w:style w:type="paragraph" w:customStyle="1" w:styleId="RevisionNummerierungStufe2">
    <w:name w:val="Revision Nummerierung (Stufe 2)"/>
    <w:basedOn w:val="Normal"/>
    <w:rsid w:val="00A147E3"/>
    <w:pPr>
      <w:numPr>
        <w:ilvl w:val="4"/>
        <w:numId w:val="23"/>
      </w:numPr>
    </w:pPr>
    <w:rPr>
      <w:color w:val="800000"/>
    </w:rPr>
  </w:style>
  <w:style w:type="paragraph" w:customStyle="1" w:styleId="RevisionNummerierungStufe3">
    <w:name w:val="Revision Nummerierung (Stufe 3)"/>
    <w:basedOn w:val="Normal"/>
    <w:rsid w:val="00A147E3"/>
    <w:pPr>
      <w:numPr>
        <w:ilvl w:val="5"/>
        <w:numId w:val="23"/>
      </w:numPr>
    </w:pPr>
    <w:rPr>
      <w:color w:val="800000"/>
    </w:rPr>
  </w:style>
  <w:style w:type="paragraph" w:customStyle="1" w:styleId="RevisionNummerierungStufe4">
    <w:name w:val="Revision Nummerierung (Stufe 4)"/>
    <w:basedOn w:val="Normal"/>
    <w:rsid w:val="00A147E3"/>
    <w:pPr>
      <w:numPr>
        <w:ilvl w:val="6"/>
        <w:numId w:val="23"/>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23"/>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23"/>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30"/>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24"/>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24"/>
      </w:numPr>
    </w:pPr>
    <w:rPr>
      <w:color w:val="800000"/>
    </w:rPr>
  </w:style>
  <w:style w:type="paragraph" w:customStyle="1" w:styleId="RevisionListeStufe2">
    <w:name w:val="Revision Liste (Stufe 2)"/>
    <w:basedOn w:val="Normal"/>
    <w:rsid w:val="00A147E3"/>
    <w:pPr>
      <w:numPr>
        <w:ilvl w:val="2"/>
        <w:numId w:val="24"/>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24"/>
      </w:numPr>
    </w:pPr>
    <w:rPr>
      <w:color w:val="800000"/>
    </w:rPr>
  </w:style>
  <w:style w:type="paragraph" w:customStyle="1" w:styleId="RevisionListeStufe3">
    <w:name w:val="Revision Liste (Stufe 3)"/>
    <w:basedOn w:val="Normal"/>
    <w:rsid w:val="00A147E3"/>
    <w:pPr>
      <w:numPr>
        <w:ilvl w:val="4"/>
        <w:numId w:val="24"/>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24"/>
      </w:numPr>
    </w:pPr>
    <w:rPr>
      <w:color w:val="800000"/>
    </w:rPr>
  </w:style>
  <w:style w:type="paragraph" w:customStyle="1" w:styleId="RevisionListeStufe4">
    <w:name w:val="Revision Liste (Stufe 4)"/>
    <w:basedOn w:val="Normal"/>
    <w:rsid w:val="00A147E3"/>
    <w:pPr>
      <w:numPr>
        <w:ilvl w:val="6"/>
        <w:numId w:val="24"/>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24"/>
      </w:numPr>
    </w:pPr>
    <w:rPr>
      <w:color w:val="800000"/>
    </w:rPr>
  </w:style>
  <w:style w:type="paragraph" w:customStyle="1" w:styleId="RevisionAufzhlungStufe1">
    <w:name w:val="Revision Aufzählung (Stufe 1)"/>
    <w:basedOn w:val="Normal"/>
    <w:rsid w:val="00A147E3"/>
    <w:pPr>
      <w:numPr>
        <w:numId w:val="25"/>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6"/>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7"/>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8"/>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9"/>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31"/>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32"/>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02080">
      <w:bodyDiv w:val="1"/>
      <w:marLeft w:val="0"/>
      <w:marRight w:val="0"/>
      <w:marTop w:val="0"/>
      <w:marBottom w:val="0"/>
      <w:divBdr>
        <w:top w:val="none" w:sz="0" w:space="0" w:color="auto"/>
        <w:left w:val="none" w:sz="0" w:space="0" w:color="auto"/>
        <w:bottom w:val="none" w:sz="0" w:space="0" w:color="auto"/>
        <w:right w:val="none" w:sz="0" w:space="0" w:color="auto"/>
      </w:divBdr>
    </w:div>
    <w:div w:id="493108304">
      <w:bodyDiv w:val="1"/>
      <w:marLeft w:val="0"/>
      <w:marRight w:val="0"/>
      <w:marTop w:val="0"/>
      <w:marBottom w:val="0"/>
      <w:divBdr>
        <w:top w:val="none" w:sz="0" w:space="0" w:color="auto"/>
        <w:left w:val="none" w:sz="0" w:space="0" w:color="auto"/>
        <w:bottom w:val="none" w:sz="0" w:space="0" w:color="auto"/>
        <w:right w:val="none" w:sz="0" w:space="0" w:color="auto"/>
      </w:divBdr>
    </w:div>
    <w:div w:id="710687424">
      <w:bodyDiv w:val="1"/>
      <w:marLeft w:val="0"/>
      <w:marRight w:val="0"/>
      <w:marTop w:val="0"/>
      <w:marBottom w:val="0"/>
      <w:divBdr>
        <w:top w:val="none" w:sz="0" w:space="0" w:color="auto"/>
        <w:left w:val="none" w:sz="0" w:space="0" w:color="auto"/>
        <w:bottom w:val="none" w:sz="0" w:space="0" w:color="auto"/>
        <w:right w:val="none" w:sz="0" w:space="0" w:color="auto"/>
      </w:divBdr>
    </w:div>
    <w:div w:id="889801152">
      <w:bodyDiv w:val="1"/>
      <w:marLeft w:val="0"/>
      <w:marRight w:val="0"/>
      <w:marTop w:val="0"/>
      <w:marBottom w:val="0"/>
      <w:divBdr>
        <w:top w:val="none" w:sz="0" w:space="0" w:color="auto"/>
        <w:left w:val="none" w:sz="0" w:space="0" w:color="auto"/>
        <w:bottom w:val="none" w:sz="0" w:space="0" w:color="auto"/>
        <w:right w:val="none" w:sz="0" w:space="0" w:color="auto"/>
      </w:divBdr>
    </w:div>
    <w:div w:id="1009406154">
      <w:bodyDiv w:val="1"/>
      <w:marLeft w:val="0"/>
      <w:marRight w:val="0"/>
      <w:marTop w:val="0"/>
      <w:marBottom w:val="0"/>
      <w:divBdr>
        <w:top w:val="none" w:sz="0" w:space="0" w:color="auto"/>
        <w:left w:val="none" w:sz="0" w:space="0" w:color="auto"/>
        <w:bottom w:val="none" w:sz="0" w:space="0" w:color="auto"/>
        <w:right w:val="none" w:sz="0" w:space="0" w:color="auto"/>
      </w:divBdr>
    </w:div>
    <w:div w:id="1070276787">
      <w:bodyDiv w:val="1"/>
      <w:marLeft w:val="0"/>
      <w:marRight w:val="0"/>
      <w:marTop w:val="0"/>
      <w:marBottom w:val="0"/>
      <w:divBdr>
        <w:top w:val="none" w:sz="0" w:space="0" w:color="auto"/>
        <w:left w:val="none" w:sz="0" w:space="0" w:color="auto"/>
        <w:bottom w:val="none" w:sz="0" w:space="0" w:color="auto"/>
        <w:right w:val="none" w:sz="0" w:space="0" w:color="auto"/>
      </w:divBdr>
    </w:div>
    <w:div w:id="1129133524">
      <w:bodyDiv w:val="1"/>
      <w:marLeft w:val="0"/>
      <w:marRight w:val="0"/>
      <w:marTop w:val="0"/>
      <w:marBottom w:val="0"/>
      <w:divBdr>
        <w:top w:val="none" w:sz="0" w:space="0" w:color="auto"/>
        <w:left w:val="none" w:sz="0" w:space="0" w:color="auto"/>
        <w:bottom w:val="none" w:sz="0" w:space="0" w:color="auto"/>
        <w:right w:val="none" w:sz="0" w:space="0" w:color="auto"/>
      </w:divBdr>
    </w:div>
    <w:div w:id="1224297167">
      <w:bodyDiv w:val="1"/>
      <w:marLeft w:val="0"/>
      <w:marRight w:val="0"/>
      <w:marTop w:val="0"/>
      <w:marBottom w:val="0"/>
      <w:divBdr>
        <w:top w:val="none" w:sz="0" w:space="0" w:color="auto"/>
        <w:left w:val="none" w:sz="0" w:space="0" w:color="auto"/>
        <w:bottom w:val="none" w:sz="0" w:space="0" w:color="auto"/>
        <w:right w:val="none" w:sz="0" w:space="0" w:color="auto"/>
      </w:divBdr>
    </w:div>
    <w:div w:id="1429306719">
      <w:bodyDiv w:val="1"/>
      <w:marLeft w:val="0"/>
      <w:marRight w:val="0"/>
      <w:marTop w:val="0"/>
      <w:marBottom w:val="0"/>
      <w:divBdr>
        <w:top w:val="none" w:sz="0" w:space="0" w:color="auto"/>
        <w:left w:val="none" w:sz="0" w:space="0" w:color="auto"/>
        <w:bottom w:val="none" w:sz="0" w:space="0" w:color="auto"/>
        <w:right w:val="none" w:sz="0" w:space="0" w:color="auto"/>
      </w:divBdr>
    </w:div>
    <w:div w:id="1612972436">
      <w:bodyDiv w:val="1"/>
      <w:marLeft w:val="0"/>
      <w:marRight w:val="0"/>
      <w:marTop w:val="0"/>
      <w:marBottom w:val="0"/>
      <w:divBdr>
        <w:top w:val="none" w:sz="0" w:space="0" w:color="auto"/>
        <w:left w:val="none" w:sz="0" w:space="0" w:color="auto"/>
        <w:bottom w:val="none" w:sz="0" w:space="0" w:color="auto"/>
        <w:right w:val="none" w:sz="0" w:space="0" w:color="auto"/>
      </w:divBdr>
    </w:div>
    <w:div w:id="20434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868AE-0A34-469D-92D9-8A7E44FEE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24</TotalTime>
  <Pages>45</Pages>
  <Words>18662</Words>
  <Characters>106377</Characters>
  <Application>Microsoft Office Word</Application>
  <DocSecurity>0</DocSecurity>
  <Lines>886</Lines>
  <Paragraphs>249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Pajung, Werner (A402)</dc:creator>
  <cp:keywords/>
  <dc:description/>
  <cp:lastModifiedBy>PRATAS, Soraia</cp:lastModifiedBy>
  <cp:revision>12</cp:revision>
  <cp:lastPrinted>2021-01-03T10:24:00Z</cp:lastPrinted>
  <dcterms:created xsi:type="dcterms:W3CDTF">2021-02-08T10:13:00Z</dcterms:created>
  <dcterms:modified xsi:type="dcterms:W3CDTF">2021-02-26T11:42:00Z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der Justiz und für Verbraucherschutz</vt:lpwstr>
  </property>
  <property fmtid="{D5CDD505-2E9C-101B-9397-08002B2CF9AE}" pid="3" name="Bearbeitungsstand">
    <vt:lpwstr>Bearbeitungsstand: 01.02.2021  16:22 Uhr</vt:lpwstr>
  </property>
  <property fmtid="{D5CDD505-2E9C-101B-9397-08002B2CF9AE}" pid="4" name="Kategorie">
    <vt:lpwstr>AENDER/ARTGES</vt:lpwstr>
  </property>
  <property fmtid="{D5CDD505-2E9C-101B-9397-08002B2CF9AE}" pid="5" name="Classification">
    <vt:lpwstr> </vt:lpwstr>
  </property>
  <property fmtid="{D5CDD505-2E9C-101B-9397-08002B2CF9AE}" pid="6" name="Version">
    <vt:lpwstr>4.0.3.0</vt:lpwstr>
  </property>
  <property fmtid="{D5CDD505-2E9C-101B-9397-08002B2CF9AE}" pid="7" name="Created using">
    <vt:lpwstr>LW 5.4, Build 20190301</vt:lpwstr>
  </property>
  <property fmtid="{D5CDD505-2E9C-101B-9397-08002B2CF9AE}" pid="8" name="Last edited using">
    <vt:lpwstr>LW 5.4, Build 20200526</vt:lpwstr>
  </property>
  <property fmtid="{D5CDD505-2E9C-101B-9397-08002B2CF9AE}" pid="9" name="eNorm-Version Erstellung">
    <vt:lpwstr>4.0.3.1, Bundesregierung, [20190301]</vt:lpwstr>
  </property>
  <property fmtid="{D5CDD505-2E9C-101B-9397-08002B2CF9AE}" pid="10" name="eNorm-Version vorherige Bearbeitung">
    <vt:lpwstr>4.1.5 Bundesregierung [20200526]</vt:lpwstr>
  </property>
  <property fmtid="{D5CDD505-2E9C-101B-9397-08002B2CF9AE}" pid="11" name="eNorm-Version letzte Bearbeitung">
    <vt:lpwstr>4.1.5 Bundesregierung [20200526]</vt:lpwstr>
  </property>
  <property fmtid="{D5CDD505-2E9C-101B-9397-08002B2CF9AE}" pid="12" name="DQP-Ergebnis für Version 4">
    <vt:lpwstr>1 Fehler</vt:lpwstr>
  </property>
  <property fmtid="{D5CDD505-2E9C-101B-9397-08002B2CF9AE}" pid="13" name="eNorm-Version letzte DQP">
    <vt:lpwstr>4.1.5, Bundesregierung, [20200526]</vt:lpwstr>
  </property>
  <property fmtid="{D5CDD505-2E9C-101B-9397-08002B2CF9AE}" pid="14" name="Meta_Bezeichnung">
    <vt:lpwstr>Entwurf eines Ersten Gesetzes zur Änderung des Umweltstatistikgesetzes und anderer Gesetze</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Dieses Gesetz wurde notifiziert gemäß der Richtlinie 94/62/EG des Europäischen Parlaments und des Rates vom 20. Dezember 1994 über Verpackungen und Verpackungsabfälle (ABl. L 365 vom 31.12.1994, S. 10) zuletzt geändert durch die Richtlinie (EU) 2018/852 d</vt:lpwstr>
  </property>
  <property fmtid="{D5CDD505-2E9C-101B-9397-08002B2CF9AE}" pid="20" name="Meta_Umsetzung von EU-Recht_2">
    <vt:lpwstr>es Europäischen Parlaments und des Rates vom 30. Mai 2018 (ABL. L 150 vom 14.06.2018, S. 141).</vt:lpwstr>
  </property>
  <property fmtid="{D5CDD505-2E9C-101B-9397-08002B2CF9AE}" pid="21" name="Meta_Anlagen">
    <vt:lpwstr/>
  </property>
</Properties>
</file>