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B76" w:rsidRPr="00EE0763" w:rsidRDefault="008C0F22" w:rsidP="00810B76">
      <w:pPr>
        <w:pStyle w:val="PlainText"/>
        <w:rPr>
          <w:rFonts w:ascii="Courier New" w:hAnsi="Courier New" w:cs="Courier New"/>
          <w:sz w:val="20"/>
          <w:szCs w:val="20"/>
        </w:rPr>
      </w:pPr>
      <w:r w:rsidRPr="00EE0763">
        <w:rPr>
          <w:rFonts w:ascii="Courier New" w:hAnsi="Courier New"/>
          <w:sz w:val="20"/>
        </w:rPr>
        <w:t>1. ------IND- 2017</w:t>
      </w:r>
      <w:r w:rsidR="00E75F5A">
        <w:rPr>
          <w:rFonts w:ascii="Courier New" w:hAnsi="Courier New"/>
          <w:sz w:val="20"/>
        </w:rPr>
        <w:t xml:space="preserve"> </w:t>
      </w:r>
      <w:bookmarkStart w:id="0" w:name="_GoBack"/>
      <w:bookmarkEnd w:id="0"/>
      <w:r w:rsidRPr="00EE0763">
        <w:rPr>
          <w:rFonts w:ascii="Courier New" w:hAnsi="Courier New"/>
          <w:sz w:val="20"/>
        </w:rPr>
        <w:t xml:space="preserve">0322 SK- DA- ------ 20190416 --- --- FINAL </w:t>
      </w:r>
    </w:p>
    <w:p w:rsidR="00810B76" w:rsidRDefault="00810B76" w:rsidP="00B3535A">
      <w:pPr>
        <w:widowControl/>
        <w:shd w:val="clear" w:color="auto" w:fill="FFFFFF"/>
        <w:spacing w:before="120"/>
        <w:jc w:val="center"/>
        <w:rPr>
          <w:color w:val="000000"/>
          <w:sz w:val="44"/>
          <w:szCs w:val="44"/>
        </w:rPr>
      </w:pPr>
    </w:p>
    <w:p w:rsidR="00E16F77" w:rsidRPr="00D06F2A" w:rsidRDefault="00E16F77" w:rsidP="00B3535A">
      <w:pPr>
        <w:widowControl/>
        <w:shd w:val="clear" w:color="auto" w:fill="FFFFFF"/>
        <w:spacing w:before="120"/>
        <w:jc w:val="center"/>
        <w:rPr>
          <w:color w:val="000000"/>
          <w:sz w:val="44"/>
          <w:szCs w:val="44"/>
        </w:rPr>
      </w:pPr>
      <w:r>
        <w:rPr>
          <w:color w:val="000000"/>
          <w:sz w:val="44"/>
        </w:rPr>
        <w:t xml:space="preserve">DEN SLOVAKISKE REPUBLIKS </w:t>
      </w:r>
      <w:r>
        <w:rPr>
          <w:noProof/>
          <w:szCs w:val="44"/>
          <w:lang w:val="en-US" w:eastAsia="zh-CN" w:bidi="ar-SA"/>
        </w:rPr>
        <w:drawing>
          <wp:inline distT="0" distB="0" distL="0" distR="0">
            <wp:extent cx="590550" cy="685800"/>
            <wp:effectExtent l="0" t="0" r="0" b="0"/>
            <wp:docPr id="1" name="Bild 1" descr="ciernobi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ernobiele"/>
                    <pic:cNvPicPr>
                      <a:picLocks noChangeAspect="1" noChangeArrowheads="1"/>
                    </pic:cNvPicPr>
                  </pic:nvPicPr>
                  <pic:blipFill>
                    <a:blip r:embed="rId8">
                      <a:extLst>
                        <a:ext uri="{28A0092B-C50C-407E-A947-70E740481C1C}">
                          <a14:useLocalDpi xmlns:a14="http://schemas.microsoft.com/office/drawing/2010/main" val="0"/>
                        </a:ext>
                      </a:extLst>
                    </a:blip>
                    <a:srcRect l="2061" t="9798" r="82469" b="29356"/>
                    <a:stretch>
                      <a:fillRect/>
                    </a:stretch>
                  </pic:blipFill>
                  <pic:spPr bwMode="auto">
                    <a:xfrm>
                      <a:off x="0" y="0"/>
                      <a:ext cx="590550" cy="685800"/>
                    </a:xfrm>
                    <a:prstGeom prst="rect">
                      <a:avLst/>
                    </a:prstGeom>
                    <a:noFill/>
                    <a:ln>
                      <a:noFill/>
                    </a:ln>
                  </pic:spPr>
                </pic:pic>
              </a:graphicData>
            </a:graphic>
          </wp:inline>
        </w:drawing>
      </w:r>
    </w:p>
    <w:p w:rsidR="00E16F77" w:rsidRPr="00D06F2A" w:rsidRDefault="00E16F77" w:rsidP="00B3535A">
      <w:pPr>
        <w:widowControl/>
        <w:shd w:val="clear" w:color="auto" w:fill="FFFFFF"/>
        <w:spacing w:before="120"/>
        <w:jc w:val="center"/>
        <w:rPr>
          <w:color w:val="000000"/>
        </w:rPr>
      </w:pPr>
      <w:r>
        <w:rPr>
          <w:color w:val="000000"/>
          <w:sz w:val="32"/>
        </w:rPr>
        <w:t>LOVSAMLING</w:t>
      </w:r>
    </w:p>
    <w:p w:rsidR="00E16F77" w:rsidRPr="00D06F2A" w:rsidRDefault="00E16F77" w:rsidP="00B3535A">
      <w:pPr>
        <w:widowControl/>
        <w:shd w:val="clear" w:color="auto" w:fill="FFFFFF"/>
        <w:spacing w:before="120"/>
        <w:jc w:val="center"/>
        <w:rPr>
          <w:color w:val="000000"/>
          <w:sz w:val="28"/>
          <w:szCs w:val="28"/>
        </w:rPr>
      </w:pPr>
      <w:r>
        <w:rPr>
          <w:color w:val="000000"/>
          <w:sz w:val="28"/>
        </w:rPr>
        <w:t>Bind 2018</w:t>
      </w:r>
    </w:p>
    <w:p w:rsidR="00E16F77" w:rsidRPr="00D06F2A" w:rsidRDefault="00E16F77" w:rsidP="00B3535A">
      <w:pPr>
        <w:widowControl/>
        <w:pBdr>
          <w:top w:val="single" w:sz="4" w:space="1" w:color="auto"/>
        </w:pBdr>
        <w:shd w:val="clear" w:color="auto" w:fill="FFFFFF"/>
        <w:tabs>
          <w:tab w:val="right" w:pos="9072"/>
        </w:tabs>
        <w:spacing w:before="120"/>
        <w:rPr>
          <w:color w:val="000000"/>
        </w:rPr>
      </w:pPr>
      <w:r>
        <w:rPr>
          <w:color w:val="000000"/>
        </w:rPr>
        <w:t>Offentliggjort: 7. marts 2018</w:t>
      </w:r>
      <w:r>
        <w:tab/>
      </w:r>
      <w:r>
        <w:rPr>
          <w:color w:val="000000"/>
        </w:rPr>
        <w:t>Tiden, som lovgivningen træder i kraft fra: 1. april 2018 til: 31. marts 2020</w:t>
      </w:r>
    </w:p>
    <w:p w:rsidR="00E16F77" w:rsidRPr="00D06F2A" w:rsidRDefault="00E16F77" w:rsidP="00B3535A">
      <w:pPr>
        <w:widowControl/>
        <w:shd w:val="clear" w:color="auto" w:fill="FFFFFF"/>
        <w:spacing w:before="480" w:after="240"/>
        <w:jc w:val="center"/>
        <w:rPr>
          <w:b/>
          <w:bCs/>
          <w:color w:val="000000"/>
        </w:rPr>
      </w:pPr>
      <w:r>
        <w:rPr>
          <w:b/>
          <w:color w:val="000000"/>
        </w:rPr>
        <w:t>Indholdet i dette dokument er juridisk bindende.</w:t>
      </w:r>
    </w:p>
    <w:p w:rsidR="00E16F77" w:rsidRPr="00D06F2A" w:rsidRDefault="00E16F77" w:rsidP="00B3535A">
      <w:pPr>
        <w:widowControl/>
        <w:shd w:val="clear" w:color="auto" w:fill="FFFFFF"/>
        <w:spacing w:before="120"/>
        <w:jc w:val="center"/>
        <w:rPr>
          <w:color w:val="000000"/>
        </w:rPr>
      </w:pPr>
      <w:r>
        <w:rPr>
          <w:b/>
          <w:color w:val="000000"/>
        </w:rPr>
        <w:t>60</w:t>
      </w:r>
    </w:p>
    <w:p w:rsidR="00E16F77" w:rsidRPr="00E35FA4" w:rsidRDefault="00E16F77" w:rsidP="00B3535A">
      <w:pPr>
        <w:widowControl/>
        <w:shd w:val="clear" w:color="auto" w:fill="FFFFFF"/>
        <w:spacing w:before="120"/>
        <w:jc w:val="center"/>
        <w:rPr>
          <w:b/>
          <w:bCs/>
          <w:color w:val="000000"/>
        </w:rPr>
      </w:pPr>
      <w:r>
        <w:rPr>
          <w:b/>
          <w:color w:val="000000"/>
        </w:rPr>
        <w:t>LOV</w:t>
      </w:r>
    </w:p>
    <w:p w:rsidR="00E16F77" w:rsidRPr="00D06F2A" w:rsidRDefault="00E16F77" w:rsidP="00B3535A">
      <w:pPr>
        <w:widowControl/>
        <w:shd w:val="clear" w:color="auto" w:fill="FFFFFF"/>
        <w:spacing w:before="120"/>
        <w:jc w:val="center"/>
        <w:rPr>
          <w:color w:val="000000"/>
        </w:rPr>
      </w:pPr>
      <w:r>
        <w:rPr>
          <w:color w:val="000000"/>
        </w:rPr>
        <w:t>af 6. februar 2018</w:t>
      </w:r>
    </w:p>
    <w:p w:rsidR="00E16F77" w:rsidRPr="00E35FA4" w:rsidRDefault="00E16F77" w:rsidP="00B3535A">
      <w:pPr>
        <w:widowControl/>
        <w:shd w:val="clear" w:color="auto" w:fill="FFFFFF"/>
        <w:spacing w:before="120"/>
        <w:jc w:val="center"/>
        <w:rPr>
          <w:b/>
          <w:bCs/>
          <w:color w:val="000000"/>
        </w:rPr>
      </w:pPr>
      <w:r>
        <w:rPr>
          <w:b/>
          <w:color w:val="000000"/>
        </w:rPr>
        <w:t>om teknisk standardisering</w:t>
      </w:r>
    </w:p>
    <w:p w:rsidR="00E16F77" w:rsidRPr="00D06F2A" w:rsidRDefault="00E16F77" w:rsidP="00B3535A">
      <w:pPr>
        <w:widowControl/>
        <w:shd w:val="clear" w:color="auto" w:fill="FFFFFF"/>
        <w:spacing w:before="480" w:after="240"/>
        <w:rPr>
          <w:color w:val="000000"/>
        </w:rPr>
      </w:pPr>
      <w:r>
        <w:rPr>
          <w:color w:val="000000"/>
        </w:rPr>
        <w:t>Den Slovakiske Republiks nationalråd har vedtaget følgende lov:</w:t>
      </w:r>
    </w:p>
    <w:p w:rsidR="00B3535A" w:rsidRPr="00D06F2A" w:rsidRDefault="00E16F77" w:rsidP="00BB519B">
      <w:pPr>
        <w:keepNext/>
        <w:keepLines/>
        <w:widowControl/>
        <w:shd w:val="clear" w:color="auto" w:fill="FFFFFF"/>
        <w:spacing w:before="360"/>
        <w:jc w:val="center"/>
        <w:rPr>
          <w:b/>
          <w:bCs/>
          <w:color w:val="000000"/>
        </w:rPr>
      </w:pPr>
      <w:r>
        <w:rPr>
          <w:b/>
          <w:color w:val="000000"/>
        </w:rPr>
        <w:t>§ 1</w:t>
      </w:r>
    </w:p>
    <w:p w:rsidR="00E16F77" w:rsidRPr="00E35FA4" w:rsidRDefault="00E16F77" w:rsidP="00BB519B">
      <w:pPr>
        <w:keepNext/>
        <w:keepLines/>
        <w:widowControl/>
        <w:shd w:val="clear" w:color="auto" w:fill="FFFFFF"/>
        <w:jc w:val="center"/>
        <w:rPr>
          <w:b/>
          <w:bCs/>
          <w:color w:val="000000"/>
        </w:rPr>
      </w:pPr>
      <w:r>
        <w:rPr>
          <w:b/>
          <w:color w:val="000000"/>
        </w:rPr>
        <w:t>Anvendelsesområde</w:t>
      </w:r>
    </w:p>
    <w:p w:rsidR="00E16F77" w:rsidRPr="00D06F2A" w:rsidRDefault="00E16F77" w:rsidP="00D65D8D">
      <w:pPr>
        <w:keepNext/>
        <w:keepLines/>
        <w:widowControl/>
        <w:shd w:val="clear" w:color="auto" w:fill="FFFFFF"/>
        <w:spacing w:before="120"/>
        <w:rPr>
          <w:color w:val="000000"/>
        </w:rPr>
      </w:pPr>
      <w:r>
        <w:rPr>
          <w:color w:val="000000"/>
        </w:rPr>
        <w:t>Denne lov regulerer</w:t>
      </w:r>
    </w:p>
    <w:p w:rsidR="00B3535A" w:rsidRPr="00D06F2A" w:rsidRDefault="00B3535A" w:rsidP="00B3535A">
      <w:pPr>
        <w:widowControl/>
        <w:shd w:val="clear" w:color="auto" w:fill="FFFFFF"/>
        <w:tabs>
          <w:tab w:val="left" w:pos="283"/>
        </w:tabs>
        <w:spacing w:before="120"/>
        <w:ind w:left="284" w:hanging="284"/>
        <w:jc w:val="both"/>
        <w:rPr>
          <w:color w:val="000000"/>
        </w:rPr>
      </w:pPr>
      <w:r>
        <w:t>a)</w:t>
      </w:r>
      <w:r>
        <w:tab/>
        <w:t>bemyndigelsesrammen for det slovakiske kontor for standarder, metrologi og prøvning (herefter betegnet "Kontoret") i forbindelse med teknisk standardisering</w:t>
      </w:r>
    </w:p>
    <w:p w:rsidR="00B3535A" w:rsidRPr="00D06F2A" w:rsidRDefault="00B3535A" w:rsidP="00B3535A">
      <w:pPr>
        <w:widowControl/>
        <w:shd w:val="clear" w:color="auto" w:fill="FFFFFF"/>
        <w:tabs>
          <w:tab w:val="left" w:pos="283"/>
        </w:tabs>
        <w:spacing w:before="120"/>
        <w:ind w:left="284" w:hanging="284"/>
        <w:jc w:val="both"/>
        <w:rPr>
          <w:color w:val="000000"/>
        </w:rPr>
      </w:pPr>
      <w:r>
        <w:t>b)</w:t>
      </w:r>
      <w:r>
        <w:tab/>
        <w:t>rettigheder og forpligtelser for Kontoret for det slovakiske nationale standardiseringsorgan</w:t>
      </w:r>
    </w:p>
    <w:p w:rsidR="00B3535A" w:rsidRPr="00D06F2A" w:rsidRDefault="00B3535A" w:rsidP="00B3535A">
      <w:pPr>
        <w:widowControl/>
        <w:shd w:val="clear" w:color="auto" w:fill="FFFFFF"/>
        <w:tabs>
          <w:tab w:val="left" w:pos="283"/>
        </w:tabs>
        <w:spacing w:before="120"/>
        <w:ind w:left="284" w:hanging="284"/>
        <w:jc w:val="both"/>
        <w:rPr>
          <w:color w:val="000000"/>
        </w:rPr>
      </w:pPr>
      <w:r>
        <w:t>c)</w:t>
      </w:r>
      <w:r>
        <w:tab/>
        <w:t>udvikling, tilvejebringelse, reproduktion, distribution, verificering og annullering af slovakiske tekniske standarder og information om tekniske standarder</w:t>
      </w:r>
    </w:p>
    <w:p w:rsidR="00B3535A" w:rsidRPr="00D06F2A" w:rsidRDefault="00B3535A" w:rsidP="00B3535A">
      <w:pPr>
        <w:widowControl/>
        <w:shd w:val="clear" w:color="auto" w:fill="FFFFFF"/>
        <w:tabs>
          <w:tab w:val="left" w:pos="283"/>
        </w:tabs>
        <w:spacing w:before="120"/>
        <w:ind w:left="284" w:hanging="284"/>
        <w:jc w:val="both"/>
        <w:rPr>
          <w:color w:val="000000"/>
        </w:rPr>
      </w:pPr>
      <w:r>
        <w:t>d)</w:t>
      </w:r>
      <w:r>
        <w:tab/>
        <w:t>omkostninger for udvikling af slovakiske tekniske standarder og information om tekniske standarder</w:t>
      </w:r>
    </w:p>
    <w:p w:rsidR="00B3535A" w:rsidRPr="00D06F2A" w:rsidRDefault="00B3535A" w:rsidP="00B3535A">
      <w:pPr>
        <w:widowControl/>
        <w:shd w:val="clear" w:color="auto" w:fill="FFFFFF"/>
        <w:tabs>
          <w:tab w:val="left" w:pos="283"/>
        </w:tabs>
        <w:spacing w:before="120"/>
        <w:ind w:left="284" w:hanging="284"/>
        <w:jc w:val="both"/>
        <w:rPr>
          <w:color w:val="000000"/>
        </w:rPr>
      </w:pPr>
      <w:r>
        <w:t>e)</w:t>
      </w:r>
      <w:r>
        <w:tab/>
        <w:t>beskyttelse af slovakiske tekniske standarder og information om tekniske standarder</w:t>
      </w:r>
    </w:p>
    <w:p w:rsidR="00B3535A" w:rsidRPr="00D06F2A" w:rsidRDefault="00B3535A" w:rsidP="00B3535A">
      <w:pPr>
        <w:widowControl/>
        <w:shd w:val="clear" w:color="auto" w:fill="FFFFFF"/>
        <w:tabs>
          <w:tab w:val="left" w:pos="283"/>
        </w:tabs>
        <w:spacing w:before="120"/>
        <w:ind w:left="284" w:hanging="284"/>
        <w:jc w:val="both"/>
        <w:rPr>
          <w:color w:val="000000"/>
        </w:rPr>
      </w:pPr>
      <w:r>
        <w:t>f)</w:t>
      </w:r>
      <w:r>
        <w:tab/>
        <w:t>tilvejebringelse af andre tekniske standarder og andre information om tekniske standarder</w:t>
      </w:r>
    </w:p>
    <w:p w:rsidR="00E16F77" w:rsidRPr="00D06F2A" w:rsidRDefault="00E16F77" w:rsidP="00B3535A">
      <w:pPr>
        <w:widowControl/>
        <w:shd w:val="clear" w:color="auto" w:fill="FFFFFF"/>
        <w:tabs>
          <w:tab w:val="left" w:pos="283"/>
        </w:tabs>
        <w:spacing w:before="120"/>
        <w:ind w:left="284" w:hanging="284"/>
        <w:jc w:val="both"/>
        <w:rPr>
          <w:color w:val="000000"/>
        </w:rPr>
      </w:pPr>
      <w:r>
        <w:t>g)</w:t>
      </w:r>
      <w:r>
        <w:tab/>
        <w:t>tilsyn med denne lovs overholdelse</w:t>
      </w:r>
    </w:p>
    <w:p w:rsidR="00E16F77" w:rsidRPr="00D06F2A" w:rsidRDefault="00E16F77" w:rsidP="00B3535A">
      <w:pPr>
        <w:widowControl/>
        <w:shd w:val="clear" w:color="auto" w:fill="FFFFFF"/>
        <w:tabs>
          <w:tab w:val="left" w:pos="283"/>
        </w:tabs>
        <w:spacing w:before="120"/>
        <w:ind w:left="284" w:hanging="284"/>
        <w:jc w:val="both"/>
        <w:rPr>
          <w:color w:val="000000"/>
        </w:rPr>
      </w:pPr>
      <w:r>
        <w:t>h)</w:t>
      </w:r>
      <w:r>
        <w:tab/>
        <w:t>bødepålæg.</w:t>
      </w:r>
    </w:p>
    <w:p w:rsidR="00B3535A" w:rsidRPr="00D06F2A" w:rsidRDefault="00E16F77" w:rsidP="00BB519B">
      <w:pPr>
        <w:keepNext/>
        <w:keepLines/>
        <w:widowControl/>
        <w:shd w:val="clear" w:color="auto" w:fill="FFFFFF"/>
        <w:spacing w:before="360"/>
        <w:jc w:val="center"/>
        <w:rPr>
          <w:b/>
          <w:bCs/>
          <w:color w:val="000000"/>
        </w:rPr>
      </w:pPr>
      <w:r>
        <w:rPr>
          <w:b/>
          <w:color w:val="000000"/>
        </w:rPr>
        <w:t>§ 2</w:t>
      </w:r>
    </w:p>
    <w:p w:rsidR="00E16F77" w:rsidRPr="008015BE" w:rsidRDefault="00E16F77" w:rsidP="00BB519B">
      <w:pPr>
        <w:keepNext/>
        <w:keepLines/>
        <w:widowControl/>
        <w:shd w:val="clear" w:color="auto" w:fill="FFFFFF"/>
        <w:jc w:val="center"/>
        <w:rPr>
          <w:b/>
          <w:bCs/>
          <w:color w:val="000000"/>
        </w:rPr>
      </w:pPr>
      <w:r>
        <w:rPr>
          <w:b/>
          <w:color w:val="000000"/>
        </w:rPr>
        <w:t>Definitioner</w:t>
      </w:r>
    </w:p>
    <w:p w:rsidR="00E16F77" w:rsidRPr="00D06F2A" w:rsidRDefault="00E16F77" w:rsidP="00D65D8D">
      <w:pPr>
        <w:keepNext/>
        <w:keepLines/>
        <w:widowControl/>
        <w:shd w:val="clear" w:color="auto" w:fill="FFFFFF"/>
        <w:spacing w:before="120"/>
        <w:rPr>
          <w:color w:val="000000"/>
        </w:rPr>
      </w:pPr>
      <w:r>
        <w:rPr>
          <w:color w:val="000000"/>
        </w:rPr>
        <w:t>For så vidt angår denne lov, gælder følgende definitioner:</w:t>
      </w:r>
    </w:p>
    <w:p w:rsidR="00E16F77" w:rsidRPr="00D06F2A" w:rsidRDefault="00E16F77" w:rsidP="003E6A72">
      <w:pPr>
        <w:widowControl/>
        <w:numPr>
          <w:ilvl w:val="0"/>
          <w:numId w:val="1"/>
        </w:numPr>
        <w:shd w:val="clear" w:color="auto" w:fill="FFFFFF"/>
        <w:tabs>
          <w:tab w:val="left" w:pos="283"/>
        </w:tabs>
        <w:spacing w:before="120"/>
        <w:ind w:left="284" w:hanging="284"/>
        <w:jc w:val="both"/>
        <w:rPr>
          <w:color w:val="000000"/>
        </w:rPr>
      </w:pPr>
      <w:r>
        <w:rPr>
          <w:color w:val="000000"/>
        </w:rPr>
        <w:t>"anden teknisk standard" betyder en teknisk standard, der omtales i en særskilt lovgivning</w:t>
      </w:r>
      <w:r>
        <w:rPr>
          <w:color w:val="000000"/>
          <w:vertAlign w:val="superscript"/>
        </w:rPr>
        <w:t>1)</w:t>
      </w:r>
      <w:r>
        <w:rPr>
          <w:color w:val="000000"/>
        </w:rPr>
        <w:t>, der adskiller sig fra en original slovakisk teknisk standard</w:t>
      </w:r>
    </w:p>
    <w:p w:rsidR="00E16F77" w:rsidRPr="00D06F2A" w:rsidRDefault="00E16F77" w:rsidP="003E6A72">
      <w:pPr>
        <w:widowControl/>
        <w:numPr>
          <w:ilvl w:val="0"/>
          <w:numId w:val="1"/>
        </w:numPr>
        <w:shd w:val="clear" w:color="auto" w:fill="FFFFFF"/>
        <w:tabs>
          <w:tab w:val="left" w:pos="283"/>
        </w:tabs>
        <w:spacing w:before="120"/>
        <w:ind w:left="284" w:hanging="284"/>
        <w:jc w:val="both"/>
        <w:rPr>
          <w:color w:val="000000"/>
        </w:rPr>
      </w:pPr>
      <w:r>
        <w:rPr>
          <w:color w:val="000000"/>
        </w:rPr>
        <w:t>”anden information om teknisk standard" betyder et standardiseringsdokument udviklet af et internationalt standardiseringsorgan, der ikke er godkendt som en del af det slovakiske tekniske standardiseringssystem i henhold til § 4, stk. 1, litra g), af Kontoret som det slovakiske nationale standardiseringsorgan</w:t>
      </w:r>
    </w:p>
    <w:p w:rsidR="00E16F77" w:rsidRPr="00D06F2A" w:rsidRDefault="00E16F77" w:rsidP="003E6A72">
      <w:pPr>
        <w:widowControl/>
        <w:numPr>
          <w:ilvl w:val="0"/>
          <w:numId w:val="1"/>
        </w:numPr>
        <w:shd w:val="clear" w:color="auto" w:fill="FFFFFF"/>
        <w:tabs>
          <w:tab w:val="left" w:pos="283"/>
        </w:tabs>
        <w:autoSpaceDE/>
        <w:autoSpaceDN/>
        <w:adjustRightInd/>
        <w:spacing w:before="120"/>
        <w:ind w:left="284" w:hanging="284"/>
        <w:rPr>
          <w:color w:val="000000"/>
        </w:rPr>
      </w:pPr>
      <w:r>
        <w:rPr>
          <w:color w:val="000000"/>
        </w:rPr>
        <w:t>”berettigede interesser" betyder personers sikkerhed, sundhed, liv og ejendom samt et fordelagtigt miljø.</w:t>
      </w:r>
    </w:p>
    <w:p w:rsidR="00B3535A" w:rsidRPr="00D06F2A" w:rsidRDefault="00E16F77" w:rsidP="00BB519B">
      <w:pPr>
        <w:keepNext/>
        <w:keepLines/>
        <w:widowControl/>
        <w:shd w:val="clear" w:color="auto" w:fill="FFFFFF"/>
        <w:spacing w:before="360"/>
        <w:jc w:val="center"/>
        <w:rPr>
          <w:b/>
          <w:bCs/>
          <w:color w:val="000000"/>
        </w:rPr>
      </w:pPr>
      <w:r>
        <w:rPr>
          <w:b/>
          <w:color w:val="000000"/>
        </w:rPr>
        <w:lastRenderedPageBreak/>
        <w:t>§ 3</w:t>
      </w:r>
    </w:p>
    <w:p w:rsidR="00E16F77" w:rsidRPr="008015BE" w:rsidRDefault="00E16F77" w:rsidP="00BB519B">
      <w:pPr>
        <w:keepNext/>
        <w:keepLines/>
        <w:widowControl/>
        <w:shd w:val="clear" w:color="auto" w:fill="FFFFFF"/>
        <w:jc w:val="center"/>
        <w:rPr>
          <w:b/>
          <w:bCs/>
          <w:color w:val="000000"/>
        </w:rPr>
      </w:pPr>
      <w:r>
        <w:rPr>
          <w:b/>
          <w:color w:val="000000"/>
        </w:rPr>
        <w:t xml:space="preserve">Teknisk standard og information om teknisk standard </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"Teknisk standard" betyder en teknisk standard, der omtales i særskilt lovgivning</w:t>
      </w:r>
      <w:r>
        <w:rPr>
          <w:color w:val="000000"/>
          <w:vertAlign w:val="superscript"/>
        </w:rPr>
        <w:t>2)</w:t>
      </w:r>
      <w:r>
        <w:rPr>
          <w:color w:val="000000"/>
        </w:rPr>
        <w:t xml:space="preserve">. En teknisk standard er ikke en teknisk forskrift. </w:t>
      </w:r>
      <w:r>
        <w:rPr>
          <w:color w:val="000000"/>
          <w:vertAlign w:val="superscript"/>
        </w:rPr>
        <w:t>3)</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”Slovakisk teknisk standard" betyder en teknisk standard, der er godkendt af Kontoret som en del af det slovakiske tekniske standardiseringssystem af det slovakiske nationale standardiseringsorgan iht. denne lov.</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"Slovakisk teknisk præstandard" betyder en slovakisk teknisk standard med begrænset gyldighed, der har til formål at kontrollere egnetheden og hensigtsmæssigheden af det tekniske indhold i standarden.</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"Original slovakisk teknisk standard" betyder en slovakisk teknisk standard, der gælder for et område, som ikke dækkes af bestemmelserne i europæiske standarder</w:t>
      </w:r>
      <w:r>
        <w:rPr>
          <w:color w:val="000000"/>
          <w:vertAlign w:val="superscript"/>
        </w:rPr>
        <w:t>4)</w:t>
      </w:r>
      <w:r>
        <w:rPr>
          <w:color w:val="000000"/>
        </w:rPr>
        <w:t xml:space="preserve"> eller internationale standarder</w:t>
      </w:r>
      <w:r>
        <w:rPr>
          <w:color w:val="000000"/>
          <w:vertAlign w:val="superscript"/>
        </w:rPr>
        <w:t>5)</w:t>
      </w:r>
      <w:r>
        <w:rPr>
          <w:color w:val="000000"/>
        </w:rPr>
        <w:t>, og er blevet udarbejdet på grund af krav fra offentligheden eller en offentlig myndighed.</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”Information om teknisk standard" betyder et standardiseringsdokument, der er udarbejdet af en europæisk standardiseringsorganisation</w:t>
      </w:r>
      <w:r>
        <w:rPr>
          <w:color w:val="000000"/>
          <w:vertAlign w:val="superscript"/>
        </w:rPr>
        <w:t>6)</w:t>
      </w:r>
      <w:r>
        <w:rPr>
          <w:color w:val="000000"/>
        </w:rPr>
        <w:t>, et internationalt standardiseringsorgan</w:t>
      </w:r>
      <w:r>
        <w:rPr>
          <w:color w:val="000000"/>
          <w:vertAlign w:val="superscript"/>
        </w:rPr>
        <w:t>7)</w:t>
      </w:r>
      <w:r>
        <w:rPr>
          <w:color w:val="000000"/>
        </w:rPr>
        <w:t xml:space="preserve"> eller Kontoret som det slovakiske nationale standardiseringsorgan, og godkendt af det slovakiske nationale standardiseringsorgan som en del af det slovakiske tekniske standardiseringssystem. Information om tekniske standarder vil ikke blive betragtet som slovakiske tekniske standarder.</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"Information om original teknisk standard" betyder information om en teknisk standard, der gælder for et område, som ikke dækkes af bestemmelser i standardiseringsdokumenter udviklet af en europæisk standardiseringsorganisation eller et internationalt standardiseringsorgan, og som er blevet udviklet på grund af krav fra offentligheden eller en offentlig myndighed.</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”Ændring af en teknisk standard" betyder en teknisk standard, der er udpeget som en ændring af en europæisk standardiseringsorganisation, et internationalt standardiseringsorgan eller Kontoret som det slovakiske nationale standardiseringsorgan, og som medfører væsentlige ændringer af en teknisk standard.</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"Korrektion af en teknisk standard" eller "korrektion af information en teknisk standard" betyder et dokument, der korrigerer en formel fejl i en teknisk standard eller information om en teknisk standard og er udpeget som en korrektion af en europæisk standardiseringsorganisation, et internationalt standardiseringsorgan eller Kontoret som det slovakiske nationale standardiseringsorgan.</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"Det slovakiske tekniske standardiseringssystem" er de samlede, fulde versioner af de slovakiske tekniske standarder, informationer om tekniske standarder og deres korrektioner.</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Overholdelsen af slovakiske tekniske standarder og information om de tekniske standarder er frivilligt.</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Slovakiske tekniske standarder skal mærkes med symbolet "STN", og slovakiske tekniske præstandarder skal mærkes med symbolet "STN P". Information om tekniske standarder skal mærkes med symbolet "TNI". Standardsymbolerne "STN", "STN P" og "TNI" er angivet i bilaget. Yderligere mærkninger, der kan tilføjes symbolerne "STN" eller "TNI", offentliggøres af Kontoret (som det slovakiske nationale standardiseringsorgan) på dets hjemmeside.</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Slovakiske tekniske standarder og information om tekniske standarder skal ikke gøres tilgængelige i henhold til særskilt lovgivning</w:t>
      </w:r>
      <w:r>
        <w:rPr>
          <w:color w:val="000000"/>
          <w:vertAlign w:val="superscript"/>
        </w:rPr>
        <w:t xml:space="preserve">8) </w:t>
      </w:r>
      <w:r>
        <w:rPr>
          <w:color w:val="000000"/>
        </w:rPr>
        <w:t xml:space="preserve">bortset fra den slovakiske tekniske standard, som omtalt i § 12, stk. 2. </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Hvis en statslig myndighed har til hensigt at henvise til en slovakisk teknisk standard i en tekstudkast til en generelt gældende lovgivning, skal den underrette Kontoret som det slovakiske nationale standardiseringsorgan om dette forhold, seneste inden den generelt gældende lov vedtages. Den statslige myndighed skal gå frem i henhold til den særskilte lovgivning.</w:t>
      </w:r>
      <w:r>
        <w:rPr>
          <w:color w:val="000000"/>
          <w:vertAlign w:val="superscript"/>
        </w:rPr>
        <w:t>9)</w:t>
      </w:r>
    </w:p>
    <w:p w:rsidR="00B3535A" w:rsidRPr="00D06F2A" w:rsidRDefault="00E16F77" w:rsidP="00BB519B">
      <w:pPr>
        <w:keepNext/>
        <w:keepLines/>
        <w:widowControl/>
        <w:shd w:val="clear" w:color="auto" w:fill="FFFFFF"/>
        <w:spacing w:before="360"/>
        <w:jc w:val="center"/>
        <w:rPr>
          <w:b/>
          <w:bCs/>
          <w:color w:val="000000"/>
        </w:rPr>
      </w:pPr>
      <w:r>
        <w:rPr>
          <w:b/>
          <w:color w:val="000000"/>
        </w:rPr>
        <w:t>§ 4</w:t>
      </w:r>
    </w:p>
    <w:p w:rsidR="00E16F77" w:rsidRPr="008015BE" w:rsidRDefault="00E16F77" w:rsidP="00BB519B">
      <w:pPr>
        <w:keepNext/>
        <w:keepLines/>
        <w:widowControl/>
        <w:shd w:val="clear" w:color="auto" w:fill="FFFFFF"/>
        <w:jc w:val="center"/>
        <w:rPr>
          <w:b/>
          <w:bCs/>
          <w:color w:val="000000"/>
        </w:rPr>
      </w:pPr>
      <w:r>
        <w:rPr>
          <w:b/>
          <w:color w:val="000000"/>
        </w:rPr>
        <w:t>Kontoret</w:t>
      </w:r>
    </w:p>
    <w:p w:rsidR="00B3535A" w:rsidRPr="00D06F2A" w:rsidRDefault="00B3535A" w:rsidP="003E6A72">
      <w:pPr>
        <w:pStyle w:val="ListParagraph"/>
        <w:keepNext/>
        <w:keepLines/>
        <w:widowControl/>
        <w:numPr>
          <w:ilvl w:val="0"/>
          <w:numId w:val="16"/>
        </w:numPr>
        <w:shd w:val="clear" w:color="auto" w:fill="FFFFFF"/>
        <w:spacing w:before="120" w:after="120"/>
        <w:ind w:left="284" w:hanging="284"/>
        <w:contextualSpacing w:val="0"/>
        <w:jc w:val="both"/>
        <w:rPr>
          <w:color w:val="000000"/>
        </w:rPr>
      </w:pPr>
      <w:r>
        <w:rPr>
          <w:color w:val="000000"/>
        </w:rPr>
        <w:t>Kontoret</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skal udpege de slovakiske tekniske standarder, der er egnet til overensstemmelsesvurdering</w:t>
      </w:r>
    </w:p>
    <w:p w:rsidR="00E16F77" w:rsidRPr="00D06F2A" w:rsidRDefault="00E16F77" w:rsidP="003E6A72">
      <w:pPr>
        <w:widowControl/>
        <w:numPr>
          <w:ilvl w:val="0"/>
          <w:numId w:val="2"/>
        </w:numPr>
        <w:shd w:val="clear" w:color="auto" w:fill="FFFFFF"/>
        <w:tabs>
          <w:tab w:val="left" w:pos="567"/>
        </w:tabs>
        <w:spacing w:before="120"/>
        <w:ind w:left="567" w:hanging="283"/>
        <w:jc w:val="both"/>
        <w:rPr>
          <w:color w:val="000000"/>
        </w:rPr>
      </w:pPr>
      <w:r>
        <w:rPr>
          <w:color w:val="000000"/>
        </w:rPr>
        <w:lastRenderedPageBreak/>
        <w:t>offentliggøre notifikationer om vedtagelsen, annulleringen og korrektionen af slovakiske tekniske standarder og om vedtagelsen, annulleringen og korrektionen af information om tekniske standarder samt om slovakiske tekniske standarder, der er egnet til overensstemmelsesvurdering, i den Officielle Tidende fra det slovakiske kontor for standarder, metrologi og prøvning (herefter betegnet den "Officielle Tidende") eller, i begrundede tilfælde, på sin hjemmeside</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underrette</w:t>
      </w:r>
      <w:r>
        <w:rPr>
          <w:color w:val="000000"/>
          <w:vertAlign w:val="superscript"/>
        </w:rPr>
        <w:t xml:space="preserve">10) </w:t>
      </w:r>
      <w:r>
        <w:rPr>
          <w:color w:val="000000"/>
        </w:rPr>
        <w:t>Kommissionen om af det slovakiske nationale standardiseringsorgan</w:t>
      </w:r>
    </w:p>
    <w:p w:rsidR="00E16F77" w:rsidRPr="00D06F2A" w:rsidRDefault="00E16F77" w:rsidP="003E6A72">
      <w:pPr>
        <w:widowControl/>
        <w:numPr>
          <w:ilvl w:val="0"/>
          <w:numId w:val="2"/>
        </w:numPr>
        <w:shd w:val="clear" w:color="auto" w:fill="FFFFFF"/>
        <w:tabs>
          <w:tab w:val="left" w:pos="567"/>
        </w:tabs>
        <w:spacing w:before="120"/>
        <w:ind w:left="567" w:hanging="283"/>
        <w:jc w:val="both"/>
        <w:rPr>
          <w:color w:val="000000"/>
        </w:rPr>
      </w:pPr>
      <w:r>
        <w:rPr>
          <w:color w:val="000000"/>
        </w:rPr>
        <w:t>finansiere driften af det slovakiske nationale standardiseringsorgan og betale det slovakiske nationale standardiseringsorgans bidrag for medlemskab af europæiske standardiseringsorganisationer og internationale standardiseringsorganer</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føre tilsyn med denne lovs overholdelse</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håndhæve lovovertrædelser og andre administrative forseelser og pålægge bøder i henhold til § 16 og § 17</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være det slovakiske nationale standardiseringsorgan.</w:t>
      </w:r>
      <w:r>
        <w:rPr>
          <w:color w:val="000000"/>
          <w:vertAlign w:val="superscript"/>
        </w:rPr>
        <w:t>11)</w:t>
      </w:r>
    </w:p>
    <w:p w:rsidR="00B3535A" w:rsidRPr="00D06F2A" w:rsidRDefault="00B3535A" w:rsidP="003E6A72">
      <w:pPr>
        <w:pStyle w:val="ListParagraph"/>
        <w:keepNext/>
        <w:keepLines/>
        <w:widowControl/>
        <w:numPr>
          <w:ilvl w:val="0"/>
          <w:numId w:val="16"/>
        </w:numPr>
        <w:shd w:val="clear" w:color="auto" w:fill="FFFFFF"/>
        <w:spacing w:before="120" w:after="120"/>
        <w:ind w:left="284" w:hanging="284"/>
        <w:contextualSpacing w:val="0"/>
        <w:jc w:val="both"/>
        <w:rPr>
          <w:color w:val="000000"/>
        </w:rPr>
      </w:pPr>
      <w:r>
        <w:rPr>
          <w:color w:val="000000"/>
        </w:rPr>
        <w:t>Kontoret, som det slovakiske nationale standardiseringsorgan, skal</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overholde de forpligtelser, der knytter sig til dets medlemskab af europæiske standardiseringsorganisationer og internationale standardiseringsorganer</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lette deltagelsen i udviklingen og annulleringen af europæiske standarder, europæiske standardiseringsprodukter,</w:t>
      </w:r>
      <w:r>
        <w:rPr>
          <w:color w:val="000000"/>
          <w:vertAlign w:val="superscript"/>
        </w:rPr>
        <w:t>12)</w:t>
      </w:r>
      <w:r>
        <w:rPr>
          <w:color w:val="000000"/>
        </w:rPr>
        <w:t xml:space="preserve"> internationale standarder og anden information om tekniske standarder fra enhver person, der overholder de europæiske standardiseringsorganisationers og de internationale standardiseringsorganers krav og regler eller kravene fra Kontoret som det slovakiske nationale standardiseringsorgan, der offentliggøres på hjemmesiden for Kontoret som det slovakiske nationale standardiseringsorgan, ved at</w:t>
      </w:r>
    </w:p>
    <w:p w:rsidR="00E16F77" w:rsidRPr="00D06F2A" w:rsidRDefault="00E16F77" w:rsidP="003E6A72">
      <w:pPr>
        <w:widowControl/>
        <w:numPr>
          <w:ilvl w:val="0"/>
          <w:numId w:val="3"/>
        </w:numPr>
        <w:shd w:val="clear" w:color="auto" w:fill="FFFFFF"/>
        <w:tabs>
          <w:tab w:val="left" w:pos="851"/>
        </w:tabs>
        <w:spacing w:before="120"/>
        <w:ind w:left="851" w:hanging="284"/>
        <w:jc w:val="both"/>
        <w:rPr>
          <w:color w:val="000000"/>
        </w:rPr>
      </w:pPr>
      <w:r>
        <w:rPr>
          <w:color w:val="000000"/>
        </w:rPr>
        <w:t>lægge en notifikation om udkastet til europæiske standarder, udkastet til europæiske standardiseringsprodukter, udkastet til internationale standarder og udkastet til anden information om en teknisk standard ud på hjemmesiden til offentlig høring senest en måned før den angivne deadline i notifikationen</w:t>
      </w:r>
    </w:p>
    <w:p w:rsidR="00E16F77" w:rsidRPr="00D06F2A" w:rsidRDefault="00E16F77" w:rsidP="003E6A72">
      <w:pPr>
        <w:widowControl/>
        <w:numPr>
          <w:ilvl w:val="0"/>
          <w:numId w:val="3"/>
        </w:numPr>
        <w:shd w:val="clear" w:color="auto" w:fill="FFFFFF"/>
        <w:tabs>
          <w:tab w:val="left" w:pos="851"/>
        </w:tabs>
        <w:spacing w:before="120"/>
        <w:ind w:left="851" w:hanging="284"/>
        <w:jc w:val="both"/>
        <w:rPr>
          <w:color w:val="000000"/>
        </w:rPr>
      </w:pPr>
      <w:r>
        <w:rPr>
          <w:color w:val="000000"/>
        </w:rPr>
        <w:t>sikre offentlig høring om udkastet til europæiske standarder, udkastet til europæiske standardiseringsprodukter, udkastet til internationale standarder og udkastet til anden information om en teknisk standard for enhver, der anmoder om deltagelse i den offentlige høring, inden for den angivne deadline i notifikationen på Kontorets hjemmeside</w:t>
      </w:r>
    </w:p>
    <w:p w:rsidR="00E16F77" w:rsidRPr="00D06F2A" w:rsidRDefault="00E16F77" w:rsidP="003E6A72">
      <w:pPr>
        <w:widowControl/>
        <w:numPr>
          <w:ilvl w:val="0"/>
          <w:numId w:val="3"/>
        </w:numPr>
        <w:shd w:val="clear" w:color="auto" w:fill="FFFFFF"/>
        <w:tabs>
          <w:tab w:val="left" w:pos="851"/>
        </w:tabs>
        <w:spacing w:before="120"/>
        <w:ind w:left="851" w:hanging="284"/>
        <w:jc w:val="both"/>
        <w:rPr>
          <w:color w:val="000000"/>
        </w:rPr>
      </w:pPr>
      <w:r>
        <w:rPr>
          <w:color w:val="000000"/>
        </w:rPr>
        <w:t>lægge notifikationer ud på hjemmesiden vedrørende alle europæiske standarder, europæiske standardiseringsprodukter, internationale standarder og information om tekniske standarder, der udstedes</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på sin hjemmeside gøre kriterierne for udviklingen af slovakiske tekniske standarder og information om tekniske standarder tilgængelige på statssproget efter godkendelse af det tekniske standardiseringsråd (herefter betegnet "Rådet"), som nedsat i henhold til § 5</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 xml:space="preserve">sikre, at slovakiske tekniske standarder og information om standarder udvikles og annulleres i henhold til de regler, der er vedtaget af europæiske standardiseringsorganisationer eller internationale standardiseringsorganer, eller i henhold til de regler, der er vedtaget af Kontoret som det slovakiske nationale standardiseringsorgan </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mærke slovakiske tekniske standarder, slovakiske tekniske præstandarder og information om tekniske standarder i henhold til § 3, stk. 11</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i samarbejde med interessenter</w:t>
      </w:r>
      <w:r>
        <w:rPr>
          <w:color w:val="000000"/>
          <w:vertAlign w:val="superscript"/>
        </w:rPr>
        <w:t>13)</w:t>
      </w:r>
      <w:r>
        <w:rPr>
          <w:color w:val="000000"/>
        </w:rPr>
        <w:t xml:space="preserve"> kontrollere, om indholdet af de originale slovakiske tekniske standarder og information om de originale tekniske standarder overholder det aktuelle tekniske og videnskabelige niveau</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underrette europæiske standardiseringsorganisationer vedrørende planer om vedtagelsen af en ny original slovakisk teknisk standard</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i henhold til § 15 tilvejebringe slovakiske tekniske standarder og korrektioner heraf, information om tekniske standarder og korrektion heraf samt andre tekniske standarder og ændringer og korrektioner heraf</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inddrive bidrag for tilvejebringelsen af slovakiske tekniske standarder, information om tekniske standarder og andre tekniske standarder og ændringer heraf</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lastRenderedPageBreak/>
        <w:t>en gang om måneden lægge en liste over slovakiske tekniske standarder og information om standarder samt korrektioner heraf, der er godkendt som en del af det slovakiske tekniske standardiseringssystem, ud på sin hjemmeside, hvilket ikke anses som offentliggørelse i henhold til § 10, stk. 2</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beskytte slovakiske tekniske standarder, information om tekniske standarder og andre tekniske standarder og ændringer heraf i overensstemmelse med denne lov</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tilvejebringe metodologiske retningslinjer og lede udviklingen og tilvejebringelsen af slovakiske tekniske standarder og korrektioner heraf, information om tekniske standarder og korrektioner heraf samt andre tekniske standarder og ændringer og korrektioner heraf; det skal gøre de metodologiske retningslinjer tilgængelige på sin hjemmeside</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på sin hjemmeside drive en offentlig tilgængelig portal med slovakiske tekniske standarder og information om tekniske standarder og korrektioner heraf (herefter betegnet "portalen")</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påtage sig ansvar for den sproglige og terminologiske nøjagtighed i forbindelse med slovakiske tekniske standarder og informationer om tekniske standarder vedtaget på statssproget.</w:t>
      </w:r>
    </w:p>
    <w:p w:rsidR="00B3535A" w:rsidRPr="00D06F2A" w:rsidRDefault="00E16F77" w:rsidP="00BB519B">
      <w:pPr>
        <w:keepNext/>
        <w:keepLines/>
        <w:widowControl/>
        <w:shd w:val="clear" w:color="auto" w:fill="FFFFFF"/>
        <w:spacing w:before="360"/>
        <w:jc w:val="center"/>
        <w:rPr>
          <w:b/>
          <w:bCs/>
          <w:color w:val="000000"/>
        </w:rPr>
      </w:pPr>
      <w:r>
        <w:rPr>
          <w:b/>
          <w:color w:val="000000"/>
        </w:rPr>
        <w:t>§ 5</w:t>
      </w:r>
    </w:p>
    <w:p w:rsidR="00E16F77" w:rsidRPr="008015BE" w:rsidRDefault="00E16F77" w:rsidP="00BB519B">
      <w:pPr>
        <w:keepNext/>
        <w:keepLines/>
        <w:widowControl/>
        <w:shd w:val="clear" w:color="auto" w:fill="FFFFFF"/>
        <w:jc w:val="center"/>
        <w:rPr>
          <w:b/>
          <w:bCs/>
          <w:color w:val="000000"/>
        </w:rPr>
      </w:pPr>
      <w:r>
        <w:rPr>
          <w:b/>
          <w:color w:val="000000"/>
        </w:rPr>
        <w:t>Rådet</w:t>
      </w:r>
    </w:p>
    <w:p w:rsidR="00E16F77" w:rsidRPr="00D06F2A" w:rsidRDefault="00E16F77" w:rsidP="003E6A72">
      <w:pPr>
        <w:pStyle w:val="ListParagraph"/>
        <w:keepNext/>
        <w:keepLines/>
        <w:widowControl/>
        <w:numPr>
          <w:ilvl w:val="0"/>
          <w:numId w:val="21"/>
        </w:numPr>
        <w:shd w:val="clear" w:color="auto" w:fill="FFFFFF"/>
        <w:spacing w:before="120" w:after="120"/>
        <w:ind w:left="284" w:hanging="284"/>
        <w:contextualSpacing w:val="0"/>
        <w:jc w:val="both"/>
        <w:rPr>
          <w:color w:val="000000"/>
        </w:rPr>
      </w:pPr>
      <w:r>
        <w:rPr>
          <w:color w:val="000000"/>
        </w:rPr>
        <w:t>Rådet skal, som ekspert- og rådgivningsorgan for formanden for Kontoret,</w:t>
      </w:r>
    </w:p>
    <w:p w:rsidR="00E16F77" w:rsidRPr="00D06F2A" w:rsidRDefault="00E16F77" w:rsidP="003E6A72">
      <w:pPr>
        <w:widowControl/>
        <w:numPr>
          <w:ilvl w:val="0"/>
          <w:numId w:val="4"/>
        </w:numPr>
        <w:shd w:val="clear" w:color="auto" w:fill="FFFFFF"/>
        <w:tabs>
          <w:tab w:val="left" w:pos="567"/>
        </w:tabs>
        <w:spacing w:before="120"/>
        <w:ind w:left="567" w:hanging="283"/>
        <w:rPr>
          <w:color w:val="000000"/>
        </w:rPr>
      </w:pPr>
      <w:r>
        <w:rPr>
          <w:color w:val="000000"/>
        </w:rPr>
        <w:t>sikre Kontorets uafhængighed som det slovakiske nationale standardiseringsorgan</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føre tilsyn med Kontorets arbejde som det slovakiske nationale standardiseringsorgan, når det udfører de opgaver, der omtales i § 4, stk. 2, litra a)</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vurdere begrebsmæssige forhold vedrørende teknisk standardisering på nationalt, europæisk og internationalt niveau</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fremlægge strategiske anbefalinger til formanden for Kontoret vedrørende koncept for statens politik om teknisk standardisering i Den Slovakiske Republik med henblik af aktuelle nationale, europæiske og internationale krav angående standardisering og den nationale økonomis krav</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vurdere om Kontoret som det slovakiske nationale standardiseringsorgan overholder kriterierne for medlemskab af europæiske standardiseringsorganisationer</w:t>
      </w:r>
    </w:p>
    <w:p w:rsidR="00E16F77" w:rsidRPr="00D06F2A" w:rsidRDefault="00E16F77" w:rsidP="003E6A72">
      <w:pPr>
        <w:widowControl/>
        <w:numPr>
          <w:ilvl w:val="0"/>
          <w:numId w:val="4"/>
        </w:numPr>
        <w:shd w:val="clear" w:color="auto" w:fill="FFFFFF"/>
        <w:tabs>
          <w:tab w:val="left" w:pos="567"/>
        </w:tabs>
        <w:spacing w:before="120"/>
        <w:ind w:left="567" w:hanging="283"/>
        <w:rPr>
          <w:color w:val="000000"/>
        </w:rPr>
      </w:pPr>
      <w:r>
        <w:rPr>
          <w:color w:val="000000"/>
        </w:rPr>
        <w:t>godkende kriterierne for udviklingen af slovakiske tekniske standarder på statssproget</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regelmæssigt evaluere Kontorets arbejde som det slovakiske nationale standardiseringsorgan, herunder overholdelsen af den månedlige liste over standardiseringsopgaver (herefter betegnet "teknisk standardiseringsplan")</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overvåge Kontorets procedurer som det slovakiske nationale standardiseringsorgan i forbindelse med det tekniske udvalgs arbejde</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afgive udtalelse om det tekniske udvalgs statut og det tekniske udvalgs procedureregler</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 xml:space="preserve">svare på anmodning fra offentligheden eller offentlige myndigheder om udviklingen og inkluderingen af udkast til originale slovakiske tekniske standarder i den tekniske standardiseringsplan </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 xml:space="preserve">godkende Rådets status og Rådets procedureregler </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 xml:space="preserve">udføre andre pligter som specificeret i Rådets statut. </w:t>
      </w:r>
    </w:p>
    <w:p w:rsidR="00E16F77" w:rsidRPr="00D06F2A"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Pr>
          <w:color w:val="000000"/>
        </w:rPr>
        <w:t>Rådets må højst have 15 medlemmer. Medlemmerne af Rådet skal bestå af repræsentanter for interessenter og repræsentanter for offentlige myndigheder. Antallet af repræsentanter for offentlige myndigheder i Rådet må ikke udgøre mere end en tredjedel af det samlede antal medlemmer af Rådet.</w:t>
      </w:r>
    </w:p>
    <w:p w:rsidR="00D0380A" w:rsidRPr="00D06F2A"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Pr>
          <w:color w:val="000000"/>
        </w:rPr>
        <w:t>Medlemmerne af Rådet skal udpeges og fjernes af formanden for Kontoret.</w:t>
      </w:r>
    </w:p>
    <w:p w:rsidR="00E16F77" w:rsidRPr="00D06F2A"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Pr>
          <w:color w:val="000000"/>
        </w:rPr>
        <w:t>En stilling som medlem af Rådet er et æreshverv og ikke-substituerbart.</w:t>
      </w:r>
    </w:p>
    <w:p w:rsidR="00E16F77" w:rsidRPr="00D06F2A"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Pr>
          <w:color w:val="000000"/>
        </w:rPr>
        <w:t>Rådets sammensætning, opgaver, organisatoriske ramme og proceduremæssige metode skal fastlægges i dets statut og procedureregler som udstedt af Kontoret.</w:t>
      </w:r>
    </w:p>
    <w:p w:rsidR="00B3535A" w:rsidRPr="00D06F2A" w:rsidRDefault="00E16F77" w:rsidP="00BB519B">
      <w:pPr>
        <w:keepNext/>
        <w:keepLines/>
        <w:widowControl/>
        <w:shd w:val="clear" w:color="auto" w:fill="FFFFFF"/>
        <w:spacing w:before="360"/>
        <w:jc w:val="center"/>
        <w:rPr>
          <w:b/>
          <w:bCs/>
          <w:color w:val="000000"/>
        </w:rPr>
      </w:pPr>
      <w:r>
        <w:rPr>
          <w:b/>
          <w:color w:val="000000"/>
        </w:rPr>
        <w:lastRenderedPageBreak/>
        <w:t>§ 6</w:t>
      </w:r>
    </w:p>
    <w:p w:rsidR="00E16F77" w:rsidRPr="008015BE" w:rsidRDefault="00E16F77" w:rsidP="00BB519B">
      <w:pPr>
        <w:keepNext/>
        <w:keepLines/>
        <w:widowControl/>
        <w:shd w:val="clear" w:color="auto" w:fill="FFFFFF"/>
        <w:jc w:val="center"/>
        <w:rPr>
          <w:b/>
          <w:bCs/>
          <w:color w:val="000000"/>
        </w:rPr>
      </w:pPr>
      <w:r>
        <w:rPr>
          <w:b/>
          <w:color w:val="000000"/>
        </w:rPr>
        <w:t>Teknisk udvalg</w:t>
      </w:r>
    </w:p>
    <w:p w:rsidR="00E16F77" w:rsidRPr="00D06F2A" w:rsidRDefault="00E16F77" w:rsidP="00B3535A">
      <w:pPr>
        <w:widowControl/>
        <w:shd w:val="clear" w:color="auto" w:fill="FFFFFF"/>
        <w:spacing w:before="120"/>
        <w:jc w:val="both"/>
        <w:rPr>
          <w:color w:val="000000"/>
        </w:rPr>
      </w:pPr>
      <w:r>
        <w:rPr>
          <w:color w:val="000000"/>
        </w:rPr>
        <w:t>Det tekniske udvalg skal være et rådgivningsorgan for Kontoret som det slovakiske nationale standardiseringsorgan og skal medvirke i udviklingen af slovakiske tekniske standarder og information om standarder, den omtalte høringsprocedure i § 9, stk. 2, litra b), og stk. 3, litra c), og andre aktiviteter vedrørende teknisk standardisering. Det tekniske udvalgs sammensætning, opgaver, organisatoriske ramme og proceduremæssige metode skal fastlægges i dets statut og procedureregler som udstedt af Kontoret som det slovakiske nationale standardiseringsorgan.</w:t>
      </w:r>
    </w:p>
    <w:p w:rsidR="00E16F77" w:rsidRPr="008015BE" w:rsidRDefault="00E16F77" w:rsidP="00BB519B">
      <w:pPr>
        <w:keepNext/>
        <w:keepLines/>
        <w:widowControl/>
        <w:shd w:val="clear" w:color="auto" w:fill="FFFFFF"/>
        <w:spacing w:before="360"/>
        <w:jc w:val="center"/>
        <w:rPr>
          <w:b/>
          <w:bCs/>
          <w:color w:val="000000"/>
        </w:rPr>
      </w:pPr>
      <w:r>
        <w:rPr>
          <w:b/>
          <w:color w:val="000000"/>
        </w:rPr>
        <w:t>Udvikling af slovakiske tekniske standarder og informationsdokumenter om tekniske standarder</w:t>
      </w:r>
    </w:p>
    <w:p w:rsidR="00E16F77" w:rsidRPr="008015BE" w:rsidRDefault="00E16F77" w:rsidP="00BB519B">
      <w:pPr>
        <w:keepNext/>
        <w:keepLines/>
        <w:widowControl/>
        <w:shd w:val="clear" w:color="auto" w:fill="FFFFFF"/>
        <w:jc w:val="center"/>
        <w:rPr>
          <w:b/>
          <w:bCs/>
          <w:color w:val="000000"/>
        </w:rPr>
      </w:pPr>
      <w:r>
        <w:rPr>
          <w:b/>
          <w:color w:val="000000"/>
        </w:rPr>
        <w:t>§ 7</w:t>
      </w:r>
    </w:p>
    <w:p w:rsidR="00E16F77" w:rsidRPr="00D06F2A" w:rsidRDefault="00E16F77" w:rsidP="003E6A72">
      <w:pPr>
        <w:pStyle w:val="ListParagraph"/>
        <w:widowControl/>
        <w:numPr>
          <w:ilvl w:val="0"/>
          <w:numId w:val="17"/>
        </w:numPr>
        <w:shd w:val="clear" w:color="auto" w:fill="FFFFFF"/>
        <w:tabs>
          <w:tab w:val="left" w:pos="284"/>
        </w:tabs>
        <w:spacing w:before="120"/>
        <w:ind w:left="284" w:hanging="284"/>
        <w:contextualSpacing w:val="0"/>
        <w:jc w:val="both"/>
        <w:rPr>
          <w:color w:val="000000"/>
        </w:rPr>
      </w:pPr>
      <w:r>
        <w:rPr>
          <w:color w:val="000000"/>
        </w:rPr>
        <w:t>For at sikre tilvejebringelsen af de aktiviteter, der omtales § 4, stk. 2, litra d), skal Kontoret som det slovakiske nationale standardiseringsorgan samarbejde med det tekniske udvalg og interessenter, herunder små virksomheder</w:t>
      </w:r>
      <w:r>
        <w:rPr>
          <w:color w:val="000000"/>
          <w:vertAlign w:val="superscript"/>
        </w:rPr>
        <w:t>14)</w:t>
      </w:r>
      <w:r>
        <w:rPr>
          <w:color w:val="000000"/>
        </w:rPr>
        <w:t xml:space="preserve"> og mellemstore virksomheder</w:t>
      </w:r>
      <w:r>
        <w:rPr>
          <w:color w:val="000000"/>
          <w:vertAlign w:val="superscript"/>
        </w:rPr>
        <w:t>15)</w:t>
      </w:r>
      <w:r>
        <w:rPr>
          <w:color w:val="000000"/>
        </w:rPr>
        <w:t>, den offentlige myndighed og den juridiske eller fysiske person, der er ansvarlig for at udføre standardiseringsopgaven (herefter betegnet "forfatteren") på grundlag af en aftale med Kontoret som det slovakiske nationale standardiseringsorgan.</w:t>
      </w:r>
    </w:p>
    <w:p w:rsidR="00E16F77" w:rsidRPr="00D06F2A" w:rsidRDefault="00E16F77" w:rsidP="003E6A72">
      <w:pPr>
        <w:pStyle w:val="ListParagraph"/>
        <w:widowControl/>
        <w:numPr>
          <w:ilvl w:val="0"/>
          <w:numId w:val="17"/>
        </w:numPr>
        <w:shd w:val="clear" w:color="auto" w:fill="FFFFFF"/>
        <w:tabs>
          <w:tab w:val="left" w:pos="284"/>
        </w:tabs>
        <w:spacing w:before="120"/>
        <w:ind w:left="284" w:hanging="284"/>
        <w:contextualSpacing w:val="0"/>
        <w:jc w:val="both"/>
        <w:rPr>
          <w:color w:val="000000"/>
        </w:rPr>
      </w:pPr>
      <w:r>
        <w:rPr>
          <w:color w:val="000000"/>
        </w:rPr>
        <w:t>I forbindelse med udviklingen af slovakiske tekniske standarder og information om tekniske standarder skal forfatteren og Kontoret som det slovakiske nationale standardiseringsorgan gå frem i henhold til § 8 til § 10, reglerne fra den europæiske standardiseringsorganisation og de metodologiske retningslinjer fra Kontoret som det slovakiske nationale standardiseringsorgan, der er tilgængelige på hjemmesiden for Kontoret som det slovakiske nationale standardiseringsorgan.</w:t>
      </w:r>
    </w:p>
    <w:p w:rsidR="00E16F77" w:rsidRPr="00D06F2A" w:rsidRDefault="00E16F77" w:rsidP="003E6A72">
      <w:pPr>
        <w:pStyle w:val="ListParagraph"/>
        <w:keepNext/>
        <w:keepLines/>
        <w:widowControl/>
        <w:numPr>
          <w:ilvl w:val="0"/>
          <w:numId w:val="17"/>
        </w:numPr>
        <w:shd w:val="clear" w:color="auto" w:fill="FFFFFF"/>
        <w:tabs>
          <w:tab w:val="left" w:pos="284"/>
        </w:tabs>
        <w:spacing w:before="120"/>
        <w:ind w:left="284" w:hanging="284"/>
        <w:contextualSpacing w:val="0"/>
        <w:jc w:val="both"/>
        <w:rPr>
          <w:color w:val="000000"/>
        </w:rPr>
      </w:pPr>
      <w:r>
        <w:rPr>
          <w:color w:val="000000"/>
        </w:rPr>
        <w:t>Udviklingen af slovakiske tekniske standarder og information om tekniske standarder skal inkludere</w:t>
      </w:r>
    </w:p>
    <w:p w:rsidR="00E16F77" w:rsidRPr="00D06F2A" w:rsidRDefault="00E16F77" w:rsidP="003E6A72">
      <w:pPr>
        <w:widowControl/>
        <w:numPr>
          <w:ilvl w:val="0"/>
          <w:numId w:val="5"/>
        </w:numPr>
        <w:shd w:val="clear" w:color="auto" w:fill="FFFFFF"/>
        <w:tabs>
          <w:tab w:val="left" w:pos="567"/>
        </w:tabs>
        <w:spacing w:before="120"/>
        <w:ind w:left="567" w:hanging="283"/>
        <w:rPr>
          <w:color w:val="000000"/>
        </w:rPr>
      </w:pPr>
      <w:r>
        <w:rPr>
          <w:color w:val="000000"/>
        </w:rPr>
        <w:t>udarbejdelse af en teknisk standardiseringsplan</w:t>
      </w:r>
    </w:p>
    <w:p w:rsidR="00E16F77" w:rsidRPr="00D06F2A" w:rsidRDefault="00E16F77" w:rsidP="003E6A72">
      <w:pPr>
        <w:widowControl/>
        <w:numPr>
          <w:ilvl w:val="0"/>
          <w:numId w:val="5"/>
        </w:numPr>
        <w:shd w:val="clear" w:color="auto" w:fill="FFFFFF"/>
        <w:tabs>
          <w:tab w:val="left" w:pos="567"/>
        </w:tabs>
        <w:spacing w:before="120"/>
        <w:ind w:left="567" w:hanging="283"/>
        <w:rPr>
          <w:color w:val="000000"/>
        </w:rPr>
      </w:pPr>
      <w:r>
        <w:rPr>
          <w:color w:val="000000"/>
        </w:rPr>
        <w:t>udarbejdelse af en slovakisk teknisk standard eller information om en teknisk standard</w:t>
      </w:r>
    </w:p>
    <w:p w:rsidR="00E16F77" w:rsidRPr="00D06F2A" w:rsidRDefault="00E16F77" w:rsidP="003E6A72">
      <w:pPr>
        <w:widowControl/>
        <w:numPr>
          <w:ilvl w:val="0"/>
          <w:numId w:val="5"/>
        </w:numPr>
        <w:shd w:val="clear" w:color="auto" w:fill="FFFFFF"/>
        <w:tabs>
          <w:tab w:val="left" w:pos="567"/>
        </w:tabs>
        <w:spacing w:before="120"/>
        <w:ind w:left="567" w:hanging="283"/>
        <w:rPr>
          <w:color w:val="000000"/>
        </w:rPr>
      </w:pPr>
      <w:r>
        <w:rPr>
          <w:color w:val="000000"/>
        </w:rPr>
        <w:t>vedtagelse af og notifikation om en slovakisk teknisk standard eller information om en teknisk standard.</w:t>
      </w:r>
    </w:p>
    <w:p w:rsidR="00B3535A" w:rsidRPr="00D06F2A" w:rsidRDefault="00E16F77" w:rsidP="00BB519B">
      <w:pPr>
        <w:keepNext/>
        <w:keepLines/>
        <w:widowControl/>
        <w:shd w:val="clear" w:color="auto" w:fill="FFFFFF"/>
        <w:spacing w:before="360"/>
        <w:jc w:val="center"/>
        <w:rPr>
          <w:b/>
          <w:bCs/>
          <w:color w:val="000000"/>
        </w:rPr>
      </w:pPr>
      <w:r>
        <w:rPr>
          <w:b/>
          <w:color w:val="000000"/>
        </w:rPr>
        <w:t>§ 8</w:t>
      </w:r>
    </w:p>
    <w:p w:rsidR="00E16F77" w:rsidRPr="008015BE" w:rsidRDefault="00E16F77" w:rsidP="00BB519B">
      <w:pPr>
        <w:keepNext/>
        <w:keepLines/>
        <w:widowControl/>
        <w:shd w:val="clear" w:color="auto" w:fill="FFFFFF"/>
        <w:jc w:val="center"/>
        <w:rPr>
          <w:b/>
          <w:bCs/>
          <w:color w:val="000000"/>
        </w:rPr>
      </w:pPr>
      <w:r>
        <w:rPr>
          <w:b/>
          <w:color w:val="000000"/>
        </w:rPr>
        <w:t>Udarbejdelse af den tekniske standardiseringsplan</w:t>
      </w:r>
    </w:p>
    <w:p w:rsidR="00D0380A" w:rsidRPr="00D06F2A" w:rsidRDefault="00E16F77" w:rsidP="003E6A72">
      <w:pPr>
        <w:pStyle w:val="ListParagraph"/>
        <w:widowControl/>
        <w:numPr>
          <w:ilvl w:val="0"/>
          <w:numId w:val="18"/>
        </w:numPr>
        <w:shd w:val="clear" w:color="auto" w:fill="FFFFFF"/>
        <w:spacing w:before="120"/>
        <w:ind w:left="284" w:hanging="284"/>
        <w:contextualSpacing w:val="0"/>
        <w:jc w:val="both"/>
        <w:rPr>
          <w:color w:val="000000"/>
        </w:rPr>
      </w:pPr>
      <w:r>
        <w:rPr>
          <w:color w:val="000000"/>
        </w:rPr>
        <w:t>Kontoret som det slovakiske nationale standardiseringsorgan skal udarbejde den tekniske standardiseringsplan og lægge den ud på sin hjemmeside senest den tiende dag i den måned, der følger efter den måned, i hvilken den tekniske standardiseringsplan blev udarbejdet.</w:t>
      </w:r>
    </w:p>
    <w:p w:rsidR="00E16F77" w:rsidRPr="00D06F2A" w:rsidRDefault="00E16F77" w:rsidP="003E6A72">
      <w:pPr>
        <w:pStyle w:val="ListParagraph"/>
        <w:widowControl/>
        <w:numPr>
          <w:ilvl w:val="0"/>
          <w:numId w:val="18"/>
        </w:numPr>
        <w:shd w:val="clear" w:color="auto" w:fill="FFFFFF"/>
        <w:spacing w:before="120"/>
        <w:ind w:left="284" w:hanging="284"/>
        <w:contextualSpacing w:val="0"/>
        <w:jc w:val="both"/>
        <w:rPr>
          <w:color w:val="000000"/>
        </w:rPr>
      </w:pPr>
      <w:r>
        <w:rPr>
          <w:color w:val="000000"/>
        </w:rPr>
        <w:t>I forbindelse med europæiske standarder, europæiske standardiseringsprodukter, internationale standarder og anden information om tekniske standarder skal Kontoret som det slovakiske nationale standardiseringsorgan anføre i den tekniske standardiseringsplan, hvordan de skal godkendes som en del af det slovakiske tekniske standardiseringssystem, hvilket kan inkludere gennemførelse</w:t>
      </w:r>
    </w:p>
    <w:p w:rsidR="00E16F77" w:rsidRPr="00D06F2A" w:rsidRDefault="00E16F77" w:rsidP="003E6A72">
      <w:pPr>
        <w:widowControl/>
        <w:numPr>
          <w:ilvl w:val="0"/>
          <w:numId w:val="6"/>
        </w:numPr>
        <w:shd w:val="clear" w:color="auto" w:fill="FFFFFF"/>
        <w:tabs>
          <w:tab w:val="left" w:pos="567"/>
        </w:tabs>
        <w:spacing w:before="120"/>
        <w:ind w:left="567" w:hanging="283"/>
        <w:rPr>
          <w:color w:val="000000"/>
        </w:rPr>
      </w:pPr>
      <w:r>
        <w:rPr>
          <w:color w:val="000000"/>
        </w:rPr>
        <w:t>via oversættelse til statssproget</w:t>
      </w:r>
    </w:p>
    <w:p w:rsidR="00E16F77" w:rsidRPr="00D06F2A" w:rsidRDefault="00E16F77" w:rsidP="003E6A72">
      <w:pPr>
        <w:widowControl/>
        <w:numPr>
          <w:ilvl w:val="0"/>
          <w:numId w:val="6"/>
        </w:numPr>
        <w:shd w:val="clear" w:color="auto" w:fill="FFFFFF"/>
        <w:tabs>
          <w:tab w:val="left" w:pos="567"/>
        </w:tabs>
        <w:spacing w:before="120"/>
        <w:ind w:left="567" w:hanging="283"/>
        <w:rPr>
          <w:color w:val="000000"/>
        </w:rPr>
      </w:pPr>
      <w:r>
        <w:rPr>
          <w:color w:val="000000"/>
        </w:rPr>
        <w:t>uden oversættelse til statssproget eller</w:t>
      </w:r>
    </w:p>
    <w:p w:rsidR="00E16F77" w:rsidRPr="00D06F2A" w:rsidRDefault="00E16F77" w:rsidP="003E6A72">
      <w:pPr>
        <w:widowControl/>
        <w:numPr>
          <w:ilvl w:val="0"/>
          <w:numId w:val="6"/>
        </w:numPr>
        <w:shd w:val="clear" w:color="auto" w:fill="FFFFFF"/>
        <w:tabs>
          <w:tab w:val="left" w:pos="567"/>
        </w:tabs>
        <w:spacing w:before="120"/>
        <w:ind w:left="567" w:hanging="283"/>
        <w:rPr>
          <w:color w:val="000000"/>
        </w:rPr>
      </w:pPr>
      <w:r>
        <w:rPr>
          <w:color w:val="000000"/>
        </w:rPr>
        <w:t>uden oversættelse til statssproget med anmærkning på statssproget.</w:t>
      </w:r>
    </w:p>
    <w:p w:rsidR="00E16F77" w:rsidRPr="00D06F2A" w:rsidRDefault="00E16F77" w:rsidP="003E6A72">
      <w:pPr>
        <w:pStyle w:val="ListParagraph"/>
        <w:widowControl/>
        <w:numPr>
          <w:ilvl w:val="0"/>
          <w:numId w:val="18"/>
        </w:numPr>
        <w:shd w:val="clear" w:color="auto" w:fill="FFFFFF"/>
        <w:spacing w:before="120"/>
        <w:ind w:left="284" w:hanging="284"/>
        <w:contextualSpacing w:val="0"/>
        <w:jc w:val="both"/>
        <w:rPr>
          <w:color w:val="000000"/>
        </w:rPr>
      </w:pPr>
      <w:r>
        <w:rPr>
          <w:color w:val="000000"/>
        </w:rPr>
        <w:t>Kontoret som det slovakiske nationale standardiseringsorgan skal i den tekniske standardiseringsplan angive planer om udarbejdelsen af en original slovakisk teknisk standard eller information om en original teknisk standard, som det har besluttet at udarbejde og godkende som en del af det slovakiske tekniske standardiseringssystem.</w:t>
      </w:r>
    </w:p>
    <w:p w:rsidR="00B3535A" w:rsidRPr="00D06F2A" w:rsidRDefault="00E16F77" w:rsidP="00BB519B">
      <w:pPr>
        <w:keepNext/>
        <w:keepLines/>
        <w:widowControl/>
        <w:shd w:val="clear" w:color="auto" w:fill="FFFFFF"/>
        <w:spacing w:before="360"/>
        <w:jc w:val="center"/>
        <w:rPr>
          <w:b/>
          <w:bCs/>
          <w:color w:val="000000"/>
        </w:rPr>
      </w:pPr>
      <w:r>
        <w:rPr>
          <w:b/>
          <w:color w:val="000000"/>
        </w:rPr>
        <w:t>§ 9</w:t>
      </w:r>
    </w:p>
    <w:p w:rsidR="00E16F77" w:rsidRPr="008015BE" w:rsidRDefault="00E16F77" w:rsidP="00BB519B">
      <w:pPr>
        <w:keepNext/>
        <w:keepLines/>
        <w:widowControl/>
        <w:shd w:val="clear" w:color="auto" w:fill="FFFFFF"/>
        <w:jc w:val="center"/>
        <w:rPr>
          <w:b/>
          <w:bCs/>
          <w:color w:val="000000"/>
        </w:rPr>
      </w:pPr>
      <w:r>
        <w:rPr>
          <w:b/>
          <w:color w:val="000000"/>
        </w:rPr>
        <w:t xml:space="preserve">Udarbejdelse af slovakiske tekniske standarder og information om tekniske standarder </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 xml:space="preserve">I forbindelse med udarbejdelsen af originale slovakiske tekniske standarder eller information om originale tekniske standarder eller i forbindelse med udarbejdelsen af slovakiske tekniske standarder eller information om tekniske standarder i den form, der henvises til i § 8, stk. 2, litra a) eller c), skal Kontoret som det slovakiske nationale standardiseringsorgan udvælge forfatteren i </w:t>
      </w:r>
      <w:r>
        <w:rPr>
          <w:color w:val="000000"/>
        </w:rPr>
        <w:lastRenderedPageBreak/>
        <w:t>henhold til særskilt lovgivning</w:t>
      </w:r>
      <w:r>
        <w:rPr>
          <w:color w:val="000000"/>
          <w:vertAlign w:val="superscript"/>
        </w:rPr>
        <w:t>16)</w:t>
      </w:r>
      <w:r>
        <w:rPr>
          <w:color w:val="000000"/>
        </w:rPr>
        <w:t>. Denne procedure gælder ikke, hvis udgifterne til udarbejdelsen af den slovakiske tekniske standard eller informationsdokumentet om den tekniske standard ikke afholdes af Kontoret.</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I forbindelse med udarbejdelsen af en original slovakisk teknisk standard eller information om en original teknisk standard skal forfatteren eller Kontoret som det slovakiske nationale standardiseringsorgan</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t>forberede udkastet til den originale slovakiske tekniske standard eller information om den originale tekniske standard</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t>fremlægge udkastet til den originale slovakiske tekniske standard eller udkastet til information om den originale tekniske standard for medlemmer af det tekniske udvalg eller medlemmer af den arbejdsgruppe, der er dannet til formålet</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t>tilpasse udkastet til den originale slovakiske tekniske standard eller udkastet til information om den originale tekniske standard i henhold til kommentarerne fra det tekniske udvalg eller den arbejdsgruppe, der er dannet til formålet; Kontoret som det slovakiske nationale standardiseringsorgan skal derefter forelægge det tilpassede udkast til offentlig høring ved at lægge en notifikation herom ud på sin hjemmeside senest 15 dage efter modtagelsen af udkastet til den originale slovakiske tekniske standard eller udkastet til information om den originale tekniske standard; hvis udarbejdelsen foretages af Kontoret som det slovakiske nationale standardiseringsorgan skal det fremlægge udkastet til den originale slovakiske tekniske standard eller udkastet til information om den originale tekniske standard til offentlig høring ved at lægge en notifikation herom ud på sin hjemmeside med det samme, dog senest 15 dage efter færdiggørelsen af udkastet, og</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t>tilpasse udkastet til den originale slovakiske tekniske standard eller udkastet til information om den originale tekniske standard i henhold til kommentarerne fra den offentlige høring.</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I forbindelse med udarbejdelsen af slovakiske tekniske standarder eller information om tekniske standarder i den form, der henvises til i § 8, stk. 2, litra a) eller c), skal forfatteren eller Kontoret som det slovakiske nationale standardiseringsorgan</w:t>
      </w:r>
    </w:p>
    <w:p w:rsidR="00E16F77" w:rsidRPr="00D06F2A" w:rsidRDefault="00E16F77" w:rsidP="003E6A72">
      <w:pPr>
        <w:widowControl/>
        <w:numPr>
          <w:ilvl w:val="0"/>
          <w:numId w:val="19"/>
        </w:numPr>
        <w:shd w:val="clear" w:color="auto" w:fill="FFFFFF"/>
        <w:tabs>
          <w:tab w:val="left" w:pos="567"/>
        </w:tabs>
        <w:spacing w:before="120"/>
        <w:ind w:left="567" w:hanging="283"/>
        <w:jc w:val="both"/>
        <w:rPr>
          <w:color w:val="000000"/>
        </w:rPr>
      </w:pPr>
      <w:r>
        <w:rPr>
          <w:color w:val="000000"/>
        </w:rPr>
        <w:t>forberede udkastet til den slovakiske tekniske standard eller information om den tekniske standard</w:t>
      </w:r>
    </w:p>
    <w:p w:rsidR="00D0380A" w:rsidRPr="00D06F2A" w:rsidRDefault="00E16F77" w:rsidP="003E6A72">
      <w:pPr>
        <w:widowControl/>
        <w:numPr>
          <w:ilvl w:val="0"/>
          <w:numId w:val="19"/>
        </w:numPr>
        <w:shd w:val="clear" w:color="auto" w:fill="FFFFFF"/>
        <w:tabs>
          <w:tab w:val="left" w:pos="567"/>
        </w:tabs>
        <w:spacing w:before="120"/>
        <w:ind w:left="567" w:hanging="283"/>
        <w:jc w:val="both"/>
        <w:rPr>
          <w:color w:val="000000"/>
        </w:rPr>
      </w:pPr>
      <w:r>
        <w:rPr>
          <w:color w:val="000000"/>
        </w:rPr>
        <w:t>forelægge det forberedte udkast til den slovakiske tekniske standard eller information om den tekniske standard for medlemmer af det tekniske udvalg og enhver person, der anmoder om deltagelse i høringerne inden for den periode, der angives i den tekniske standardiseringsplan, som lægges ud på hjemmesiden for Kontoret som det slovakiske nationale standardiseringsorgan</w:t>
      </w:r>
    </w:p>
    <w:p w:rsidR="00E16F77" w:rsidRPr="00D06F2A" w:rsidRDefault="00E16F77" w:rsidP="003E6A72">
      <w:pPr>
        <w:widowControl/>
        <w:numPr>
          <w:ilvl w:val="0"/>
          <w:numId w:val="19"/>
        </w:numPr>
        <w:shd w:val="clear" w:color="auto" w:fill="FFFFFF"/>
        <w:tabs>
          <w:tab w:val="left" w:pos="567"/>
        </w:tabs>
        <w:spacing w:before="120"/>
        <w:ind w:left="567" w:hanging="283"/>
        <w:jc w:val="both"/>
        <w:rPr>
          <w:color w:val="000000"/>
        </w:rPr>
      </w:pPr>
      <w:r>
        <w:rPr>
          <w:color w:val="000000"/>
        </w:rPr>
        <w:t>tilpasse udkastet til den slovakiske tekniske standard eller udkastet til information om den tekniske standard i henhold til kommentarerne fra det tekniske udvalg eller personer, der anmodede om deltagelse i høringerne.</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I forbindelse med udarbejdelsen af slovakiske tekniske standarder eller information om tekniske standarder i den form, der henvises til i § 8, stk. 2, litra b), skal Kontoret som det slovakiske nationale standardiseringsorgan udarbejde titlen på den slovakiske tekniske standard eller information om den standard på statssproget.</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I forbindelse med udarbejdelsen af en slovakisk teknisk standard eller information om en teknisk standard skal forfatteren eller Kontoret som det slovakiske nationale standardiseringsorgan sikre, at udkastet til den slovakiske tekniske standard og udkastet til information om den standard overholder de slovakiske tekniske standarder og information om standarder, der er blevet vedtaget og notificeret, og at udkastet til den slovakiske tekniske standard og udkastet til information om den tekniske standard overholder Den Europæiske Unions generelle og juridisk bindende love.</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Efter udførelse af disse trin iht. stk. 2, 3 eller 4 skal Kontoret som det slovakiske nationale standardiseringsorgan sørge for en sproglig og terminologisk revidering af udkastet.</w:t>
      </w:r>
    </w:p>
    <w:p w:rsidR="00B3535A" w:rsidRPr="00D06F2A" w:rsidRDefault="00E16F77" w:rsidP="00BB519B">
      <w:pPr>
        <w:keepNext/>
        <w:keepLines/>
        <w:widowControl/>
        <w:shd w:val="clear" w:color="auto" w:fill="FFFFFF"/>
        <w:spacing w:before="360"/>
        <w:jc w:val="center"/>
        <w:rPr>
          <w:b/>
          <w:bCs/>
          <w:color w:val="000000"/>
        </w:rPr>
      </w:pPr>
      <w:r>
        <w:rPr>
          <w:b/>
          <w:color w:val="000000"/>
        </w:rPr>
        <w:t>§ 10</w:t>
      </w:r>
    </w:p>
    <w:p w:rsidR="00E16F77" w:rsidRPr="008015BE" w:rsidRDefault="00E16F77" w:rsidP="00BB519B">
      <w:pPr>
        <w:keepNext/>
        <w:keepLines/>
        <w:widowControl/>
        <w:shd w:val="clear" w:color="auto" w:fill="FFFFFF"/>
        <w:jc w:val="center"/>
        <w:rPr>
          <w:b/>
          <w:bCs/>
          <w:color w:val="000000"/>
        </w:rPr>
      </w:pPr>
      <w:r>
        <w:rPr>
          <w:b/>
          <w:color w:val="000000"/>
        </w:rPr>
        <w:t xml:space="preserve">Vedtagelse af og notifikation om vedtagelse af slovakiske tekniske standarder og information om tekniske standarder </w:t>
      </w:r>
    </w:p>
    <w:p w:rsidR="00E16F77" w:rsidRPr="00D06F2A" w:rsidRDefault="00E16F77" w:rsidP="003E6A72">
      <w:pPr>
        <w:pStyle w:val="ListParagraph"/>
        <w:widowControl/>
        <w:numPr>
          <w:ilvl w:val="0"/>
          <w:numId w:val="23"/>
        </w:numPr>
        <w:shd w:val="clear" w:color="auto" w:fill="FFFFFF"/>
        <w:spacing w:before="120"/>
        <w:ind w:left="284" w:hanging="284"/>
        <w:contextualSpacing w:val="0"/>
        <w:jc w:val="both"/>
        <w:rPr>
          <w:color w:val="000000"/>
        </w:rPr>
      </w:pPr>
      <w:r>
        <w:rPr>
          <w:color w:val="000000"/>
        </w:rPr>
        <w:t xml:space="preserve">Når udkastet til den slovakiske tekniske standard eller udkastet til informationsdokumentet om den tekniske standard er færdiggjort i henhold til § 9 skal Kontoret som det slovakiske nationale </w:t>
      </w:r>
      <w:r>
        <w:rPr>
          <w:color w:val="000000"/>
        </w:rPr>
        <w:lastRenderedPageBreak/>
        <w:t>standardiseringsorgan godkende den slovakiske tekniske standard eller information om den standard som en del af det slovakiske tekniske standardiseringssystem.</w:t>
      </w:r>
    </w:p>
    <w:p w:rsidR="00E16F77" w:rsidRPr="00D06F2A" w:rsidRDefault="00E16F77" w:rsidP="003E6A72">
      <w:pPr>
        <w:pStyle w:val="ListParagraph"/>
        <w:widowControl/>
        <w:numPr>
          <w:ilvl w:val="0"/>
          <w:numId w:val="23"/>
        </w:numPr>
        <w:shd w:val="clear" w:color="auto" w:fill="FFFFFF"/>
        <w:spacing w:before="120"/>
        <w:ind w:left="284" w:hanging="284"/>
        <w:contextualSpacing w:val="0"/>
        <w:jc w:val="both"/>
        <w:rPr>
          <w:color w:val="000000"/>
        </w:rPr>
      </w:pPr>
      <w:r>
        <w:rPr>
          <w:color w:val="000000"/>
        </w:rPr>
        <w:t>Kontoret skal underrette om vedtagelsen af en slovakisk teknisk standard eller information om en teknisk standard i den Officielle Tidende eller, i begrundede tilfælde, på sin hjemmeside.</w:t>
      </w:r>
    </w:p>
    <w:p w:rsidR="00E16F77" w:rsidRPr="00D06F2A" w:rsidRDefault="00E16F77" w:rsidP="003E6A72">
      <w:pPr>
        <w:pStyle w:val="ListParagraph"/>
        <w:widowControl/>
        <w:numPr>
          <w:ilvl w:val="0"/>
          <w:numId w:val="23"/>
        </w:numPr>
        <w:shd w:val="clear" w:color="auto" w:fill="FFFFFF"/>
        <w:spacing w:before="120"/>
        <w:ind w:left="284" w:hanging="284"/>
        <w:contextualSpacing w:val="0"/>
        <w:jc w:val="both"/>
        <w:rPr>
          <w:color w:val="000000"/>
        </w:rPr>
      </w:pPr>
      <w:r>
        <w:rPr>
          <w:color w:val="000000"/>
        </w:rPr>
        <w:t>Slovakiske tekniske standarder eller information om tekniske standarder træder i kraft på den første dag i den kalendermåned, der følger efter den måned, i hvilken de blev notificeret i den Officielle Tidende, eller, hvis de er blevet notificeret på Kontorets hjemmeside, på datoen for notifikationen på Kontorets hjemmeside.</w:t>
      </w:r>
    </w:p>
    <w:p w:rsidR="00B3535A" w:rsidRPr="00D06F2A" w:rsidRDefault="00E16F77" w:rsidP="00BB519B">
      <w:pPr>
        <w:keepNext/>
        <w:keepLines/>
        <w:widowControl/>
        <w:shd w:val="clear" w:color="auto" w:fill="FFFFFF"/>
        <w:spacing w:before="360"/>
        <w:jc w:val="center"/>
        <w:rPr>
          <w:b/>
          <w:bCs/>
          <w:color w:val="000000"/>
        </w:rPr>
      </w:pPr>
      <w:r>
        <w:rPr>
          <w:b/>
          <w:color w:val="000000"/>
        </w:rPr>
        <w:t>§ 11</w:t>
      </w:r>
    </w:p>
    <w:p w:rsidR="00E16F77" w:rsidRPr="008015BE" w:rsidRDefault="00E16F77" w:rsidP="00BB519B">
      <w:pPr>
        <w:keepNext/>
        <w:keepLines/>
        <w:widowControl/>
        <w:shd w:val="clear" w:color="auto" w:fill="FFFFFF"/>
        <w:jc w:val="center"/>
        <w:rPr>
          <w:b/>
          <w:bCs/>
          <w:color w:val="000000"/>
        </w:rPr>
      </w:pPr>
      <w:r>
        <w:rPr>
          <w:b/>
          <w:color w:val="000000"/>
        </w:rPr>
        <w:t xml:space="preserve">Ændring af slovakiske tekniske standarder og korrektion og annullering af slovakiske tekniske standarder og information om tekniske standarder </w:t>
      </w:r>
    </w:p>
    <w:p w:rsidR="00E16F77" w:rsidRPr="00D06F2A" w:rsidRDefault="00E16F77" w:rsidP="00B3535A">
      <w:pPr>
        <w:widowControl/>
        <w:shd w:val="clear" w:color="auto" w:fill="FFFFFF"/>
        <w:spacing w:before="120"/>
        <w:jc w:val="both"/>
        <w:rPr>
          <w:color w:val="000000"/>
        </w:rPr>
      </w:pPr>
      <w:r>
        <w:rPr>
          <w:color w:val="000000"/>
        </w:rPr>
        <w:t>Når der foretages ændringer, korrektioner eller annulleringer af slovakiske tekniske standarder eller information om tekniske standarder, skal Kontoret som det slovakiske nationale standardiseringsorgan gennemføre disse tilsvarende i henhold til § 8 til § 10.</w:t>
      </w:r>
    </w:p>
    <w:p w:rsidR="00B3535A" w:rsidRPr="00D06F2A" w:rsidRDefault="00E16F77" w:rsidP="00BB519B">
      <w:pPr>
        <w:keepNext/>
        <w:keepLines/>
        <w:widowControl/>
        <w:shd w:val="clear" w:color="auto" w:fill="FFFFFF"/>
        <w:spacing w:before="360"/>
        <w:jc w:val="center"/>
        <w:rPr>
          <w:b/>
          <w:bCs/>
          <w:color w:val="000000"/>
        </w:rPr>
      </w:pPr>
      <w:r>
        <w:rPr>
          <w:b/>
          <w:color w:val="000000"/>
        </w:rPr>
        <w:t>§ 12</w:t>
      </w:r>
    </w:p>
    <w:p w:rsidR="00E16F77" w:rsidRPr="008015BE" w:rsidRDefault="00E16F77" w:rsidP="00BB519B">
      <w:pPr>
        <w:keepNext/>
        <w:keepLines/>
        <w:widowControl/>
        <w:shd w:val="clear" w:color="auto" w:fill="FFFFFF"/>
        <w:jc w:val="center"/>
        <w:rPr>
          <w:b/>
          <w:bCs/>
          <w:color w:val="000000"/>
        </w:rPr>
      </w:pPr>
      <w:r>
        <w:rPr>
          <w:b/>
          <w:color w:val="000000"/>
        </w:rPr>
        <w:t xml:space="preserve">Omkostninger for udvikling af slovakiske tekniske standarder og information om tekniske standarder </w:t>
      </w:r>
    </w:p>
    <w:p w:rsidR="00E16F77" w:rsidRPr="00D06F2A" w:rsidRDefault="00E16F77" w:rsidP="003E6A72">
      <w:pPr>
        <w:pStyle w:val="ListParagraph"/>
        <w:widowControl/>
        <w:numPr>
          <w:ilvl w:val="0"/>
          <w:numId w:val="24"/>
        </w:numPr>
        <w:shd w:val="clear" w:color="auto" w:fill="FFFFFF"/>
        <w:spacing w:before="120"/>
        <w:ind w:left="284" w:hanging="284"/>
        <w:contextualSpacing w:val="0"/>
        <w:jc w:val="both"/>
        <w:rPr>
          <w:color w:val="000000"/>
        </w:rPr>
      </w:pPr>
      <w:r>
        <w:rPr>
          <w:color w:val="000000"/>
        </w:rPr>
        <w:t>Omkostninger for udarbejdelse på statssproget og korrektion af slovakiske tekniske standarder og information om tekniske standarder, der overholder de kriterier, der er vedtaget og offentliggjort i henhold til § 4, stk. 2, litra c), skal afholdes af Kontoret. Ellers skal omkostningerne for udarbejdelsen af slovakiske tekniske standarder og information om tekniske standarder på statssproget afholdes af den part, der anmodede herom.</w:t>
      </w:r>
    </w:p>
    <w:p w:rsidR="00E16F77" w:rsidRPr="00D06F2A" w:rsidRDefault="00E16F77" w:rsidP="003E6A72">
      <w:pPr>
        <w:pStyle w:val="ListParagraph"/>
        <w:widowControl/>
        <w:numPr>
          <w:ilvl w:val="0"/>
          <w:numId w:val="24"/>
        </w:numPr>
        <w:shd w:val="clear" w:color="auto" w:fill="FFFFFF"/>
        <w:spacing w:before="120"/>
        <w:ind w:left="284" w:hanging="284"/>
        <w:contextualSpacing w:val="0"/>
        <w:jc w:val="both"/>
        <w:rPr>
          <w:color w:val="000000"/>
        </w:rPr>
      </w:pPr>
      <w:r>
        <w:rPr>
          <w:color w:val="000000"/>
        </w:rPr>
        <w:t>Omkostninger for udarbejdelse af slovakiske tekniske standarder, som der henvises direkte til i teksten til en generel lov, på statssproget, og omkostninger for tilvejebringelse af slovakiske tekniske standarder, som der henvises direkte til i teksten til en generel lov, skal afholdes af den statslige myndighed, der har ansvar for indgivelse af udkastet til en generel lov, i hvilken der henvises direkte til den slovakiske tekniske standard.</w:t>
      </w:r>
    </w:p>
    <w:p w:rsidR="00B3535A" w:rsidRPr="00D06F2A" w:rsidRDefault="00E16F77" w:rsidP="00BB519B">
      <w:pPr>
        <w:keepNext/>
        <w:keepLines/>
        <w:widowControl/>
        <w:shd w:val="clear" w:color="auto" w:fill="FFFFFF"/>
        <w:spacing w:before="360"/>
        <w:jc w:val="center"/>
        <w:rPr>
          <w:b/>
          <w:bCs/>
          <w:color w:val="000000"/>
        </w:rPr>
      </w:pPr>
      <w:r>
        <w:rPr>
          <w:b/>
          <w:color w:val="000000"/>
        </w:rPr>
        <w:t>§ 13</w:t>
      </w:r>
    </w:p>
    <w:p w:rsidR="00E16F77" w:rsidRPr="008015BE" w:rsidRDefault="00E16F77" w:rsidP="00BB519B">
      <w:pPr>
        <w:keepNext/>
        <w:keepLines/>
        <w:widowControl/>
        <w:shd w:val="clear" w:color="auto" w:fill="FFFFFF"/>
        <w:jc w:val="center"/>
        <w:rPr>
          <w:b/>
          <w:bCs/>
          <w:color w:val="000000"/>
        </w:rPr>
      </w:pPr>
      <w:r>
        <w:rPr>
          <w:b/>
          <w:color w:val="000000"/>
        </w:rPr>
        <w:t>Harmoniserede tekniske standarder og slovakiske tekniske standarder egnet til overensstemmelsesvurdering</w:t>
      </w:r>
    </w:p>
    <w:p w:rsidR="00E16F77" w:rsidRPr="00D06F2A"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Pr>
          <w:color w:val="000000"/>
        </w:rPr>
        <w:t>Overholdelsen af en harmoniseret teknisk standard</w:t>
      </w:r>
      <w:r>
        <w:rPr>
          <w:color w:val="000000"/>
          <w:vertAlign w:val="superscript"/>
        </w:rPr>
        <w:t>17)</w:t>
      </w:r>
      <w:r>
        <w:rPr>
          <w:color w:val="000000"/>
        </w:rPr>
        <w:t xml:space="preserve"> eller en slovakisk teknisk standard, der er egnet til overensstemmelsesvurdering eller dele heraf, anses for en overholdelse af de tekniske krav, der er fastlagt i den tekniske bestemmelse, som gælder for den harmoniserede tekniske standard eller slovakiske tekniske standard, der er egnet til overensstemmelsesvurdering eller dele heraf.</w:t>
      </w:r>
    </w:p>
    <w:p w:rsidR="00E16F77" w:rsidRPr="00D06F2A"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Pr>
          <w:color w:val="000000"/>
        </w:rPr>
        <w:t>Hvis der ikke foreligger en harmoniseret teknisk standard, skal Kontoret, efter samråd med det relevante ministerium eller den centrale statslige myndighed, udpege den slovakiske tekniske standard, der er egnet til overensstemmelsesvurdering. Udpegelsen af den slovakiske tekniske standard, der er egnet til overensstemmelsesvurdering, skal notificeres af Kontoret i den Officielle Tidende. I notifikationen skal Kontoret oplyse titlen på den tekniske bestemmelse, som gælder for den slovakiske tekniske standard, der er egnet til overensstemmelsesvurdering.</w:t>
      </w:r>
    </w:p>
    <w:p w:rsidR="00E16F77" w:rsidRPr="00D06F2A"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Pr>
          <w:color w:val="000000"/>
        </w:rPr>
        <w:t>Indsigelser mod harmoniserede tekniske standarder nævnt i en særskilt lovgivning</w:t>
      </w:r>
      <w:r>
        <w:rPr>
          <w:color w:val="000000"/>
          <w:vertAlign w:val="superscript"/>
        </w:rPr>
        <w:t>18)</w:t>
      </w:r>
      <w:r>
        <w:rPr>
          <w:color w:val="000000"/>
        </w:rPr>
        <w:t xml:space="preserve"> skal foretages af Kontoret på det pågældende ministeriums, andre centrale statslige myndigheders eller den tilsynsførende myndigheds initiativ.</w:t>
      </w:r>
    </w:p>
    <w:p w:rsidR="00E16F77" w:rsidRPr="00D06F2A"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Pr>
          <w:color w:val="000000"/>
        </w:rPr>
        <w:t>Forslag til at ophæve udpegelsen af en slovakisk teknisk standard som egnet til overensstemmelsesvurdering skal indgives af det relevante ministerium eller en anden central statslig myndighed til Kontoret, der skal underrette om ophævelsen af den slovakiske tekniske standard som egnet til overensstemmelsesvurdering i den Officielle Tidende.</w:t>
      </w:r>
    </w:p>
    <w:p w:rsidR="00B3535A" w:rsidRPr="00D06F2A" w:rsidRDefault="00E16F77" w:rsidP="00BB519B">
      <w:pPr>
        <w:keepNext/>
        <w:keepLines/>
        <w:widowControl/>
        <w:shd w:val="clear" w:color="auto" w:fill="FFFFFF"/>
        <w:spacing w:before="360"/>
        <w:jc w:val="center"/>
        <w:rPr>
          <w:b/>
          <w:bCs/>
          <w:color w:val="000000"/>
        </w:rPr>
      </w:pPr>
      <w:r>
        <w:rPr>
          <w:b/>
          <w:color w:val="000000"/>
        </w:rPr>
        <w:lastRenderedPageBreak/>
        <w:t>§ 14</w:t>
      </w:r>
    </w:p>
    <w:p w:rsidR="00E16F77" w:rsidRPr="008015BE" w:rsidRDefault="00E16F77" w:rsidP="00BB519B">
      <w:pPr>
        <w:keepNext/>
        <w:keepLines/>
        <w:widowControl/>
        <w:shd w:val="clear" w:color="auto" w:fill="FFFFFF"/>
        <w:jc w:val="center"/>
        <w:rPr>
          <w:b/>
          <w:bCs/>
          <w:color w:val="000000"/>
        </w:rPr>
      </w:pPr>
      <w:r>
        <w:rPr>
          <w:b/>
          <w:color w:val="000000"/>
        </w:rPr>
        <w:t xml:space="preserve">Midler til beskyttelse af slovakiske tekniske standarder og information om tekniske standarder </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Betegnelsen "slovakisk teknisk standard" og symbolet "STN", betegnelsen "slovakisk teknisk præstandard" og symbolet "STN P" samt betegnelsen "information om standarder" og symbolet "TNI" må ikke anvendes til identificering af andre dokumenter.</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Kontoret skal, som det slovakiske nationale standardiseringsorgan, være berettiget til kompensation for betalinger for tilvejebringelse af en slovakisk teknisk standard, en slovakisk teknisk præstandard eller information om teknisk standard eller enhver reproduktion af en slovakisk teknisk standard, en slovakisk teknisk præstand eller information om teknisk standard fra den person, som har reproduceret den slovakiske tekniske standard, den slovakiske tekniske præstand eller information om teknisk standard uden tilladelse fra Kontoret som det slovakiske nationale standardiseringsorgan.</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Uautoriseret distribution af slovakiske tekniske standarder eller information om tekniske standarder betyder tilvejebringelsen af en slovakisk teknisk standard eller information om en teknisk standard eller dele heraf, herunder tilbuddet om at tilvejebringe dette, uanset med hvilke midler og i hvilken form, uden tilladelse fra Kontoret som det slovakiske nationale standardiseringsorgan.</w:t>
      </w:r>
    </w:p>
    <w:p w:rsidR="00E16F77" w:rsidRPr="00D06F2A" w:rsidRDefault="00E16F77" w:rsidP="003E6A72">
      <w:pPr>
        <w:pStyle w:val="ListParagraph"/>
        <w:keepNext/>
        <w:keepLines/>
        <w:widowControl/>
        <w:numPr>
          <w:ilvl w:val="0"/>
          <w:numId w:val="25"/>
        </w:numPr>
        <w:shd w:val="clear" w:color="auto" w:fill="FFFFFF"/>
        <w:spacing w:before="120"/>
        <w:ind w:left="284" w:hanging="284"/>
        <w:contextualSpacing w:val="0"/>
        <w:jc w:val="both"/>
        <w:rPr>
          <w:color w:val="000000"/>
        </w:rPr>
      </w:pPr>
      <w:r>
        <w:rPr>
          <w:color w:val="000000"/>
        </w:rPr>
        <w:t>Følgende betragtes ikke som uautoriseret reproduktion og uautoriseret distribution af slovakiske tekniske standarder eller informationsdokumenter om tekniske standarder:</w:t>
      </w:r>
    </w:p>
    <w:p w:rsidR="00E16F77" w:rsidRPr="00D06F2A" w:rsidRDefault="00E16F77" w:rsidP="003E6A72">
      <w:pPr>
        <w:widowControl/>
        <w:numPr>
          <w:ilvl w:val="0"/>
          <w:numId w:val="8"/>
        </w:numPr>
        <w:shd w:val="clear" w:color="auto" w:fill="FFFFFF"/>
        <w:tabs>
          <w:tab w:val="left" w:pos="283"/>
        </w:tabs>
        <w:spacing w:before="120"/>
        <w:ind w:left="567" w:hanging="283"/>
        <w:jc w:val="both"/>
        <w:rPr>
          <w:color w:val="000000"/>
        </w:rPr>
      </w:pPr>
      <w:r>
        <w:rPr>
          <w:color w:val="000000"/>
        </w:rPr>
        <w:t>citering fra en slovakisk teknisk standard eller information om en hvis Kontoret som det slovakiske nationale standardiseringsorgan har givet tilladelse til at citere passagen i den slovakiske tekniske standard eller information standard på grundlag af en ansøgning</w:t>
      </w:r>
    </w:p>
    <w:p w:rsidR="00E16F77" w:rsidRPr="00D06F2A" w:rsidRDefault="00E16F77" w:rsidP="003E6A72">
      <w:pPr>
        <w:widowControl/>
        <w:numPr>
          <w:ilvl w:val="0"/>
          <w:numId w:val="8"/>
        </w:numPr>
        <w:shd w:val="clear" w:color="auto" w:fill="FFFFFF"/>
        <w:tabs>
          <w:tab w:val="left" w:pos="283"/>
        </w:tabs>
        <w:spacing w:before="120"/>
        <w:ind w:left="567" w:hanging="283"/>
        <w:jc w:val="both"/>
        <w:rPr>
          <w:color w:val="000000"/>
        </w:rPr>
      </w:pPr>
      <w:r>
        <w:rPr>
          <w:color w:val="000000"/>
        </w:rPr>
        <w:t>information om en slovakisk teknisk standard og information om en teknisk standard, der er blevet notificeret i den Officielle Tidende eller lagt ud på Kontorets hjemmeside i henhold til § 10, stk. 2.</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Kontoret skal, som det slovakiske nationale standardiseringsorgan, mod betaling give tilladelse til at citere en passage fra en slovakisk teknisk standard eller information om en teknisk standard uden unødig forsinkelse, dog senest 30 dage efter modtagelsen af ansøgningen om tilladelse. Ansøgningen skal især indeholde identifikationsoplysninger om ansøgeren, formålet med og omfanget af den pågældende citering af en passage fra en slovakisk teknisk standard eller information om en teknisk standard samt titlen på den slovakiske tekniske standard eller information om en teknisk standard, der skal citeres fra.</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Kontoret skal, som det slovakiske nationale standardiseringsorgan, uden betaling give tilladelse til at citere en passage fra en slovakisk teknisk standard eller et informationsdokument om en teknisk standard uden unødig forsinkelse, dog senest ti dage efter at have modtaget ansøgningen om tilladelse, hvis formålet er, at</w:t>
      </w:r>
    </w:p>
    <w:p w:rsidR="00E16F77" w:rsidRPr="00D06F2A" w:rsidRDefault="00E16F77" w:rsidP="003E6A72">
      <w:pPr>
        <w:pStyle w:val="ListParagraph"/>
        <w:keepNext/>
        <w:keepLines/>
        <w:widowControl/>
        <w:numPr>
          <w:ilvl w:val="1"/>
          <w:numId w:val="25"/>
        </w:numPr>
        <w:shd w:val="clear" w:color="auto" w:fill="FFFFFF"/>
        <w:tabs>
          <w:tab w:val="left" w:pos="567"/>
        </w:tabs>
        <w:spacing w:before="120"/>
        <w:ind w:left="851" w:hanging="284"/>
        <w:contextualSpacing w:val="0"/>
        <w:rPr>
          <w:color w:val="000000"/>
        </w:rPr>
      </w:pPr>
      <w:r>
        <w:rPr>
          <w:color w:val="000000"/>
        </w:rPr>
        <w:t>tilvejebringe</w:t>
      </w:r>
    </w:p>
    <w:p w:rsidR="00E16F77" w:rsidRPr="00D06F2A" w:rsidRDefault="00E16F77" w:rsidP="003E6A72">
      <w:pPr>
        <w:widowControl/>
        <w:numPr>
          <w:ilvl w:val="0"/>
          <w:numId w:val="9"/>
        </w:numPr>
        <w:shd w:val="clear" w:color="auto" w:fill="FFFFFF"/>
        <w:tabs>
          <w:tab w:val="left" w:pos="1134"/>
        </w:tabs>
        <w:spacing w:before="120"/>
        <w:ind w:left="1134" w:hanging="283"/>
        <w:rPr>
          <w:color w:val="000000"/>
        </w:rPr>
      </w:pPr>
      <w:r>
        <w:rPr>
          <w:color w:val="000000"/>
        </w:rPr>
        <w:t>uddannelse og undervisning i henhold til særskilt lovgivning</w:t>
      </w:r>
      <w:r>
        <w:rPr>
          <w:color w:val="000000"/>
          <w:vertAlign w:val="superscript"/>
        </w:rPr>
        <w:t>19)</w:t>
      </w:r>
    </w:p>
    <w:p w:rsidR="00E16F77" w:rsidRPr="00D06F2A" w:rsidRDefault="00E16F77" w:rsidP="003E6A72">
      <w:pPr>
        <w:widowControl/>
        <w:numPr>
          <w:ilvl w:val="0"/>
          <w:numId w:val="9"/>
        </w:numPr>
        <w:shd w:val="clear" w:color="auto" w:fill="FFFFFF"/>
        <w:tabs>
          <w:tab w:val="left" w:pos="1134"/>
        </w:tabs>
        <w:spacing w:before="120"/>
        <w:ind w:left="1134" w:hanging="283"/>
        <w:rPr>
          <w:color w:val="000000"/>
        </w:rPr>
      </w:pPr>
      <w:r>
        <w:rPr>
          <w:color w:val="000000"/>
        </w:rPr>
        <w:t>uddannelse som del af et godkendt universitetsstudie eller</w:t>
      </w:r>
    </w:p>
    <w:p w:rsidR="00E16F77" w:rsidRPr="00D06F2A" w:rsidRDefault="00E16F77" w:rsidP="003E6A72">
      <w:pPr>
        <w:widowControl/>
        <w:numPr>
          <w:ilvl w:val="0"/>
          <w:numId w:val="9"/>
        </w:numPr>
        <w:shd w:val="clear" w:color="auto" w:fill="FFFFFF"/>
        <w:tabs>
          <w:tab w:val="left" w:pos="1134"/>
        </w:tabs>
        <w:spacing w:before="120"/>
        <w:ind w:left="1134" w:hanging="283"/>
        <w:jc w:val="both"/>
        <w:rPr>
          <w:color w:val="000000"/>
        </w:rPr>
      </w:pPr>
      <w:r>
        <w:rPr>
          <w:color w:val="000000"/>
        </w:rPr>
        <w:t>efteruddannelse og attestering af lærere og specialundervisere</w:t>
      </w:r>
      <w:r>
        <w:rPr>
          <w:color w:val="000000"/>
          <w:vertAlign w:val="superscript"/>
        </w:rPr>
        <w:t>20)</w:t>
      </w:r>
      <w:r>
        <w:rPr>
          <w:color w:val="000000"/>
        </w:rPr>
        <w:t xml:space="preserve"> på ikke-kommerciel basis</w:t>
      </w:r>
    </w:p>
    <w:p w:rsidR="00E16F77" w:rsidRPr="00D06F2A" w:rsidRDefault="00E16F77" w:rsidP="003E6A72">
      <w:pPr>
        <w:pStyle w:val="ListParagraph"/>
        <w:keepNext/>
        <w:keepLines/>
        <w:widowControl/>
        <w:numPr>
          <w:ilvl w:val="1"/>
          <w:numId w:val="25"/>
        </w:numPr>
        <w:shd w:val="clear" w:color="auto" w:fill="FFFFFF"/>
        <w:tabs>
          <w:tab w:val="left" w:pos="567"/>
        </w:tabs>
        <w:spacing w:before="120"/>
        <w:ind w:left="851" w:hanging="284"/>
        <w:contextualSpacing w:val="0"/>
        <w:rPr>
          <w:color w:val="000000"/>
        </w:rPr>
      </w:pPr>
      <w:r>
        <w:rPr>
          <w:color w:val="000000"/>
        </w:rPr>
        <w:t>forberede og forsvare</w:t>
      </w:r>
    </w:p>
    <w:p w:rsidR="00E16F77" w:rsidRPr="00D06F2A" w:rsidRDefault="00E16F77" w:rsidP="003E6A72">
      <w:pPr>
        <w:widowControl/>
        <w:numPr>
          <w:ilvl w:val="0"/>
          <w:numId w:val="10"/>
        </w:numPr>
        <w:shd w:val="clear" w:color="auto" w:fill="FFFFFF"/>
        <w:tabs>
          <w:tab w:val="left" w:pos="1134"/>
        </w:tabs>
        <w:spacing w:before="120"/>
        <w:ind w:left="1134" w:hanging="283"/>
        <w:jc w:val="both"/>
        <w:rPr>
          <w:color w:val="000000"/>
        </w:rPr>
      </w:pPr>
      <w:r>
        <w:rPr>
          <w:color w:val="000000"/>
        </w:rPr>
        <w:t>en omfattende teknisk opgave, projekt eller konkurrenceopgave eller afsluttende eksamensopgave i forbindelse med uddannelse og undervisning</w:t>
      </w:r>
      <w:r>
        <w:rPr>
          <w:color w:val="000000"/>
          <w:vertAlign w:val="superscript"/>
        </w:rPr>
        <w:t>21)</w:t>
      </w:r>
    </w:p>
    <w:p w:rsidR="00E16F77" w:rsidRPr="00D06F2A" w:rsidRDefault="00E16F77" w:rsidP="003E6A72">
      <w:pPr>
        <w:widowControl/>
        <w:numPr>
          <w:ilvl w:val="0"/>
          <w:numId w:val="10"/>
        </w:numPr>
        <w:shd w:val="clear" w:color="auto" w:fill="FFFFFF"/>
        <w:tabs>
          <w:tab w:val="left" w:pos="1134"/>
        </w:tabs>
        <w:spacing w:before="120"/>
        <w:ind w:left="1134" w:hanging="283"/>
        <w:rPr>
          <w:color w:val="000000"/>
        </w:rPr>
      </w:pPr>
      <w:r>
        <w:rPr>
          <w:color w:val="000000"/>
        </w:rPr>
        <w:t>afsluttende universitetsafhandling</w:t>
      </w:r>
      <w:r>
        <w:rPr>
          <w:color w:val="000000"/>
          <w:vertAlign w:val="superscript"/>
        </w:rPr>
        <w:t>22)</w:t>
      </w:r>
      <w:r>
        <w:rPr>
          <w:color w:val="000000"/>
        </w:rPr>
        <w:t xml:space="preserve"> eller</w:t>
      </w:r>
    </w:p>
    <w:p w:rsidR="00E16F77" w:rsidRPr="00D06F2A" w:rsidRDefault="00E16F77" w:rsidP="003E6A72">
      <w:pPr>
        <w:widowControl/>
        <w:numPr>
          <w:ilvl w:val="0"/>
          <w:numId w:val="10"/>
        </w:numPr>
        <w:shd w:val="clear" w:color="auto" w:fill="FFFFFF"/>
        <w:tabs>
          <w:tab w:val="left" w:pos="1134"/>
        </w:tabs>
        <w:spacing w:before="120"/>
        <w:ind w:left="1134" w:hanging="283"/>
        <w:jc w:val="both"/>
        <w:rPr>
          <w:color w:val="000000"/>
        </w:rPr>
      </w:pPr>
      <w:r>
        <w:rPr>
          <w:color w:val="000000"/>
        </w:rPr>
        <w:t>en afsluttende opgave i forbindelse med efteruddannelse af lærere og specialundervisere på ikke-kommerciel basis og attesteringsdokumenter for lærere og specialundervisere.</w:t>
      </w:r>
      <w:r>
        <w:rPr>
          <w:color w:val="000000"/>
          <w:vertAlign w:val="superscript"/>
        </w:rPr>
        <w:t>23)</w:t>
      </w:r>
    </w:p>
    <w:p w:rsidR="00B3535A" w:rsidRPr="00D06F2A" w:rsidRDefault="00E16F77" w:rsidP="00BB519B">
      <w:pPr>
        <w:keepNext/>
        <w:keepLines/>
        <w:widowControl/>
        <w:shd w:val="clear" w:color="auto" w:fill="FFFFFF"/>
        <w:spacing w:before="360"/>
        <w:jc w:val="center"/>
        <w:rPr>
          <w:b/>
          <w:bCs/>
          <w:color w:val="000000"/>
        </w:rPr>
      </w:pPr>
      <w:r>
        <w:rPr>
          <w:b/>
          <w:color w:val="000000"/>
        </w:rPr>
        <w:t>§ 15</w:t>
      </w:r>
    </w:p>
    <w:p w:rsidR="00E16F77" w:rsidRPr="008015BE" w:rsidRDefault="00E16F77" w:rsidP="00BB519B">
      <w:pPr>
        <w:keepNext/>
        <w:keepLines/>
        <w:widowControl/>
        <w:shd w:val="clear" w:color="auto" w:fill="FFFFFF"/>
        <w:jc w:val="center"/>
        <w:rPr>
          <w:b/>
          <w:bCs/>
          <w:color w:val="000000"/>
        </w:rPr>
      </w:pPr>
      <w:r>
        <w:rPr>
          <w:b/>
          <w:color w:val="000000"/>
        </w:rPr>
        <w:t>Tilvejebringelse af slovakiske tekniske standarder, informationsdokumenter om tekniske standarder, andre tekniske standarder og den Officielle Tidende</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Slovakiske tekniske standarder, information om tekniske standarder, andre tekniske standarder og ændringer heraf samt den Officielle Tidende skal tilvejebringes mod et gebyr, medmindre de tilvejebringes på anden måde som angivet i stk. 4.</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lastRenderedPageBreak/>
        <w:t>Slovakiske tekniske standarder og information om tekniske standarder og korrektioner heraf skal tilvejebringes i papirform, elektronisk form eller via portalen. Andre tekniske standarder og ændringer og korrektioner heraf og andre informationsdokumenter om tekniske standarder og korrektioner heraf skal tilvejebringes i papirform. Yderligere oplysninger om portalen offentliggøres af Kontoret (som det slovakiske nationale standardiseringsorgan) på dets hjemmeside.</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Kontoret skal, som det slovakiske nationale standardiseringsorgan, via portalen tilvejebringe slovakiske tekniske standarder uden betaling i henhold til § 12, stk. 2, til enhver, der anmoder om dem. Dette gælder uanset de statslige myndigheders forpligtelse som omtalt i § 12, stk. 2.</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Forfattere af originale slovakiske tekniske standarder eller information om originale tekniske standarder er berettigede til én gratis kopi af den originale slovakiske tekniske standard eller information om den originale tekniske standard i den udgave, de bidrog til.</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Korrektioner af slovakiske tekniske standarder, information om tekniske standarder andre tekniske standarder og anden information om tekniske standarder skal tilvejebringes af Kontoret som det slovakiske nationale standardiseringsorgan uden betaling.</w:t>
      </w:r>
    </w:p>
    <w:p w:rsidR="00E16F77" w:rsidRPr="00D06F2A" w:rsidRDefault="00E16F77" w:rsidP="003E6A72">
      <w:pPr>
        <w:pStyle w:val="ListParagraph"/>
        <w:keepNext/>
        <w:keepLines/>
        <w:widowControl/>
        <w:numPr>
          <w:ilvl w:val="0"/>
          <w:numId w:val="27"/>
        </w:numPr>
        <w:shd w:val="clear" w:color="auto" w:fill="FFFFFF"/>
        <w:spacing w:before="120"/>
        <w:ind w:left="284" w:hanging="284"/>
        <w:contextualSpacing w:val="0"/>
        <w:jc w:val="both"/>
        <w:rPr>
          <w:color w:val="000000"/>
        </w:rPr>
      </w:pPr>
      <w:r>
        <w:rPr>
          <w:color w:val="000000"/>
        </w:rPr>
        <w:t xml:space="preserve">Berettigelse til en refundering af gebyret for tilvejebringelsen af slovakiske tekniske standarder, information om tekniske standarder og andre tekniske standarder og ændringer heraf i papirform gør sig gældende, hvis </w:t>
      </w:r>
    </w:p>
    <w:p w:rsidR="00E16F77" w:rsidRPr="00D06F2A" w:rsidRDefault="00E16F77" w:rsidP="003E6A72">
      <w:pPr>
        <w:widowControl/>
        <w:numPr>
          <w:ilvl w:val="0"/>
          <w:numId w:val="11"/>
        </w:numPr>
        <w:shd w:val="clear" w:color="auto" w:fill="FFFFFF"/>
        <w:tabs>
          <w:tab w:val="left" w:pos="283"/>
        </w:tabs>
        <w:spacing w:before="120"/>
        <w:ind w:left="567" w:hanging="283"/>
        <w:rPr>
          <w:color w:val="000000"/>
        </w:rPr>
      </w:pPr>
      <w:r>
        <w:rPr>
          <w:color w:val="000000"/>
        </w:rPr>
        <w:t>dele af teksten eller siden mangler, eller</w:t>
      </w:r>
    </w:p>
    <w:p w:rsidR="00E16F77" w:rsidRPr="00D06F2A" w:rsidRDefault="00E16F77" w:rsidP="003E6A72">
      <w:pPr>
        <w:widowControl/>
        <w:numPr>
          <w:ilvl w:val="0"/>
          <w:numId w:val="11"/>
        </w:numPr>
        <w:shd w:val="clear" w:color="auto" w:fill="FFFFFF"/>
        <w:tabs>
          <w:tab w:val="left" w:pos="283"/>
        </w:tabs>
        <w:spacing w:before="120"/>
        <w:ind w:left="567" w:hanging="283"/>
        <w:rPr>
          <w:color w:val="000000"/>
        </w:rPr>
      </w:pPr>
      <w:r>
        <w:rPr>
          <w:color w:val="000000"/>
        </w:rPr>
        <w:t xml:space="preserve">indbindingen er beskadiget. </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Berettigelse til en refundering af gebyret for tilvejebringelsen af slovakiske tekniske standarder eller information om standarder i elektronisk form gør sig gældende, hvis det lagermedie, som den slovakiske tekniske standard eller information om den tekniske standard er gemt på, er beskadiget.</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Berettigelsen til en refundering som omtalt i stk. 6 og stk. 7 kan gøres gældende ved modtagelsen af den slovakiske tekniske standard, information om den tekniske standard eller en anden teknisk standard og ændringer heraf. I stedet for at refundere gebyret for tilvejebringelsen af den slovakiske tekniske standard, information om den tekniske standard eller en anden teknisk standard og ændringer heraf, kan Kontoret som det slovakiske nationale standardiseringsorgan tilvejebringe en komplet eller ubeskadiget erstatning for papirudgaven af den slovakiske tekniske standard, information om den tekniske standard eller en anden teknisk standard og ændringer heraf eller et ubeskadiget lagermedie, på hvilket den slovakiske tekniske standard eller informations om den tekniske standard er gemt elektronisk.</w:t>
      </w:r>
    </w:p>
    <w:p w:rsidR="00E16F77" w:rsidRPr="008015BE" w:rsidRDefault="00E16F77" w:rsidP="00BB519B">
      <w:pPr>
        <w:keepNext/>
        <w:keepLines/>
        <w:widowControl/>
        <w:shd w:val="clear" w:color="auto" w:fill="FFFFFF"/>
        <w:spacing w:before="360"/>
        <w:jc w:val="center"/>
        <w:rPr>
          <w:b/>
          <w:bCs/>
          <w:color w:val="000000"/>
        </w:rPr>
      </w:pPr>
      <w:r>
        <w:rPr>
          <w:b/>
          <w:color w:val="000000"/>
        </w:rPr>
        <w:t>Lovovertrædelser og andre administrative forseelser</w:t>
      </w:r>
    </w:p>
    <w:p w:rsidR="00E16F77" w:rsidRPr="008015BE" w:rsidRDefault="00E16F77" w:rsidP="00BB519B">
      <w:pPr>
        <w:keepNext/>
        <w:keepLines/>
        <w:widowControl/>
        <w:shd w:val="clear" w:color="auto" w:fill="FFFFFF"/>
        <w:jc w:val="center"/>
        <w:rPr>
          <w:b/>
          <w:bCs/>
          <w:color w:val="000000"/>
        </w:rPr>
      </w:pPr>
      <w:r>
        <w:rPr>
          <w:b/>
          <w:color w:val="000000"/>
        </w:rPr>
        <w:t>§ 16</w:t>
      </w:r>
    </w:p>
    <w:p w:rsidR="00E16F77" w:rsidRPr="00D06F2A" w:rsidRDefault="00E16F77" w:rsidP="003E6A72">
      <w:pPr>
        <w:pStyle w:val="ListParagraph"/>
        <w:keepNext/>
        <w:keepLines/>
        <w:widowControl/>
        <w:numPr>
          <w:ilvl w:val="0"/>
          <w:numId w:val="30"/>
        </w:numPr>
        <w:shd w:val="clear" w:color="auto" w:fill="FFFFFF"/>
        <w:spacing w:before="120"/>
        <w:ind w:left="284" w:hanging="284"/>
        <w:contextualSpacing w:val="0"/>
        <w:jc w:val="both"/>
        <w:rPr>
          <w:color w:val="000000"/>
        </w:rPr>
      </w:pPr>
      <w:r>
        <w:rPr>
          <w:color w:val="000000"/>
        </w:rPr>
        <w:t>En person begår en lovovertrædelse, hvis vedkommende</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distribuerer en slovakisk teknisk præstandard eller information om en teknisk standard eller dele heraf uden tilladelse</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anfører "STN P"-symbolet på et dokument uden tilladelse</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distribuerer en slovakisk teknisk standard eller dele heraf gratis uden tilladelse</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anfører "STN"-symbolet på et dokument uden tilladelse</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distribuerer en slovakisk teknisk standard eller dele heraf mod betaling.</w:t>
      </w:r>
    </w:p>
    <w:p w:rsidR="00E16F77" w:rsidRPr="00D06F2A" w:rsidRDefault="00E16F77" w:rsidP="003E6A72">
      <w:pPr>
        <w:pStyle w:val="ListParagraph"/>
        <w:widowControl/>
        <w:numPr>
          <w:ilvl w:val="0"/>
          <w:numId w:val="30"/>
        </w:numPr>
        <w:shd w:val="clear" w:color="auto" w:fill="FFFFFF"/>
        <w:spacing w:before="120"/>
        <w:ind w:left="284" w:hanging="284"/>
        <w:contextualSpacing w:val="0"/>
        <w:jc w:val="both"/>
        <w:rPr>
          <w:color w:val="000000"/>
        </w:rPr>
      </w:pPr>
      <w:r>
        <w:rPr>
          <w:color w:val="000000"/>
        </w:rPr>
        <w:t>Kontoret pålægger en bøde på 30 EUR til 1 500 EUR for de lovovertrædelser, der omtales i stk. 1, litra a) eller b), en bøde på 45 EUR til 3 000 EUR for de lovovertrædelser, der omtales i stk. 1, litra c), og en bøde på 175 EUR til 10 000 EUR for de lovovertrædelser, der omtales i stk. 1, litra d) eller e).</w:t>
      </w:r>
    </w:p>
    <w:p w:rsidR="00E16F77" w:rsidRPr="00D06F2A" w:rsidRDefault="00E16F77" w:rsidP="003E6A72">
      <w:pPr>
        <w:pStyle w:val="ListParagraph"/>
        <w:widowControl/>
        <w:numPr>
          <w:ilvl w:val="0"/>
          <w:numId w:val="30"/>
        </w:numPr>
        <w:shd w:val="clear" w:color="auto" w:fill="FFFFFF"/>
        <w:spacing w:before="120"/>
        <w:ind w:left="284" w:hanging="284"/>
        <w:contextualSpacing w:val="0"/>
        <w:jc w:val="both"/>
        <w:rPr>
          <w:color w:val="000000"/>
        </w:rPr>
      </w:pPr>
      <w:r>
        <w:rPr>
          <w:color w:val="000000"/>
        </w:rPr>
        <w:t>Lovovertrædelserne og de relaterede procedurer er omfattet af den generelle lovgivning om lovovertrædelser.</w:t>
      </w:r>
      <w:r>
        <w:rPr>
          <w:color w:val="000000"/>
          <w:vertAlign w:val="superscript"/>
        </w:rPr>
        <w:t>24)</w:t>
      </w:r>
    </w:p>
    <w:p w:rsidR="00E16F77" w:rsidRPr="00E35FA4" w:rsidRDefault="00E16F77" w:rsidP="00BB519B">
      <w:pPr>
        <w:keepNext/>
        <w:keepLines/>
        <w:widowControl/>
        <w:shd w:val="clear" w:color="auto" w:fill="FFFFFF"/>
        <w:spacing w:before="360"/>
        <w:jc w:val="center"/>
        <w:rPr>
          <w:b/>
          <w:bCs/>
          <w:color w:val="000000"/>
        </w:rPr>
      </w:pPr>
      <w:r>
        <w:rPr>
          <w:b/>
          <w:color w:val="000000"/>
        </w:rPr>
        <w:t>§ 17</w:t>
      </w:r>
    </w:p>
    <w:p w:rsidR="00E16F77" w:rsidRPr="00D06F2A" w:rsidRDefault="00E16F77" w:rsidP="003E6A72">
      <w:pPr>
        <w:pStyle w:val="ListParagraph"/>
        <w:widowControl/>
        <w:numPr>
          <w:ilvl w:val="0"/>
          <w:numId w:val="29"/>
        </w:numPr>
        <w:shd w:val="clear" w:color="auto" w:fill="FFFFFF"/>
        <w:spacing w:before="120"/>
        <w:ind w:left="284" w:hanging="284"/>
        <w:contextualSpacing w:val="0"/>
        <w:jc w:val="both"/>
        <w:rPr>
          <w:color w:val="000000"/>
        </w:rPr>
      </w:pPr>
      <w:r>
        <w:rPr>
          <w:color w:val="000000"/>
        </w:rPr>
        <w:t xml:space="preserve">Kontoret pålægger en eneforhandler eller juridisk person en bøde på 30 EUR til 500 EUR, hvis vedkommende distribuerer en slovakisk teknisk præstandard eller et informationsdokument om en </w:t>
      </w:r>
      <w:r>
        <w:rPr>
          <w:color w:val="000000"/>
        </w:rPr>
        <w:lastRenderedPageBreak/>
        <w:t>teknisk standard eller dele heraf uden tilladelse eller Hvem anfører "STN P"-symbolet på et dokument uden tilladelse.</w:t>
      </w:r>
    </w:p>
    <w:p w:rsidR="00E16F77" w:rsidRPr="00D06F2A" w:rsidRDefault="00E16F77" w:rsidP="003E6A72">
      <w:pPr>
        <w:pStyle w:val="ListParagraph"/>
        <w:widowControl/>
        <w:numPr>
          <w:ilvl w:val="0"/>
          <w:numId w:val="29"/>
        </w:numPr>
        <w:shd w:val="clear" w:color="auto" w:fill="FFFFFF"/>
        <w:spacing w:before="120"/>
        <w:ind w:left="284" w:hanging="284"/>
        <w:contextualSpacing w:val="0"/>
        <w:jc w:val="both"/>
        <w:rPr>
          <w:color w:val="000000"/>
        </w:rPr>
      </w:pPr>
      <w:r>
        <w:rPr>
          <w:color w:val="000000"/>
        </w:rPr>
        <w:t>Kontoret pålægger en eneforhandler eller juridisk person en bøde på 50 EUR til 5 000 EUR, der distribuerer en slovakisk teknisk standard eller dele heraf uden vederlag efter uden tilladelse.</w:t>
      </w:r>
    </w:p>
    <w:p w:rsidR="00E16F77" w:rsidRPr="00D06F2A" w:rsidRDefault="00E16F77" w:rsidP="003E6A72">
      <w:pPr>
        <w:pStyle w:val="ListParagraph"/>
        <w:keepNext/>
        <w:keepLines/>
        <w:widowControl/>
        <w:numPr>
          <w:ilvl w:val="0"/>
          <w:numId w:val="29"/>
        </w:numPr>
        <w:shd w:val="clear" w:color="auto" w:fill="FFFFFF"/>
        <w:spacing w:before="120"/>
        <w:ind w:left="284" w:hanging="284"/>
        <w:contextualSpacing w:val="0"/>
        <w:jc w:val="both"/>
        <w:rPr>
          <w:color w:val="000000"/>
        </w:rPr>
      </w:pPr>
      <w:r>
        <w:rPr>
          <w:color w:val="000000"/>
        </w:rPr>
        <w:t>Kontoret pålægger en eneforhandler eller juridisk person en bøde på 350 EUR til 35 000 EUR, hvis vedkommende ikke har tilladelse</w:t>
      </w:r>
    </w:p>
    <w:p w:rsidR="00E16F77" w:rsidRPr="00D06F2A" w:rsidRDefault="00E16F77" w:rsidP="003E6A72">
      <w:pPr>
        <w:widowControl/>
        <w:numPr>
          <w:ilvl w:val="0"/>
          <w:numId w:val="13"/>
        </w:numPr>
        <w:shd w:val="clear" w:color="auto" w:fill="FFFFFF"/>
        <w:tabs>
          <w:tab w:val="left" w:pos="567"/>
        </w:tabs>
        <w:spacing w:before="120"/>
        <w:ind w:left="567" w:hanging="283"/>
        <w:rPr>
          <w:color w:val="000000"/>
        </w:rPr>
      </w:pPr>
      <w:r>
        <w:rPr>
          <w:color w:val="000000"/>
        </w:rPr>
        <w:t>anfører "STN"-symbolet på et dokument, eller</w:t>
      </w:r>
    </w:p>
    <w:p w:rsidR="00E16F77" w:rsidRPr="00D06F2A" w:rsidRDefault="00E16F77" w:rsidP="003E6A72">
      <w:pPr>
        <w:widowControl/>
        <w:numPr>
          <w:ilvl w:val="0"/>
          <w:numId w:val="13"/>
        </w:numPr>
        <w:shd w:val="clear" w:color="auto" w:fill="FFFFFF"/>
        <w:tabs>
          <w:tab w:val="left" w:pos="567"/>
        </w:tabs>
        <w:spacing w:before="120"/>
        <w:ind w:left="567" w:hanging="283"/>
        <w:rPr>
          <w:color w:val="000000"/>
        </w:rPr>
      </w:pPr>
      <w:r>
        <w:rPr>
          <w:color w:val="000000"/>
        </w:rPr>
        <w:t>distribuerer en slovakisk teknisk standard eller dele heraf mod betaling.</w:t>
      </w:r>
    </w:p>
    <w:p w:rsidR="00E16F77" w:rsidRPr="00E35FA4" w:rsidRDefault="00E16F77" w:rsidP="00BB519B">
      <w:pPr>
        <w:keepNext/>
        <w:keepLines/>
        <w:widowControl/>
        <w:shd w:val="clear" w:color="auto" w:fill="FFFFFF"/>
        <w:spacing w:before="360"/>
        <w:jc w:val="center"/>
        <w:rPr>
          <w:b/>
          <w:bCs/>
          <w:color w:val="000000"/>
        </w:rPr>
      </w:pPr>
      <w:r>
        <w:rPr>
          <w:b/>
          <w:color w:val="000000"/>
        </w:rPr>
        <w:t>§ 18</w:t>
      </w:r>
    </w:p>
    <w:p w:rsidR="000D1A6C" w:rsidRPr="00D06F2A"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Pr>
          <w:color w:val="000000"/>
        </w:rPr>
        <w:t>Procedurer i forbindelse med pålæggelse af en bøde kan indledes inden for tre år efter dagen for den ulovlige handling.</w:t>
      </w:r>
    </w:p>
    <w:p w:rsidR="00E16F77" w:rsidRPr="00D06F2A"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Pr>
          <w:color w:val="000000"/>
        </w:rPr>
        <w:t>I forbindelse med pålæggelse af en bøde skal der tages højde for alvorligheden, formen, varigheden og konsekvenserne af den ulovlige handling.</w:t>
      </w:r>
    </w:p>
    <w:p w:rsidR="00E16F77" w:rsidRPr="00D06F2A"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Pr>
          <w:color w:val="000000"/>
        </w:rPr>
        <w:t>Bøderne skal betales til statens budget.</w:t>
      </w:r>
    </w:p>
    <w:p w:rsidR="00E16F77" w:rsidRPr="00D06F2A"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Pr>
          <w:color w:val="000000"/>
        </w:rPr>
        <w:t>Hvis den ulovlige handling gentages inden for et år efter den dato, hvor afgørelsen om pålæggelse af en bøde bliver endelig, pålægger Kontoret en bøde på op til to gange det pålagte bødebeløb.</w:t>
      </w:r>
    </w:p>
    <w:p w:rsidR="00BB519B" w:rsidRPr="00D06F2A" w:rsidRDefault="00E16F77" w:rsidP="00BB519B">
      <w:pPr>
        <w:keepNext/>
        <w:keepLines/>
        <w:widowControl/>
        <w:shd w:val="clear" w:color="auto" w:fill="FFFFFF"/>
        <w:spacing w:before="360"/>
        <w:jc w:val="center"/>
        <w:rPr>
          <w:b/>
          <w:bCs/>
          <w:color w:val="000000"/>
        </w:rPr>
      </w:pPr>
      <w:r>
        <w:rPr>
          <w:b/>
          <w:color w:val="000000"/>
        </w:rPr>
        <w:t>§ 19</w:t>
      </w:r>
    </w:p>
    <w:p w:rsidR="00E16F77" w:rsidRPr="008015BE" w:rsidRDefault="00E16F77" w:rsidP="00BB519B">
      <w:pPr>
        <w:keepNext/>
        <w:keepLines/>
        <w:widowControl/>
        <w:shd w:val="clear" w:color="auto" w:fill="FFFFFF"/>
        <w:jc w:val="center"/>
        <w:rPr>
          <w:b/>
          <w:bCs/>
          <w:color w:val="000000"/>
        </w:rPr>
      </w:pPr>
      <w:r>
        <w:rPr>
          <w:b/>
          <w:color w:val="000000"/>
        </w:rPr>
        <w:t>Autorisationsbestemmelser</w:t>
      </w:r>
    </w:p>
    <w:p w:rsidR="00E16F77" w:rsidRPr="00D06F2A" w:rsidRDefault="00E16F77" w:rsidP="00D65D8D">
      <w:pPr>
        <w:keepNext/>
        <w:keepLines/>
        <w:widowControl/>
        <w:shd w:val="clear" w:color="auto" w:fill="FFFFFF"/>
        <w:spacing w:before="120"/>
        <w:rPr>
          <w:color w:val="000000"/>
        </w:rPr>
      </w:pPr>
      <w:r>
        <w:rPr>
          <w:color w:val="000000"/>
        </w:rPr>
        <w:t>Kontoret skal udstede en generel lov, i hvilken den skal fastlægge</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brugergebyret for tilvejebringelse af slovakiske tekniske standarder, information om standarder, andre tekniske standarder og ændringer heraf og den Officielle Tidende samt for tilladelse til citering af passager fra slovakiske tekniske standarder eller information om tekniske standarder</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brugergebyret for aktiviteter i forbindelse med tilvejebringelse af slovakiske tekniske standarder, information om tekniske standarder og andre tekniske standarder og ændringer heraf</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mindstegebyret for tilvejebringelse af STN-onlineserviceydelser via portalen og brugergebyret for tilvejebringelse af STN-onlineserviceydelser via portalen</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måden hvorpå slovakiske tekniske standarder, information om tekniske standarder og andre tekniske standarder og ændringer heraf skal tilvejebringes</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detaljer vedrørende tilladelsen til at citere passager fra slovakiske tekniske standarder eller information om tekniske standarder, ansøgningsskemaet om tilladelse til at citere passager fra slovakiske tekniske standarder eller information om standarder og formularen for tilladelse til at citere passager fra slovakiske tekniske standarder eller information om tekniske standarder</w:t>
      </w:r>
    </w:p>
    <w:p w:rsidR="00E16F77" w:rsidRPr="00D06F2A" w:rsidRDefault="00E16F77" w:rsidP="003E6A72">
      <w:pPr>
        <w:widowControl/>
        <w:numPr>
          <w:ilvl w:val="0"/>
          <w:numId w:val="14"/>
        </w:numPr>
        <w:shd w:val="clear" w:color="auto" w:fill="FFFFFF"/>
        <w:tabs>
          <w:tab w:val="left" w:pos="567"/>
        </w:tabs>
        <w:spacing w:before="120"/>
        <w:ind w:left="567" w:hanging="283"/>
        <w:rPr>
          <w:color w:val="000000"/>
        </w:rPr>
      </w:pPr>
      <w:r>
        <w:rPr>
          <w:color w:val="000000"/>
        </w:rPr>
        <w:t>rabatter på de omtalte gebyrer i litra a) og b).</w:t>
      </w:r>
    </w:p>
    <w:p w:rsidR="00BB519B" w:rsidRPr="00D06F2A" w:rsidRDefault="00E16F77" w:rsidP="00BB519B">
      <w:pPr>
        <w:keepNext/>
        <w:keepLines/>
        <w:widowControl/>
        <w:shd w:val="clear" w:color="auto" w:fill="FFFFFF"/>
        <w:spacing w:before="360"/>
        <w:jc w:val="center"/>
        <w:rPr>
          <w:b/>
          <w:bCs/>
          <w:color w:val="000000"/>
        </w:rPr>
      </w:pPr>
      <w:r>
        <w:rPr>
          <w:b/>
          <w:color w:val="000000"/>
        </w:rPr>
        <w:t>§ 20</w:t>
      </w:r>
    </w:p>
    <w:p w:rsidR="00E16F77" w:rsidRPr="008015BE" w:rsidRDefault="00E16F77" w:rsidP="00BB519B">
      <w:pPr>
        <w:keepNext/>
        <w:keepLines/>
        <w:widowControl/>
        <w:shd w:val="clear" w:color="auto" w:fill="FFFFFF"/>
        <w:jc w:val="center"/>
        <w:rPr>
          <w:b/>
          <w:bCs/>
          <w:color w:val="000000"/>
        </w:rPr>
      </w:pPr>
      <w:r>
        <w:rPr>
          <w:b/>
          <w:color w:val="000000"/>
        </w:rPr>
        <w:t>Overgangsbestemmelser</w:t>
      </w:r>
    </w:p>
    <w:p w:rsidR="00E16F77" w:rsidRPr="00D06F2A"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Pr>
          <w:color w:val="000000"/>
        </w:rPr>
        <w:t>Procedurer, der indledes før 1. april 2018, skal afsluttes i henhold til gældende lovgivning indtil 31. marts 2018.</w:t>
      </w:r>
    </w:p>
    <w:p w:rsidR="00E16F77" w:rsidRPr="00D06F2A"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Pr>
          <w:color w:val="000000"/>
        </w:rPr>
        <w:t>Kontoret skal senest 31. marts 2019 have tilpasset retsforholdene i forbindelse med slovakiske tekniske standarder og andre tekniske standarder, der er tilvejebragt før 1. april 2018, til den lovgivning, der træder i kraft 1. april 2018.</w:t>
      </w:r>
    </w:p>
    <w:p w:rsidR="00E16F77" w:rsidRPr="00D06F2A"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Pr>
          <w:color w:val="000000"/>
        </w:rPr>
        <w:t>Slovakiske tekniske standarder, slovakiske tekniske præstandarder og information om tekniske standarder, der er godkendt som en del af det slovakiske tekniske standardiseringssystem før 1. april 2018, anses for slovakiske tekniske standarder, slovakiske tekniske præstandarder og information om tekniske standarder i henhold til denne lov.</w:t>
      </w:r>
    </w:p>
    <w:p w:rsidR="00E16F77" w:rsidRPr="00D06F2A"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Pr>
          <w:color w:val="000000"/>
        </w:rPr>
        <w:t>Eksisterende tekniske udvalg anses for tekniske udvalg i henhold til denne lov.</w:t>
      </w:r>
    </w:p>
    <w:p w:rsidR="00E16F77" w:rsidRPr="00D06F2A"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Pr>
          <w:color w:val="000000"/>
        </w:rPr>
        <w:lastRenderedPageBreak/>
        <w:t>Gennemførselslovgivning, der er udstedt på grundlag af godkendte bestemmelser i henhold til den eksisterende lov, anses for gennemførselslovgivning i henhold til denne lov indtil udstedelsen af den omtalte gennemførselslovgivning i § 19, dog ikke senere end 1. april 2019.</w:t>
      </w:r>
    </w:p>
    <w:p w:rsidR="00BB519B" w:rsidRPr="00D06F2A" w:rsidRDefault="00E16F77" w:rsidP="00BB519B">
      <w:pPr>
        <w:keepNext/>
        <w:keepLines/>
        <w:widowControl/>
        <w:shd w:val="clear" w:color="auto" w:fill="FFFFFF"/>
        <w:spacing w:before="360"/>
        <w:jc w:val="center"/>
        <w:rPr>
          <w:b/>
          <w:bCs/>
          <w:color w:val="000000"/>
        </w:rPr>
      </w:pPr>
      <w:r>
        <w:rPr>
          <w:b/>
          <w:color w:val="000000"/>
        </w:rPr>
        <w:t>§ 21</w:t>
      </w:r>
    </w:p>
    <w:p w:rsidR="00E16F77" w:rsidRPr="008015BE" w:rsidRDefault="00E16F77" w:rsidP="00BB519B">
      <w:pPr>
        <w:keepNext/>
        <w:keepLines/>
        <w:widowControl/>
        <w:shd w:val="clear" w:color="auto" w:fill="FFFFFF"/>
        <w:jc w:val="center"/>
        <w:rPr>
          <w:b/>
          <w:bCs/>
          <w:color w:val="000000"/>
        </w:rPr>
      </w:pPr>
      <w:r>
        <w:rPr>
          <w:b/>
          <w:color w:val="000000"/>
        </w:rPr>
        <w:t>Ikrafttrædelse</w:t>
      </w:r>
    </w:p>
    <w:p w:rsidR="00E16F77" w:rsidRPr="00D06F2A" w:rsidRDefault="00E16F77" w:rsidP="00B3535A">
      <w:pPr>
        <w:widowControl/>
        <w:shd w:val="clear" w:color="auto" w:fill="FFFFFF"/>
        <w:spacing w:before="120"/>
        <w:jc w:val="both"/>
        <w:rPr>
          <w:color w:val="000000"/>
        </w:rPr>
      </w:pPr>
      <w:r>
        <w:rPr>
          <w:color w:val="000000"/>
        </w:rPr>
        <w:t>Denne lov træder i kraft 1. april 2018 bortset fra sætningen efter semikolonet i § 14, stk. 4, litra a), som træder i kraft 1. april 2020.</w:t>
      </w:r>
    </w:p>
    <w:p w:rsidR="00E16F77" w:rsidRPr="007D1E66" w:rsidRDefault="00E16F77" w:rsidP="00B3535A">
      <w:pPr>
        <w:widowControl/>
        <w:shd w:val="clear" w:color="auto" w:fill="FFFFFF"/>
        <w:spacing w:before="360"/>
        <w:jc w:val="center"/>
        <w:rPr>
          <w:color w:val="000000"/>
        </w:rPr>
      </w:pPr>
      <w:r>
        <w:rPr>
          <w:b/>
          <w:color w:val="000000"/>
        </w:rPr>
        <w:t>Andrej Kiska, m.p.</w:t>
      </w:r>
    </w:p>
    <w:p w:rsidR="00E16F77" w:rsidRPr="007D1E66" w:rsidRDefault="00E16F77" w:rsidP="00B3535A">
      <w:pPr>
        <w:widowControl/>
        <w:shd w:val="clear" w:color="auto" w:fill="FFFFFF"/>
        <w:spacing w:before="360"/>
        <w:jc w:val="center"/>
        <w:rPr>
          <w:b/>
          <w:bCs/>
          <w:color w:val="000000"/>
        </w:rPr>
      </w:pPr>
      <w:r>
        <w:rPr>
          <w:b/>
          <w:color w:val="000000"/>
        </w:rPr>
        <w:t>Andrej Danko, m.p.</w:t>
      </w:r>
    </w:p>
    <w:p w:rsidR="00E16F77" w:rsidRPr="00D06F2A" w:rsidRDefault="00E16F77" w:rsidP="00B3535A">
      <w:pPr>
        <w:widowControl/>
        <w:shd w:val="clear" w:color="auto" w:fill="FFFFFF"/>
        <w:spacing w:before="360"/>
        <w:jc w:val="center"/>
        <w:rPr>
          <w:b/>
          <w:bCs/>
          <w:color w:val="000000"/>
        </w:rPr>
      </w:pPr>
      <w:r>
        <w:rPr>
          <w:b/>
          <w:color w:val="000000"/>
        </w:rPr>
        <w:t>Robert Fico, m.p.</w:t>
      </w:r>
    </w:p>
    <w:p w:rsidR="00F6126B" w:rsidRPr="00D06F2A" w:rsidRDefault="00F6126B" w:rsidP="00BB519B">
      <w:pPr>
        <w:pageBreakBefore/>
        <w:widowControl/>
        <w:autoSpaceDE/>
        <w:autoSpaceDN/>
        <w:adjustRightInd/>
        <w:spacing w:before="120"/>
        <w:jc w:val="both"/>
        <w:rPr>
          <w:color w:val="000000"/>
        </w:rPr>
      </w:pPr>
      <w:r>
        <w:rPr>
          <w:color w:val="000000"/>
        </w:rPr>
        <w:lastRenderedPageBreak/>
        <w:t>1) Artikel 2, stk. 1, litra a) og d), i Europa-Parlamentets og Rådets forordning (EU) nr. 1025/2012 af 25. oktober 2012 om europæisk standardisering, om ændring af Rådets direktiv 89/686/EØF og 93/15/EØF og Europa- Parlamentets og Rådets direktiv 94/9/EF, 94/25/EF, 95/16/EF, 97/23/EF, 98/34/EF, 2004/22/EF, 2007/23/EF, 2009/23/EF og 2009/105/EF og om ophævelse af Rådets beslutning 87/95/EØF og Europa-Parlamentets og Rådets afgørelse nr. 1673/2006/EF (EUT L 316 af 14.11.2012), som ændret.</w:t>
      </w:r>
    </w:p>
    <w:p w:rsidR="00F6126B" w:rsidRPr="00D06F2A" w:rsidRDefault="00F6126B" w:rsidP="00B3535A">
      <w:pPr>
        <w:widowControl/>
        <w:autoSpaceDE/>
        <w:autoSpaceDN/>
        <w:adjustRightInd/>
        <w:spacing w:before="120"/>
        <w:jc w:val="both"/>
        <w:rPr>
          <w:color w:val="000000"/>
        </w:rPr>
      </w:pPr>
      <w:r>
        <w:rPr>
          <w:color w:val="000000"/>
        </w:rPr>
        <w:t>2) Artikel 2, stk. 1, i forordning (EU) nr. 1025/2012, som ændret.</w:t>
      </w:r>
    </w:p>
    <w:p w:rsidR="00F6126B" w:rsidRPr="00D06F2A" w:rsidRDefault="00F6126B" w:rsidP="00B3535A">
      <w:pPr>
        <w:widowControl/>
        <w:autoSpaceDE/>
        <w:autoSpaceDN/>
        <w:adjustRightInd/>
        <w:spacing w:before="120"/>
        <w:jc w:val="both"/>
        <w:rPr>
          <w:color w:val="000000"/>
        </w:rPr>
      </w:pPr>
      <w:r>
        <w:rPr>
          <w:color w:val="000000"/>
        </w:rPr>
        <w:t>3) § 2, litra i), i lov nr. 55/2018 om tilvejebringelse af information om tekniske forskrifter og forhindringer for varernes frie bevægelighed.</w:t>
      </w:r>
    </w:p>
    <w:p w:rsidR="00F6126B" w:rsidRPr="00D06F2A" w:rsidRDefault="00F6126B" w:rsidP="00B3535A">
      <w:pPr>
        <w:widowControl/>
        <w:autoSpaceDE/>
        <w:autoSpaceDN/>
        <w:adjustRightInd/>
        <w:spacing w:before="120"/>
        <w:jc w:val="both"/>
        <w:rPr>
          <w:color w:val="000000"/>
        </w:rPr>
      </w:pPr>
      <w:r>
        <w:rPr>
          <w:color w:val="000000"/>
        </w:rPr>
        <w:t>4) Artikel 2, stk. 1, litra b), i forordning (EU) nr. 1025/2012, som ændret.</w:t>
      </w:r>
    </w:p>
    <w:p w:rsidR="00F6126B" w:rsidRPr="00D06F2A" w:rsidRDefault="00F6126B" w:rsidP="00B3535A">
      <w:pPr>
        <w:widowControl/>
        <w:autoSpaceDE/>
        <w:autoSpaceDN/>
        <w:adjustRightInd/>
        <w:spacing w:before="120"/>
        <w:jc w:val="both"/>
        <w:rPr>
          <w:color w:val="000000"/>
        </w:rPr>
      </w:pPr>
      <w:r>
        <w:rPr>
          <w:color w:val="000000"/>
        </w:rPr>
        <w:t>5) Artikel 2, stk. 1, litra a), i forordning (EU) nr. 1025/2012, som ændret.</w:t>
      </w:r>
    </w:p>
    <w:p w:rsidR="00F6126B" w:rsidRPr="00D06F2A" w:rsidRDefault="00F6126B" w:rsidP="00B3535A">
      <w:pPr>
        <w:widowControl/>
        <w:autoSpaceDE/>
        <w:autoSpaceDN/>
        <w:adjustRightInd/>
        <w:spacing w:before="120"/>
        <w:jc w:val="both"/>
        <w:rPr>
          <w:color w:val="000000"/>
        </w:rPr>
      </w:pPr>
      <w:r>
        <w:rPr>
          <w:color w:val="000000"/>
        </w:rPr>
        <w:t>6) Bilag 1 til forordning (EU) nr. 1025/2012, som ændret.</w:t>
      </w:r>
    </w:p>
    <w:p w:rsidR="00F6126B" w:rsidRPr="00D06F2A" w:rsidRDefault="00F6126B" w:rsidP="00B3535A">
      <w:pPr>
        <w:widowControl/>
        <w:autoSpaceDE/>
        <w:autoSpaceDN/>
        <w:adjustRightInd/>
        <w:spacing w:before="120"/>
        <w:jc w:val="both"/>
        <w:rPr>
          <w:color w:val="000000"/>
        </w:rPr>
      </w:pPr>
      <w:r>
        <w:rPr>
          <w:color w:val="000000"/>
        </w:rPr>
        <w:t>7) Artikel 2, stk. 9, i forordning (EU) nr. 1025/2012, som ændret.</w:t>
      </w:r>
    </w:p>
    <w:p w:rsidR="00F6126B" w:rsidRPr="00D06F2A" w:rsidRDefault="00F6126B" w:rsidP="00B3535A">
      <w:pPr>
        <w:widowControl/>
        <w:autoSpaceDE/>
        <w:autoSpaceDN/>
        <w:adjustRightInd/>
        <w:spacing w:before="120"/>
        <w:jc w:val="both"/>
        <w:rPr>
          <w:color w:val="000000"/>
        </w:rPr>
      </w:pPr>
      <w:r>
        <w:rPr>
          <w:color w:val="000000"/>
        </w:rPr>
        <w:t>8) Lov nr. 211/2000 om fri adgang til information og om ændringer af bestemte love (lov om informationsfrihed), som ændret.</w:t>
      </w:r>
    </w:p>
    <w:p w:rsidR="00F6126B" w:rsidRPr="00D06F2A" w:rsidRDefault="00F6126B" w:rsidP="00B3535A">
      <w:pPr>
        <w:widowControl/>
        <w:autoSpaceDE/>
        <w:autoSpaceDN/>
        <w:adjustRightInd/>
        <w:spacing w:before="120"/>
        <w:jc w:val="both"/>
        <w:rPr>
          <w:color w:val="000000"/>
        </w:rPr>
      </w:pPr>
      <w:r>
        <w:rPr>
          <w:color w:val="000000"/>
        </w:rPr>
        <w:t>9) § 4, stk. 1, litra c), andet punkt i lov nr. 55/2018.</w:t>
      </w:r>
    </w:p>
    <w:p w:rsidR="00F6126B" w:rsidRPr="00D06F2A" w:rsidRDefault="00F6126B" w:rsidP="00B3535A">
      <w:pPr>
        <w:widowControl/>
        <w:autoSpaceDE/>
        <w:autoSpaceDN/>
        <w:adjustRightInd/>
        <w:spacing w:before="120"/>
        <w:jc w:val="both"/>
        <w:rPr>
          <w:color w:val="000000"/>
        </w:rPr>
      </w:pPr>
      <w:r>
        <w:rPr>
          <w:color w:val="000000"/>
        </w:rPr>
        <w:t>10) Artikel 27 i forordning (EU) nr. 1025/2012, som ændret.</w:t>
      </w:r>
    </w:p>
    <w:p w:rsidR="00F6126B" w:rsidRPr="00D06F2A" w:rsidRDefault="00F6126B" w:rsidP="00B3535A">
      <w:pPr>
        <w:widowControl/>
        <w:autoSpaceDE/>
        <w:autoSpaceDN/>
        <w:adjustRightInd/>
        <w:spacing w:before="120"/>
        <w:jc w:val="both"/>
        <w:rPr>
          <w:color w:val="000000"/>
        </w:rPr>
      </w:pPr>
      <w:r>
        <w:rPr>
          <w:color w:val="000000"/>
        </w:rPr>
        <w:t>11) Artikel 2, stk. 10, i forordning (EU) nr. 1025/2012, som ændret.</w:t>
      </w:r>
    </w:p>
    <w:p w:rsidR="00F6126B" w:rsidRPr="00D06F2A" w:rsidRDefault="00F6126B" w:rsidP="00B3535A">
      <w:pPr>
        <w:widowControl/>
        <w:autoSpaceDE/>
        <w:autoSpaceDN/>
        <w:adjustRightInd/>
        <w:spacing w:before="120"/>
        <w:jc w:val="both"/>
        <w:rPr>
          <w:color w:val="000000"/>
        </w:rPr>
      </w:pPr>
      <w:r>
        <w:rPr>
          <w:color w:val="000000"/>
        </w:rPr>
        <w:t>12) Artikel 2, stk. 2, i forordning (EU) nr. 1025/2012, som ændret.</w:t>
      </w:r>
    </w:p>
    <w:p w:rsidR="00F6126B" w:rsidRPr="00D06F2A" w:rsidRDefault="00F6126B" w:rsidP="00B3535A">
      <w:pPr>
        <w:widowControl/>
        <w:autoSpaceDE/>
        <w:autoSpaceDN/>
        <w:adjustRightInd/>
        <w:spacing w:before="120"/>
        <w:jc w:val="both"/>
        <w:rPr>
          <w:color w:val="000000"/>
        </w:rPr>
      </w:pPr>
      <w:r>
        <w:rPr>
          <w:color w:val="000000"/>
        </w:rPr>
        <w:t>13) Artikel 5 i forordning (EU) nr. 1025/2012, som ændret.</w:t>
      </w:r>
    </w:p>
    <w:p w:rsidR="00F6126B" w:rsidRPr="00D06F2A" w:rsidRDefault="00F6126B" w:rsidP="00B3535A">
      <w:pPr>
        <w:widowControl/>
        <w:autoSpaceDE/>
        <w:autoSpaceDN/>
        <w:adjustRightInd/>
        <w:spacing w:before="120"/>
        <w:jc w:val="both"/>
        <w:rPr>
          <w:color w:val="000000"/>
        </w:rPr>
      </w:pPr>
      <w:r>
        <w:rPr>
          <w:color w:val="000000"/>
        </w:rPr>
        <w:t>14) Artikel 2, stk. 2, i bilag I til forordning (EU) nr. 651/2014 af 17. juni 2014 om visse kategorier af støttes forenelighed med det indre marked i henhold til traktatens artikel 107 og 108.</w:t>
      </w:r>
    </w:p>
    <w:p w:rsidR="00F6126B" w:rsidRPr="00D06F2A" w:rsidRDefault="00F6126B" w:rsidP="00B3535A">
      <w:pPr>
        <w:widowControl/>
        <w:autoSpaceDE/>
        <w:autoSpaceDN/>
        <w:adjustRightInd/>
        <w:spacing w:before="120"/>
        <w:jc w:val="both"/>
        <w:rPr>
          <w:color w:val="000000"/>
        </w:rPr>
      </w:pPr>
      <w:r>
        <w:rPr>
          <w:color w:val="000000"/>
        </w:rPr>
        <w:t>15) Artikel 2 i bilag I til forordning (EU) nr. 651/2014.</w:t>
      </w:r>
    </w:p>
    <w:p w:rsidR="00F6126B" w:rsidRPr="00D06F2A" w:rsidRDefault="00F6126B" w:rsidP="00B3535A">
      <w:pPr>
        <w:widowControl/>
        <w:autoSpaceDE/>
        <w:autoSpaceDN/>
        <w:adjustRightInd/>
        <w:spacing w:before="120"/>
        <w:jc w:val="both"/>
        <w:rPr>
          <w:color w:val="000000"/>
        </w:rPr>
      </w:pPr>
      <w:r>
        <w:rPr>
          <w:color w:val="000000"/>
        </w:rPr>
        <w:t>16) Lov nr. 343/2015 om offentligt udbud og om ændringer af visse love, som ændret.</w:t>
      </w:r>
    </w:p>
    <w:p w:rsidR="00F6126B" w:rsidRPr="00D06F2A" w:rsidRDefault="00F6126B" w:rsidP="00B3535A">
      <w:pPr>
        <w:widowControl/>
        <w:autoSpaceDE/>
        <w:autoSpaceDN/>
        <w:adjustRightInd/>
        <w:spacing w:before="120"/>
        <w:jc w:val="both"/>
        <w:rPr>
          <w:color w:val="000000"/>
        </w:rPr>
      </w:pPr>
      <w:r>
        <w:rPr>
          <w:color w:val="000000"/>
        </w:rPr>
        <w:t>17) Artikel 2, stk. 1, litrac), i forordning (EU) nr. 1025/2012, som ændret.</w:t>
      </w:r>
    </w:p>
    <w:p w:rsidR="00F6126B" w:rsidRPr="00D06F2A" w:rsidRDefault="00F6126B" w:rsidP="00B3535A">
      <w:pPr>
        <w:widowControl/>
        <w:autoSpaceDE/>
        <w:autoSpaceDN/>
        <w:adjustRightInd/>
        <w:spacing w:before="120"/>
        <w:jc w:val="both"/>
        <w:rPr>
          <w:color w:val="000000"/>
        </w:rPr>
      </w:pPr>
      <w:r>
        <w:rPr>
          <w:color w:val="000000"/>
        </w:rPr>
        <w:t>18) Artikel 11 i forordning (EU) nr. 1025/2012, som ændret.</w:t>
      </w:r>
    </w:p>
    <w:p w:rsidR="00F6126B" w:rsidRPr="00D06F2A" w:rsidRDefault="00F6126B" w:rsidP="00B3535A">
      <w:pPr>
        <w:widowControl/>
        <w:autoSpaceDE/>
        <w:autoSpaceDN/>
        <w:adjustRightInd/>
        <w:spacing w:before="120"/>
        <w:jc w:val="both"/>
        <w:rPr>
          <w:color w:val="000000"/>
        </w:rPr>
      </w:pPr>
      <w:r>
        <w:rPr>
          <w:color w:val="000000"/>
        </w:rPr>
        <w:t>19) Lov nr. 245/2008 om uddannelse og undervisning (skoleloven) og ændringer af visse love, som ændret.</w:t>
      </w:r>
    </w:p>
    <w:p w:rsidR="00F6126B" w:rsidRPr="00D06F2A" w:rsidRDefault="00F6126B" w:rsidP="00B3535A">
      <w:pPr>
        <w:widowControl/>
        <w:autoSpaceDE/>
        <w:autoSpaceDN/>
        <w:adjustRightInd/>
        <w:spacing w:before="120"/>
        <w:jc w:val="both"/>
        <w:rPr>
          <w:color w:val="000000"/>
        </w:rPr>
      </w:pPr>
      <w:r>
        <w:rPr>
          <w:color w:val="000000"/>
        </w:rPr>
        <w:t>20) Lov nr. 317/2009 om lærere og specialundervisere og ændringer af visse love, som ændret.</w:t>
      </w:r>
    </w:p>
    <w:p w:rsidR="00F6126B" w:rsidRPr="00D06F2A" w:rsidRDefault="00F6126B" w:rsidP="00B3535A">
      <w:pPr>
        <w:widowControl/>
        <w:autoSpaceDE/>
        <w:autoSpaceDN/>
        <w:adjustRightInd/>
        <w:spacing w:before="120"/>
        <w:jc w:val="both"/>
        <w:rPr>
          <w:color w:val="000000"/>
        </w:rPr>
      </w:pPr>
      <w:r>
        <w:rPr>
          <w:color w:val="000000"/>
        </w:rPr>
        <w:t>21) § 73, § 76 og § 79 i lov nr. 245/2008, som ændret.</w:t>
      </w:r>
    </w:p>
    <w:p w:rsidR="00F6126B" w:rsidRPr="00D06F2A" w:rsidRDefault="00F6126B" w:rsidP="00B3535A">
      <w:pPr>
        <w:widowControl/>
        <w:autoSpaceDE/>
        <w:autoSpaceDN/>
        <w:adjustRightInd/>
        <w:spacing w:before="120"/>
        <w:jc w:val="both"/>
        <w:rPr>
          <w:color w:val="000000"/>
        </w:rPr>
      </w:pPr>
      <w:r>
        <w:rPr>
          <w:color w:val="000000"/>
        </w:rPr>
        <w:t>22) § 51 i lov nr. 131/2002 om videregående uddannelse og om ændringer af bestemte love, som ændret.</w:t>
      </w:r>
    </w:p>
    <w:p w:rsidR="00F6126B" w:rsidRPr="00D06F2A" w:rsidRDefault="00F6126B" w:rsidP="00B3535A">
      <w:pPr>
        <w:widowControl/>
        <w:autoSpaceDE/>
        <w:autoSpaceDN/>
        <w:adjustRightInd/>
        <w:spacing w:before="120"/>
        <w:jc w:val="both"/>
        <w:rPr>
          <w:color w:val="000000"/>
        </w:rPr>
      </w:pPr>
      <w:r>
        <w:rPr>
          <w:color w:val="000000"/>
        </w:rPr>
        <w:t>23) § 49, stk. 6, i lov nr. 317/2009, som ændret ved lov nr. 390/2011.</w:t>
      </w:r>
    </w:p>
    <w:p w:rsidR="00F6126B" w:rsidRPr="00D06F2A" w:rsidRDefault="00F6126B" w:rsidP="00B3535A">
      <w:pPr>
        <w:widowControl/>
        <w:autoSpaceDE/>
        <w:autoSpaceDN/>
        <w:adjustRightInd/>
        <w:spacing w:before="120"/>
        <w:jc w:val="both"/>
        <w:rPr>
          <w:color w:val="000000"/>
        </w:rPr>
      </w:pPr>
      <w:r>
        <w:rPr>
          <w:color w:val="000000"/>
        </w:rPr>
        <w:t>24) Lov nr. 372/1990 om lovovertrædelser fra det slovakiske nationalråd, som ændret.</w:t>
      </w:r>
    </w:p>
    <w:p w:rsidR="00E16F77" w:rsidRPr="00D06F2A" w:rsidRDefault="00E16F77" w:rsidP="00BB519B">
      <w:pPr>
        <w:pageBreakBefore/>
        <w:widowControl/>
        <w:autoSpaceDE/>
        <w:autoSpaceDN/>
        <w:adjustRightInd/>
        <w:spacing w:before="120"/>
        <w:jc w:val="right"/>
        <w:rPr>
          <w:b/>
          <w:bCs/>
          <w:color w:val="000000"/>
        </w:rPr>
      </w:pPr>
      <w:r>
        <w:rPr>
          <w:b/>
          <w:color w:val="000000"/>
        </w:rPr>
        <w:lastRenderedPageBreak/>
        <w:t>Bilag til lov nr. 60/2018</w:t>
      </w:r>
    </w:p>
    <w:p w:rsidR="00BB519B" w:rsidRPr="00D06F2A" w:rsidRDefault="00BB519B" w:rsidP="00BB519B">
      <w:pPr>
        <w:spacing w:before="120" w:after="120"/>
        <w:rPr>
          <w:sz w:val="24"/>
          <w:szCs w:val="24"/>
        </w:rPr>
      </w:pPr>
      <w:r>
        <w:rPr>
          <w:sz w:val="24"/>
        </w:rPr>
        <w:t>1. "STN"-symbol:</w:t>
      </w:r>
    </w:p>
    <w:p w:rsidR="00BB519B" w:rsidRPr="00D06F2A" w:rsidRDefault="002A520C" w:rsidP="00BB519B">
      <w:pPr>
        <w:rPr>
          <w:rFonts w:ascii="Calibri" w:hAnsi="Calibri" w:cs="Calibri"/>
          <w:sz w:val="22"/>
          <w:szCs w:val="22"/>
        </w:rPr>
      </w:pPr>
      <w:r>
        <w:rPr>
          <w:noProof/>
          <w:lang w:val="en-US" w:eastAsia="zh-CN" w:bidi="ar-SA"/>
        </w:rPr>
        <w:drawing>
          <wp:inline distT="0" distB="0" distL="0" distR="0">
            <wp:extent cx="2457450" cy="1085850"/>
            <wp:effectExtent l="0" t="0" r="0" b="0"/>
            <wp:docPr id="2" name="Obrázok 3"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7450" cy="1085850"/>
                    </a:xfrm>
                    <a:prstGeom prst="rect">
                      <a:avLst/>
                    </a:prstGeom>
                    <a:noFill/>
                    <a:ln>
                      <a:noFill/>
                    </a:ln>
                  </pic:spPr>
                </pic:pic>
              </a:graphicData>
            </a:graphic>
          </wp:inline>
        </w:drawing>
      </w:r>
    </w:p>
    <w:p w:rsidR="00BB519B" w:rsidRPr="00D06F2A" w:rsidRDefault="00BB519B" w:rsidP="00BB519B">
      <w:pPr>
        <w:rPr>
          <w:rFonts w:ascii="Calibri" w:hAnsi="Calibri" w:cs="Calibri"/>
          <w:sz w:val="22"/>
          <w:szCs w:val="22"/>
        </w:rPr>
      </w:pPr>
    </w:p>
    <w:p w:rsidR="00BB519B" w:rsidRPr="00D06F2A" w:rsidRDefault="00BB519B" w:rsidP="00BB519B">
      <w:pPr>
        <w:rPr>
          <w:sz w:val="24"/>
          <w:szCs w:val="24"/>
        </w:rPr>
      </w:pPr>
      <w:r>
        <w:rPr>
          <w:sz w:val="24"/>
        </w:rPr>
        <w:t>2. "STN P"-symbol:</w:t>
      </w:r>
    </w:p>
    <w:p w:rsidR="00BB519B" w:rsidRPr="00D06F2A" w:rsidRDefault="002A520C" w:rsidP="00BB519B">
      <w:pPr>
        <w:rPr>
          <w:rFonts w:ascii="Calibri" w:hAnsi="Calibri" w:cs="Calibri"/>
          <w:sz w:val="22"/>
          <w:szCs w:val="22"/>
        </w:rPr>
      </w:pPr>
      <w:r>
        <w:rPr>
          <w:noProof/>
          <w:lang w:val="en-US" w:eastAsia="zh-CN" w:bidi="ar-SA"/>
        </w:rPr>
        <w:drawing>
          <wp:inline distT="0" distB="0" distL="0" distR="0">
            <wp:extent cx="3333750" cy="2152650"/>
            <wp:effectExtent l="0" t="0" r="0" b="0"/>
            <wp:docPr id="3" name="Obrázok 2"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0" cy="2152650"/>
                    </a:xfrm>
                    <a:prstGeom prst="rect">
                      <a:avLst/>
                    </a:prstGeom>
                    <a:noFill/>
                    <a:ln>
                      <a:noFill/>
                    </a:ln>
                  </pic:spPr>
                </pic:pic>
              </a:graphicData>
            </a:graphic>
          </wp:inline>
        </w:drawing>
      </w:r>
    </w:p>
    <w:p w:rsidR="00BB519B" w:rsidRPr="00D06F2A" w:rsidRDefault="00BB519B" w:rsidP="00BB519B">
      <w:pPr>
        <w:rPr>
          <w:rFonts w:ascii="Calibri" w:hAnsi="Calibri" w:cs="Calibri"/>
          <w:sz w:val="22"/>
          <w:szCs w:val="22"/>
        </w:rPr>
      </w:pPr>
    </w:p>
    <w:p w:rsidR="00BB519B" w:rsidRPr="00D06F2A" w:rsidRDefault="00BB519B" w:rsidP="00BB519B">
      <w:pPr>
        <w:rPr>
          <w:sz w:val="24"/>
          <w:szCs w:val="24"/>
        </w:rPr>
      </w:pPr>
      <w:r>
        <w:rPr>
          <w:sz w:val="24"/>
        </w:rPr>
        <w:t>3. "TNI"-symbol:</w:t>
      </w:r>
    </w:p>
    <w:p w:rsidR="00BB519B" w:rsidRPr="00D06F2A" w:rsidRDefault="002A520C" w:rsidP="00BB519B">
      <w:pPr>
        <w:rPr>
          <w:rFonts w:ascii="Calibri" w:hAnsi="Calibri" w:cs="Calibri"/>
          <w:sz w:val="22"/>
          <w:szCs w:val="22"/>
        </w:rPr>
      </w:pPr>
      <w:r>
        <w:rPr>
          <w:noProof/>
          <w:lang w:val="en-US" w:eastAsia="zh-CN" w:bidi="ar-SA"/>
        </w:rPr>
        <w:drawing>
          <wp:inline distT="0" distB="0" distL="0" distR="0">
            <wp:extent cx="2457450" cy="1085850"/>
            <wp:effectExtent l="0" t="0" r="0" b="0"/>
            <wp:docPr id="4" name="Obrázok 1"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1085850"/>
                    </a:xfrm>
                    <a:prstGeom prst="rect">
                      <a:avLst/>
                    </a:prstGeom>
                    <a:noFill/>
                    <a:ln>
                      <a:noFill/>
                    </a:ln>
                  </pic:spPr>
                </pic:pic>
              </a:graphicData>
            </a:graphic>
          </wp:inline>
        </w:drawing>
      </w:r>
    </w:p>
    <w:p w:rsidR="00E16F77" w:rsidRPr="00D06F2A" w:rsidRDefault="00E16F77" w:rsidP="00B3535A">
      <w:pPr>
        <w:widowControl/>
        <w:spacing w:before="120"/>
        <w:rPr>
          <w:color w:val="000000"/>
          <w:sz w:val="2"/>
          <w:szCs w:val="2"/>
        </w:rPr>
      </w:pPr>
    </w:p>
    <w:p w:rsidR="00E16F77" w:rsidRPr="00D06F2A" w:rsidRDefault="00E16F77" w:rsidP="00B3535A">
      <w:pPr>
        <w:widowControl/>
        <w:spacing w:before="120"/>
        <w:rPr>
          <w:color w:val="000000"/>
          <w:sz w:val="2"/>
          <w:szCs w:val="2"/>
        </w:rPr>
      </w:pPr>
    </w:p>
    <w:p w:rsidR="00E16F77" w:rsidRPr="00D06F2A" w:rsidRDefault="00E16F77" w:rsidP="00B3535A">
      <w:pPr>
        <w:widowControl/>
        <w:spacing w:before="120"/>
        <w:rPr>
          <w:color w:val="000000"/>
          <w:sz w:val="2"/>
          <w:szCs w:val="2"/>
        </w:rPr>
      </w:pPr>
    </w:p>
    <w:p w:rsidR="00E16F77" w:rsidRPr="00D06F2A" w:rsidRDefault="00E16F77" w:rsidP="00B3535A">
      <w:pPr>
        <w:widowControl/>
        <w:spacing w:before="120"/>
        <w:rPr>
          <w:color w:val="000000"/>
          <w:sz w:val="2"/>
          <w:szCs w:val="2"/>
        </w:rPr>
      </w:pPr>
    </w:p>
    <w:p w:rsidR="00C45F85" w:rsidRPr="00D06F2A" w:rsidRDefault="00C45F85" w:rsidP="00B3535A">
      <w:pPr>
        <w:widowControl/>
        <w:autoSpaceDE/>
        <w:autoSpaceDN/>
        <w:adjustRightInd/>
        <w:spacing w:before="12000"/>
        <w:jc w:val="center"/>
        <w:rPr>
          <w:color w:val="000000"/>
          <w:sz w:val="2"/>
          <w:szCs w:val="2"/>
        </w:rPr>
      </w:pPr>
    </w:p>
    <w:p w:rsidR="00E16F77" w:rsidRPr="005F3632" w:rsidRDefault="002A520C" w:rsidP="00B3535A">
      <w:pPr>
        <w:widowControl/>
        <w:autoSpaceDE/>
        <w:autoSpaceDN/>
        <w:adjustRightInd/>
        <w:spacing w:before="13320"/>
        <w:jc w:val="center"/>
        <w:rPr>
          <w:color w:val="000000"/>
          <w:sz w:val="18"/>
        </w:rPr>
      </w:pPr>
      <w:r>
        <w:rPr>
          <w:noProof/>
          <w:color w:val="000000"/>
          <w:sz w:val="18"/>
          <w:lang w:val="en-US" w:eastAsia="zh-CN" w:bidi="ar-SA"/>
        </w:rPr>
        <mc:AlternateContent>
          <mc:Choice Requires="wps">
            <w:drawing>
              <wp:anchor distT="4294967295" distB="4294967295" distL="114300" distR="114300" simplePos="0" relativeHeight="251657728" behindDoc="0" locked="0" layoutInCell="1" allowOverlap="1">
                <wp:simplePos x="0" y="0"/>
                <wp:positionH relativeFrom="column">
                  <wp:posOffset>-193040</wp:posOffset>
                </wp:positionH>
                <wp:positionV relativeFrom="paragraph">
                  <wp:posOffset>8336279</wp:posOffset>
                </wp:positionV>
                <wp:extent cx="6167755" cy="0"/>
                <wp:effectExtent l="0" t="0" r="23495" b="19050"/>
                <wp:wrapNone/>
                <wp:docPr id="5"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77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0AACAE" id="Rovná spojnica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pt,656.4pt" to="470.45pt,6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" strokeweight="1pt">
                <o:lock v:ext="edit" shapetype="f"/>
              </v:line>
            </w:pict>
          </mc:Fallback>
        </mc:AlternateContent>
      </w:r>
      <w:r>
        <w:rPr>
          <w:color w:val="000000"/>
          <w:sz w:val="18"/>
        </w:rPr>
        <w:t>Den Slovakiske Republiks justitsministerium, Župné námestie 13, 813 11 Bratislava,</w:t>
      </w:r>
      <w:r>
        <w:rPr>
          <w:color w:val="000000"/>
          <w:sz w:val="18"/>
        </w:rPr>
        <w:br/>
        <w:t xml:space="preserve">telefon: +421 2 888 91 137, fax: +421 2 52442853, e-mail: </w:t>
      </w:r>
      <w:hyperlink r:id="rId12">
        <w:r>
          <w:rPr>
            <w:color w:val="000000"/>
            <w:sz w:val="18"/>
          </w:rPr>
          <w:t>helpdesk@slov-lex.sk</w:t>
        </w:r>
      </w:hyperlink>
      <w:r>
        <w:t xml:space="preserve"> er udgiver af Den Slovakiske Republiks lovsamling og indholdsadministrator og operatør af den juridiske og informationsportal</w:t>
      </w:r>
      <w:r>
        <w:br/>
        <w:t xml:space="preserve">Slov-Lex, der kan findes på </w:t>
      </w:r>
      <w:hyperlink r:id="rId13">
        <w:r>
          <w:rPr>
            <w:color w:val="000000"/>
            <w:sz w:val="18"/>
          </w:rPr>
          <w:t>www.slov-lex.sk</w:t>
        </w:r>
      </w:hyperlink>
      <w:r>
        <w:rPr>
          <w:color w:val="000000"/>
          <w:sz w:val="18"/>
        </w:rPr>
        <w:t>.</w:t>
      </w:r>
    </w:p>
    <w:sectPr w:rsidR="00E16F77" w:rsidRPr="005F3632" w:rsidSect="007C4BCF">
      <w:headerReference w:type="even" r:id="rId14"/>
      <w:headerReference w:type="default" r:id="rId15"/>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26A" w:rsidRDefault="00FC726A" w:rsidP="00411B8D">
      <w:r>
        <w:separator/>
      </w:r>
    </w:p>
  </w:endnote>
  <w:endnote w:type="continuationSeparator" w:id="0">
    <w:p w:rsidR="00FC726A" w:rsidRDefault="00FC726A" w:rsidP="0041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eXGyreBonumBold">
    <w:altName w:val="Times New Roman"/>
    <w:panose1 w:val="00000000000000000000"/>
    <w:charset w:val="EE"/>
    <w:family w:val="auto"/>
    <w:notTrueType/>
    <w:pitch w:val="default"/>
    <w:sig w:usb0="00000005" w:usb1="00000000" w:usb2="00000000" w:usb3="00000000" w:csb0="00000002"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26A" w:rsidRDefault="00FC726A" w:rsidP="00411B8D">
      <w:r>
        <w:separator/>
      </w:r>
    </w:p>
  </w:footnote>
  <w:footnote w:type="continuationSeparator" w:id="0">
    <w:p w:rsidR="00FC726A" w:rsidRDefault="00FC726A" w:rsidP="00411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80A" w:rsidRDefault="00D0380A" w:rsidP="00411B8D">
    <w:pPr>
      <w:pStyle w:val="Header"/>
      <w:pBdr>
        <w:bottom w:val="single" w:sz="4" w:space="1" w:color="auto"/>
      </w:pBdr>
    </w:pPr>
    <w:r>
      <w:t xml:space="preserve">Side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E75F5A">
      <w:rPr>
        <w:rStyle w:val="PageNumber"/>
        <w:rFonts w:cs="Arial"/>
        <w:noProof/>
      </w:rPr>
      <w:t>2</w:t>
    </w:r>
    <w:r>
      <w:rPr>
        <w:rStyle w:val="PageNumber"/>
        <w:rFonts w:cs="Arial"/>
      </w:rPr>
      <w:fldChar w:fldCharType="end"/>
    </w:r>
    <w:r>
      <w:tab/>
      <w:t>Den Slovakiske Republiks lovsamling</w:t>
    </w:r>
    <w:r>
      <w:tab/>
    </w:r>
    <w:r>
      <w:rPr>
        <w:rFonts w:ascii="TeXGyreBonumBold" w:hAnsi="TeXGyreBonumBold"/>
        <w:b/>
      </w:rPr>
      <w:t>60/2018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80A" w:rsidRPr="00C32D3E" w:rsidRDefault="00D0380A" w:rsidP="00C32D3E">
    <w:pPr>
      <w:pStyle w:val="Header"/>
      <w:pBdr>
        <w:bottom w:val="single" w:sz="4" w:space="1" w:color="auto"/>
      </w:pBdr>
    </w:pPr>
    <w:r>
      <w:rPr>
        <w:rFonts w:ascii="TeXGyreBonumBold" w:hAnsi="TeXGyreBonumBold"/>
        <w:b/>
      </w:rPr>
      <w:t>60/2018</w:t>
    </w:r>
    <w:r>
      <w:tab/>
      <w:t>Den Slovakiske Republiks lovsamling</w:t>
    </w:r>
    <w:r>
      <w:tab/>
      <w:t xml:space="preserve">Side </w:t>
    </w:r>
    <w:r w:rsidRPr="00C32D3E">
      <w:rPr>
        <w:rStyle w:val="PageNumber"/>
        <w:rFonts w:cs="Arial"/>
      </w:rPr>
      <w:fldChar w:fldCharType="begin"/>
    </w:r>
    <w:r w:rsidRPr="00C32D3E">
      <w:rPr>
        <w:rStyle w:val="PageNumber"/>
        <w:rFonts w:cs="Arial"/>
      </w:rPr>
      <w:instrText xml:space="preserve"> PAGE </w:instrText>
    </w:r>
    <w:r w:rsidRPr="00C32D3E">
      <w:rPr>
        <w:rStyle w:val="PageNumber"/>
        <w:rFonts w:cs="Arial"/>
      </w:rPr>
      <w:fldChar w:fldCharType="separate"/>
    </w:r>
    <w:r w:rsidR="00E75F5A">
      <w:rPr>
        <w:rStyle w:val="PageNumber"/>
        <w:rFonts w:cs="Arial"/>
        <w:noProof/>
      </w:rPr>
      <w:t>5</w:t>
    </w:r>
    <w:r w:rsidRPr="00C32D3E">
      <w:rPr>
        <w:rStyle w:val="PageNumber"/>
        <w:rFonts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6BB9"/>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BE6210B"/>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2" w15:restartNumberingAfterBreak="0">
    <w:nsid w:val="0CDE5E9A"/>
    <w:multiLevelType w:val="singleLevel"/>
    <w:tmpl w:val="D4901FF6"/>
    <w:lvl w:ilvl="0">
      <w:start w:val="1"/>
      <w:numFmt w:val="decimal"/>
      <w:lvlText w:val="%1."/>
      <w:legacy w:legacy="1" w:legacySpace="0" w:legacyIndent="283"/>
      <w:lvlJc w:val="left"/>
      <w:rPr>
        <w:rFonts w:ascii="Arial" w:hAnsi="Arial" w:cs="Arial" w:hint="default"/>
      </w:rPr>
    </w:lvl>
  </w:abstractNum>
  <w:abstractNum w:abstractNumId="3" w15:restartNumberingAfterBreak="0">
    <w:nsid w:val="0FFA2E26"/>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12E4951"/>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5" w15:restartNumberingAfterBreak="0">
    <w:nsid w:val="116F7CBD"/>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6" w15:restartNumberingAfterBreak="0">
    <w:nsid w:val="148C721B"/>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7" w15:restartNumberingAfterBreak="0">
    <w:nsid w:val="15047151"/>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8" w15:restartNumberingAfterBreak="0">
    <w:nsid w:val="16A14FF7"/>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9" w15:restartNumberingAfterBreak="0">
    <w:nsid w:val="17BB27B8"/>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0" w15:restartNumberingAfterBreak="0">
    <w:nsid w:val="18E95A63"/>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14E5AF6"/>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26F35F7"/>
    <w:multiLevelType w:val="hybridMultilevel"/>
    <w:tmpl w:val="0C2EC026"/>
    <w:lvl w:ilvl="0" w:tplc="36EEBB7C">
      <w:start w:val="1"/>
      <w:numFmt w:val="decimal"/>
      <w:lvlText w:val="(%1)"/>
      <w:lvlJc w:val="left"/>
      <w:pPr>
        <w:ind w:left="900" w:hanging="54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88D6A10"/>
    <w:multiLevelType w:val="hybridMultilevel"/>
    <w:tmpl w:val="CF046E76"/>
    <w:lvl w:ilvl="0" w:tplc="248444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FB43BCA"/>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5" w15:restartNumberingAfterBreak="0">
    <w:nsid w:val="2FC37AAD"/>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6" w15:restartNumberingAfterBreak="0">
    <w:nsid w:val="32A346BE"/>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3187040"/>
    <w:multiLevelType w:val="hybridMultilevel"/>
    <w:tmpl w:val="3A702C6C"/>
    <w:lvl w:ilvl="0" w:tplc="1384F046">
      <w:start w:val="1"/>
      <w:numFmt w:val="lowerLetter"/>
      <w:lvlText w:val="%1)"/>
      <w:lvlJc w:val="left"/>
      <w:rPr>
        <w:rFonts w:ascii="Arial" w:hAnsi="Arial" w:cs="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4C34936"/>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9" w15:restartNumberingAfterBreak="0">
    <w:nsid w:val="39DF67AB"/>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C2B1062"/>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1B9173E"/>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9B9770B"/>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23" w15:restartNumberingAfterBreak="0">
    <w:nsid w:val="4E654431"/>
    <w:multiLevelType w:val="hybridMultilevel"/>
    <w:tmpl w:val="6EBEF56C"/>
    <w:lvl w:ilvl="0" w:tplc="248444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57E07323"/>
    <w:multiLevelType w:val="singleLevel"/>
    <w:tmpl w:val="D4901FF6"/>
    <w:lvl w:ilvl="0">
      <w:start w:val="1"/>
      <w:numFmt w:val="decimal"/>
      <w:lvlText w:val="%1."/>
      <w:legacy w:legacy="1" w:legacySpace="0" w:legacyIndent="283"/>
      <w:lvlJc w:val="left"/>
      <w:rPr>
        <w:rFonts w:ascii="Arial" w:hAnsi="Arial" w:cs="Arial" w:hint="default"/>
      </w:rPr>
    </w:lvl>
  </w:abstractNum>
  <w:abstractNum w:abstractNumId="25" w15:restartNumberingAfterBreak="0">
    <w:nsid w:val="6486354F"/>
    <w:multiLevelType w:val="hybridMultilevel"/>
    <w:tmpl w:val="CF046E76"/>
    <w:lvl w:ilvl="0" w:tplc="248444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7D22340"/>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27" w15:restartNumberingAfterBreak="0">
    <w:nsid w:val="6A423535"/>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6F334233"/>
    <w:multiLevelType w:val="singleLevel"/>
    <w:tmpl w:val="D4901FF6"/>
    <w:lvl w:ilvl="0">
      <w:start w:val="1"/>
      <w:numFmt w:val="decimal"/>
      <w:lvlText w:val="%1."/>
      <w:legacy w:legacy="1" w:legacySpace="0" w:legacyIndent="283"/>
      <w:lvlJc w:val="left"/>
      <w:rPr>
        <w:rFonts w:ascii="Arial" w:hAnsi="Arial" w:cs="Arial" w:hint="default"/>
      </w:rPr>
    </w:lvl>
  </w:abstractNum>
  <w:abstractNum w:abstractNumId="29" w15:restartNumberingAfterBreak="0">
    <w:nsid w:val="71911203"/>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74C87711"/>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2"/>
  </w:num>
  <w:num w:numId="2">
    <w:abstractNumId w:val="18"/>
  </w:num>
  <w:num w:numId="3">
    <w:abstractNumId w:val="28"/>
  </w:num>
  <w:num w:numId="4">
    <w:abstractNumId w:val="15"/>
  </w:num>
  <w:num w:numId="5">
    <w:abstractNumId w:val="4"/>
  </w:num>
  <w:num w:numId="6">
    <w:abstractNumId w:val="5"/>
  </w:num>
  <w:num w:numId="7">
    <w:abstractNumId w:val="1"/>
  </w:num>
  <w:num w:numId="8">
    <w:abstractNumId w:val="14"/>
  </w:num>
  <w:num w:numId="9">
    <w:abstractNumId w:val="24"/>
  </w:num>
  <w:num w:numId="10">
    <w:abstractNumId w:val="2"/>
  </w:num>
  <w:num w:numId="11">
    <w:abstractNumId w:val="6"/>
  </w:num>
  <w:num w:numId="12">
    <w:abstractNumId w:val="26"/>
  </w:num>
  <w:num w:numId="13">
    <w:abstractNumId w:val="9"/>
  </w:num>
  <w:num w:numId="14">
    <w:abstractNumId w:val="8"/>
  </w:num>
  <w:num w:numId="15">
    <w:abstractNumId w:val="23"/>
  </w:num>
  <w:num w:numId="16">
    <w:abstractNumId w:val="25"/>
  </w:num>
  <w:num w:numId="17">
    <w:abstractNumId w:val="12"/>
  </w:num>
  <w:num w:numId="18">
    <w:abstractNumId w:val="11"/>
  </w:num>
  <w:num w:numId="19">
    <w:abstractNumId w:val="17"/>
  </w:num>
  <w:num w:numId="20">
    <w:abstractNumId w:val="7"/>
  </w:num>
  <w:num w:numId="21">
    <w:abstractNumId w:val="13"/>
  </w:num>
  <w:num w:numId="22">
    <w:abstractNumId w:val="19"/>
  </w:num>
  <w:num w:numId="23">
    <w:abstractNumId w:val="27"/>
  </w:num>
  <w:num w:numId="24">
    <w:abstractNumId w:val="21"/>
  </w:num>
  <w:num w:numId="25">
    <w:abstractNumId w:val="30"/>
  </w:num>
  <w:num w:numId="26">
    <w:abstractNumId w:val="16"/>
  </w:num>
  <w:num w:numId="27">
    <w:abstractNumId w:val="3"/>
  </w:num>
  <w:num w:numId="28">
    <w:abstractNumId w:val="29"/>
  </w:num>
  <w:num w:numId="29">
    <w:abstractNumId w:val="10"/>
  </w:num>
  <w:num w:numId="30">
    <w:abstractNumId w:val="0"/>
  </w:num>
  <w:num w:numId="31">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B8D"/>
    <w:rsid w:val="0008615D"/>
    <w:rsid w:val="000A1D69"/>
    <w:rsid w:val="000B0C18"/>
    <w:rsid w:val="000D1A6C"/>
    <w:rsid w:val="000E78D9"/>
    <w:rsid w:val="00187AF6"/>
    <w:rsid w:val="001950C5"/>
    <w:rsid w:val="001C0958"/>
    <w:rsid w:val="0020707C"/>
    <w:rsid w:val="00221369"/>
    <w:rsid w:val="00283DC6"/>
    <w:rsid w:val="002974B0"/>
    <w:rsid w:val="002A520C"/>
    <w:rsid w:val="002B596E"/>
    <w:rsid w:val="002D3069"/>
    <w:rsid w:val="002E2281"/>
    <w:rsid w:val="0031555C"/>
    <w:rsid w:val="00352E4D"/>
    <w:rsid w:val="00365BC6"/>
    <w:rsid w:val="003E6A72"/>
    <w:rsid w:val="00411B8D"/>
    <w:rsid w:val="00484CD4"/>
    <w:rsid w:val="004857B3"/>
    <w:rsid w:val="004B5C4F"/>
    <w:rsid w:val="005472A7"/>
    <w:rsid w:val="00586A14"/>
    <w:rsid w:val="00591388"/>
    <w:rsid w:val="005F0279"/>
    <w:rsid w:val="005F3632"/>
    <w:rsid w:val="00623B7F"/>
    <w:rsid w:val="006F6A4A"/>
    <w:rsid w:val="00717BE1"/>
    <w:rsid w:val="007C4BCF"/>
    <w:rsid w:val="007C5599"/>
    <w:rsid w:val="007C5CFC"/>
    <w:rsid w:val="007D1E66"/>
    <w:rsid w:val="008015BE"/>
    <w:rsid w:val="00810B76"/>
    <w:rsid w:val="00846B3D"/>
    <w:rsid w:val="00863E0E"/>
    <w:rsid w:val="008678D7"/>
    <w:rsid w:val="008862F9"/>
    <w:rsid w:val="008C0F22"/>
    <w:rsid w:val="0090665E"/>
    <w:rsid w:val="00911626"/>
    <w:rsid w:val="009767AA"/>
    <w:rsid w:val="00A811B2"/>
    <w:rsid w:val="00A92352"/>
    <w:rsid w:val="00AE24F0"/>
    <w:rsid w:val="00B3535A"/>
    <w:rsid w:val="00BB519B"/>
    <w:rsid w:val="00BF4EB4"/>
    <w:rsid w:val="00C303E7"/>
    <w:rsid w:val="00C32D3E"/>
    <w:rsid w:val="00C45F85"/>
    <w:rsid w:val="00C75B04"/>
    <w:rsid w:val="00D0380A"/>
    <w:rsid w:val="00D06F2A"/>
    <w:rsid w:val="00D12949"/>
    <w:rsid w:val="00D65D8D"/>
    <w:rsid w:val="00D96D5D"/>
    <w:rsid w:val="00DB4E17"/>
    <w:rsid w:val="00DD0AFD"/>
    <w:rsid w:val="00E16F77"/>
    <w:rsid w:val="00E26D97"/>
    <w:rsid w:val="00E274B8"/>
    <w:rsid w:val="00E35FA4"/>
    <w:rsid w:val="00E75F5A"/>
    <w:rsid w:val="00EE0763"/>
    <w:rsid w:val="00EE779D"/>
    <w:rsid w:val="00F23F1D"/>
    <w:rsid w:val="00F6126B"/>
    <w:rsid w:val="00F67590"/>
    <w:rsid w:val="00FC726A"/>
    <w:rsid w:val="00FF3F51"/>
    <w:rsid w:val="00FF4A5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91714378-1EAA-4D65-A77B-AA2D612B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8D"/>
    <w:pPr>
      <w:widowControl w:val="0"/>
      <w:autoSpaceDE w:val="0"/>
      <w:autoSpaceDN w:val="0"/>
      <w:adjustRightInd w:val="0"/>
    </w:pPr>
    <w:rPr>
      <w:rFonts w:ascii="Arial" w:hAnsi="Arial" w:cs="Arial"/>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1B8D"/>
    <w:pPr>
      <w:tabs>
        <w:tab w:val="center" w:pos="4536"/>
        <w:tab w:val="right" w:pos="9072"/>
      </w:tabs>
    </w:pPr>
  </w:style>
  <w:style w:type="character" w:customStyle="1" w:styleId="HeaderChar">
    <w:name w:val="Header Char"/>
    <w:link w:val="Header"/>
    <w:uiPriority w:val="99"/>
    <w:locked/>
    <w:rsid w:val="00411B8D"/>
    <w:rPr>
      <w:rFonts w:ascii="Arial" w:hAnsi="Arial"/>
    </w:rPr>
  </w:style>
  <w:style w:type="paragraph" w:styleId="Footer">
    <w:name w:val="footer"/>
    <w:basedOn w:val="Normal"/>
    <w:link w:val="FooterChar"/>
    <w:uiPriority w:val="99"/>
    <w:rsid w:val="00411B8D"/>
    <w:pPr>
      <w:tabs>
        <w:tab w:val="center" w:pos="4536"/>
        <w:tab w:val="right" w:pos="9072"/>
      </w:tabs>
    </w:pPr>
  </w:style>
  <w:style w:type="character" w:customStyle="1" w:styleId="FooterChar">
    <w:name w:val="Footer Char"/>
    <w:link w:val="Footer"/>
    <w:uiPriority w:val="99"/>
    <w:locked/>
    <w:rsid w:val="00411B8D"/>
    <w:rPr>
      <w:rFonts w:ascii="Arial" w:hAnsi="Arial"/>
    </w:rPr>
  </w:style>
  <w:style w:type="paragraph" w:styleId="ListParagraph">
    <w:name w:val="List Paragraph"/>
    <w:basedOn w:val="Normal"/>
    <w:uiPriority w:val="99"/>
    <w:qFormat/>
    <w:rsid w:val="007C5CFC"/>
    <w:pPr>
      <w:ind w:left="720"/>
      <w:contextualSpacing/>
    </w:pPr>
  </w:style>
  <w:style w:type="paragraph" w:styleId="EndnoteText">
    <w:name w:val="endnote text"/>
    <w:basedOn w:val="Normal"/>
    <w:link w:val="EndnoteTextChar"/>
    <w:uiPriority w:val="99"/>
    <w:rsid w:val="00846B3D"/>
  </w:style>
  <w:style w:type="character" w:customStyle="1" w:styleId="EndnoteTextChar">
    <w:name w:val="Endnote Text Char"/>
    <w:link w:val="EndnoteText"/>
    <w:uiPriority w:val="99"/>
    <w:locked/>
    <w:rsid w:val="00846B3D"/>
    <w:rPr>
      <w:rFonts w:ascii="Arial" w:hAnsi="Arial"/>
    </w:rPr>
  </w:style>
  <w:style w:type="character" w:styleId="EndnoteReference">
    <w:name w:val="endnote reference"/>
    <w:uiPriority w:val="99"/>
    <w:rsid w:val="00846B3D"/>
    <w:rPr>
      <w:rFonts w:cs="Times New Roman"/>
      <w:vertAlign w:val="superscript"/>
    </w:rPr>
  </w:style>
  <w:style w:type="paragraph" w:styleId="FootnoteText">
    <w:name w:val="footnote text"/>
    <w:basedOn w:val="Normal"/>
    <w:link w:val="FootnoteTextChar"/>
    <w:uiPriority w:val="99"/>
    <w:rsid w:val="00846B3D"/>
  </w:style>
  <w:style w:type="character" w:customStyle="1" w:styleId="FootnoteTextChar">
    <w:name w:val="Footnote Text Char"/>
    <w:link w:val="FootnoteText"/>
    <w:uiPriority w:val="99"/>
    <w:locked/>
    <w:rsid w:val="00846B3D"/>
    <w:rPr>
      <w:rFonts w:ascii="Arial" w:hAnsi="Arial"/>
    </w:rPr>
  </w:style>
  <w:style w:type="character" w:styleId="FootnoteReference">
    <w:name w:val="footnote reference"/>
    <w:uiPriority w:val="99"/>
    <w:rsid w:val="00846B3D"/>
    <w:rPr>
      <w:rFonts w:cs="Times New Roman"/>
      <w:vertAlign w:val="superscript"/>
    </w:rPr>
  </w:style>
  <w:style w:type="character" w:styleId="PageNumber">
    <w:name w:val="page number"/>
    <w:uiPriority w:val="99"/>
    <w:rsid w:val="007C4BCF"/>
    <w:rPr>
      <w:rFonts w:cs="Times New Roman"/>
    </w:rPr>
  </w:style>
  <w:style w:type="paragraph" w:styleId="BalloonText">
    <w:name w:val="Balloon Text"/>
    <w:basedOn w:val="Normal"/>
    <w:link w:val="BalloonTextChar"/>
    <w:uiPriority w:val="99"/>
    <w:semiHidden/>
    <w:unhideWhenUsed/>
    <w:rsid w:val="00C32D3E"/>
    <w:rPr>
      <w:rFonts w:ascii="Tahoma" w:hAnsi="Tahoma" w:cs="Tahoma"/>
      <w:sz w:val="16"/>
      <w:szCs w:val="16"/>
    </w:rPr>
  </w:style>
  <w:style w:type="character" w:customStyle="1" w:styleId="BalloonTextChar">
    <w:name w:val="Balloon Text Char"/>
    <w:link w:val="BalloonText"/>
    <w:uiPriority w:val="99"/>
    <w:semiHidden/>
    <w:rsid w:val="00C32D3E"/>
    <w:rPr>
      <w:rFonts w:ascii="Tahoma" w:hAnsi="Tahoma" w:cs="Tahoma"/>
      <w:sz w:val="16"/>
      <w:szCs w:val="16"/>
    </w:rPr>
  </w:style>
  <w:style w:type="paragraph" w:styleId="PlainText">
    <w:name w:val="Plain Text"/>
    <w:basedOn w:val="Normal"/>
    <w:link w:val="PlainTextChar"/>
    <w:uiPriority w:val="99"/>
    <w:unhideWhenUsed/>
    <w:rsid w:val="00810B76"/>
    <w:pPr>
      <w:widowControl/>
      <w:autoSpaceDE/>
      <w:autoSpaceDN/>
      <w:adjustRightInd/>
    </w:pPr>
    <w:rPr>
      <w:rFonts w:ascii="Consolas" w:hAnsi="Consolas" w:cs="Times New Roman"/>
      <w:sz w:val="21"/>
      <w:szCs w:val="21"/>
    </w:rPr>
  </w:style>
  <w:style w:type="character" w:customStyle="1" w:styleId="PlainTextChar">
    <w:name w:val="Plain Text Char"/>
    <w:link w:val="PlainText"/>
    <w:uiPriority w:val="99"/>
    <w:rsid w:val="00810B76"/>
    <w:rPr>
      <w:rFonts w:ascii="Consolas" w:hAnsi="Consolas"/>
      <w:sz w:val="21"/>
      <w:szCs w:val="21"/>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lov-lex.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lpdesk@slov-lex.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8F83F-8441-46F5-8BAA-ABF1EC836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5814</Words>
  <Characters>33142</Characters>
  <Application>Microsoft Office Word</Application>
  <DocSecurity>0</DocSecurity>
  <Lines>276</Lines>
  <Paragraphs>77</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Hewlett-Packard Company</Company>
  <LinksUpToDate>false</LinksUpToDate>
  <CharactersWithSpaces>38879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Blaho</dc:creator>
  <cp:lastModifiedBy>Liu, Lei</cp:lastModifiedBy>
  <cp:revision>5</cp:revision>
  <cp:lastPrinted>2018-11-09T07:19:00Z</cp:lastPrinted>
  <dcterms:created xsi:type="dcterms:W3CDTF">2019-04-11T10:57:00Z</dcterms:created>
  <dcterms:modified xsi:type="dcterms:W3CDTF">2019-04-17T05:57:00Z</dcterms:modified>
</cp:coreProperties>
</file>