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0B76" w:rsidRDefault="00810B76" w:rsidP="00810B76">
      <w:pPr>
        <w:pStyle w:val="PlainText"/>
        <w:rPr>
          <w:rFonts w:ascii="Courier New" w:hAnsi="Courier New" w:cs="Courier New"/>
          <w:sz w:val="20"/>
          <w:szCs w:val="20"/>
        </w:rPr>
      </w:pPr>
      <w:r>
        <w:rPr>
          <w:rFonts w:ascii="Courier New" w:hAnsi="Courier New"/>
          <w:sz w:val="20"/>
        </w:rPr>
        <w:t xml:space="preserve">1. ------IND- 2017 0322 SK- ES- ------ 20190416 --- --- FINAL </w:t>
      </w:r>
    </w:p>
    <w:p w:rsidR="00810B76" w:rsidRDefault="00810B76" w:rsidP="00B3535A">
      <w:pPr>
        <w:widowControl/>
        <w:shd w:val="clear" w:color="auto" w:fill="FFFFFF"/>
        <w:spacing w:before="120"/>
        <w:jc w:val="center"/>
        <w:rPr>
          <w:color w:val="000000"/>
          <w:sz w:val="44"/>
          <w:szCs w:val="44"/>
        </w:rPr>
      </w:pPr>
    </w:p>
    <w:p w:rsidR="00E16F77" w:rsidRPr="00D06F2A" w:rsidRDefault="00E16F77" w:rsidP="00B3535A">
      <w:pPr>
        <w:widowControl/>
        <w:shd w:val="clear" w:color="auto" w:fill="FFFFFF"/>
        <w:spacing w:before="120"/>
        <w:jc w:val="center"/>
        <w:rPr>
          <w:color w:val="000000"/>
          <w:sz w:val="44"/>
          <w:szCs w:val="44"/>
        </w:rPr>
      </w:pPr>
      <w:r>
        <w:rPr>
          <w:color w:val="000000"/>
          <w:sz w:val="44"/>
        </w:rPr>
        <w:t xml:space="preserve">COMPENDIO </w:t>
      </w:r>
      <w:r w:rsidR="00E24ED9">
        <w:rPr>
          <w:color w:val="000000"/>
          <w:sz w:val="44"/>
          <w:szCs w:val="4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4pt">
            <v:imagedata r:id="rId8" o:title="ciernobiele" croptop="6421f" cropbottom="19239f" cropleft="1351f" cropright="54047f"/>
          </v:shape>
        </w:pict>
      </w:r>
      <w:r>
        <w:rPr>
          <w:color w:val="000000"/>
          <w:sz w:val="44"/>
        </w:rPr>
        <w:t xml:space="preserve"> DE LEYES</w:t>
      </w:r>
    </w:p>
    <w:p w:rsidR="00E16F77" w:rsidRPr="00D06F2A" w:rsidRDefault="00E16F77" w:rsidP="00B3535A">
      <w:pPr>
        <w:widowControl/>
        <w:shd w:val="clear" w:color="auto" w:fill="FFFFFF"/>
        <w:spacing w:before="120"/>
        <w:jc w:val="center"/>
        <w:rPr>
          <w:color w:val="000000"/>
        </w:rPr>
      </w:pPr>
      <w:r>
        <w:rPr>
          <w:color w:val="000000"/>
          <w:sz w:val="32"/>
        </w:rPr>
        <w:t>DE LA REPÚBLICA ESLOVACA</w:t>
      </w:r>
    </w:p>
    <w:p w:rsidR="00E16F77" w:rsidRPr="00D06F2A" w:rsidRDefault="00E16F77" w:rsidP="00B3535A">
      <w:pPr>
        <w:widowControl/>
        <w:shd w:val="clear" w:color="auto" w:fill="FFFFFF"/>
        <w:spacing w:before="120"/>
        <w:jc w:val="center"/>
        <w:rPr>
          <w:color w:val="000000"/>
          <w:sz w:val="28"/>
          <w:szCs w:val="28"/>
        </w:rPr>
      </w:pPr>
      <w:r>
        <w:rPr>
          <w:color w:val="000000"/>
          <w:sz w:val="28"/>
        </w:rPr>
        <w:t>Volumen 2018</w:t>
      </w:r>
    </w:p>
    <w:p w:rsidR="00E16F77" w:rsidRPr="00D06F2A" w:rsidRDefault="00E16F77" w:rsidP="00B3535A">
      <w:pPr>
        <w:widowControl/>
        <w:pBdr>
          <w:top w:val="single" w:sz="4" w:space="1" w:color="auto"/>
        </w:pBdr>
        <w:shd w:val="clear" w:color="auto" w:fill="FFFFFF"/>
        <w:tabs>
          <w:tab w:val="right" w:pos="9072"/>
        </w:tabs>
        <w:spacing w:before="120"/>
        <w:rPr>
          <w:color w:val="000000"/>
        </w:rPr>
      </w:pPr>
      <w:r>
        <w:rPr>
          <w:color w:val="000000"/>
        </w:rPr>
        <w:t>Promulgado: 7.3.2018</w:t>
      </w:r>
      <w:r>
        <w:tab/>
      </w:r>
      <w:r>
        <w:rPr>
          <w:color w:val="000000"/>
        </w:rPr>
        <w:t>Versión temporal de la legislación vigente de 1.4.2018 a 31.3.2020</w:t>
      </w:r>
    </w:p>
    <w:p w:rsidR="00E16F77" w:rsidRPr="00D06F2A" w:rsidRDefault="00E16F77" w:rsidP="00B3535A">
      <w:pPr>
        <w:widowControl/>
        <w:shd w:val="clear" w:color="auto" w:fill="FFFFFF"/>
        <w:spacing w:before="480" w:after="240"/>
        <w:jc w:val="center"/>
        <w:rPr>
          <w:b/>
          <w:bCs/>
          <w:color w:val="000000"/>
        </w:rPr>
      </w:pPr>
      <w:r>
        <w:rPr>
          <w:b/>
          <w:color w:val="000000"/>
        </w:rPr>
        <w:t>El contenido del documento es jurídicamente vinculante.</w:t>
      </w:r>
    </w:p>
    <w:p w:rsidR="00E16F77" w:rsidRPr="00D06F2A" w:rsidRDefault="00E16F77" w:rsidP="00B3535A">
      <w:pPr>
        <w:widowControl/>
        <w:shd w:val="clear" w:color="auto" w:fill="FFFFFF"/>
        <w:spacing w:before="120"/>
        <w:jc w:val="center"/>
        <w:rPr>
          <w:color w:val="000000"/>
        </w:rPr>
      </w:pPr>
      <w:r>
        <w:rPr>
          <w:b/>
          <w:color w:val="000000"/>
        </w:rPr>
        <w:t>60</w:t>
      </w:r>
    </w:p>
    <w:p w:rsidR="00E16F77" w:rsidRPr="00E35FA4" w:rsidRDefault="00E16F77" w:rsidP="00B3535A">
      <w:pPr>
        <w:widowControl/>
        <w:shd w:val="clear" w:color="auto" w:fill="FFFFFF"/>
        <w:spacing w:before="120"/>
        <w:jc w:val="center"/>
        <w:rPr>
          <w:b/>
          <w:bCs/>
          <w:color w:val="000000"/>
        </w:rPr>
      </w:pPr>
      <w:r>
        <w:rPr>
          <w:b/>
          <w:color w:val="000000"/>
        </w:rPr>
        <w:t>LEY</w:t>
      </w:r>
    </w:p>
    <w:p w:rsidR="00E16F77" w:rsidRPr="00D06F2A" w:rsidRDefault="00E16F77" w:rsidP="00B3535A">
      <w:pPr>
        <w:widowControl/>
        <w:shd w:val="clear" w:color="auto" w:fill="FFFFFF"/>
        <w:spacing w:before="120"/>
        <w:jc w:val="center"/>
        <w:rPr>
          <w:color w:val="000000"/>
        </w:rPr>
      </w:pPr>
      <w:proofErr w:type="gramStart"/>
      <w:r>
        <w:rPr>
          <w:color w:val="000000"/>
        </w:rPr>
        <w:t>de</w:t>
      </w:r>
      <w:proofErr w:type="gramEnd"/>
      <w:r>
        <w:rPr>
          <w:color w:val="000000"/>
        </w:rPr>
        <w:t xml:space="preserve"> 6 de febrero de 2018</w:t>
      </w:r>
    </w:p>
    <w:p w:rsidR="00E16F77" w:rsidRPr="00E35FA4" w:rsidRDefault="00E16F77" w:rsidP="00B3535A">
      <w:pPr>
        <w:widowControl/>
        <w:shd w:val="clear" w:color="auto" w:fill="FFFFFF"/>
        <w:spacing w:before="120"/>
        <w:jc w:val="center"/>
        <w:rPr>
          <w:b/>
          <w:bCs/>
          <w:color w:val="000000"/>
        </w:rPr>
      </w:pPr>
      <w:proofErr w:type="gramStart"/>
      <w:r>
        <w:rPr>
          <w:b/>
          <w:color w:val="000000"/>
        </w:rPr>
        <w:t>sobre</w:t>
      </w:r>
      <w:proofErr w:type="gramEnd"/>
      <w:r>
        <w:rPr>
          <w:b/>
          <w:color w:val="000000"/>
        </w:rPr>
        <w:t xml:space="preserve"> la normalización técnica</w:t>
      </w:r>
    </w:p>
    <w:p w:rsidR="00E16F77" w:rsidRPr="00D06F2A" w:rsidRDefault="00E16F77" w:rsidP="00B3535A">
      <w:pPr>
        <w:widowControl/>
        <w:shd w:val="clear" w:color="auto" w:fill="FFFFFF"/>
        <w:spacing w:before="480" w:after="240"/>
        <w:rPr>
          <w:color w:val="000000"/>
        </w:rPr>
      </w:pPr>
      <w:r>
        <w:rPr>
          <w:color w:val="000000"/>
        </w:rPr>
        <w:t>El Consejo Nacional de la República Eslovaca ha aprobado la siguiente Ley:</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1</w:t>
      </w:r>
    </w:p>
    <w:p w:rsidR="00E16F77" w:rsidRPr="00E35FA4" w:rsidRDefault="00E16F77" w:rsidP="00BB519B">
      <w:pPr>
        <w:keepNext/>
        <w:keepLines/>
        <w:widowControl/>
        <w:shd w:val="clear" w:color="auto" w:fill="FFFFFF"/>
        <w:jc w:val="center"/>
        <w:rPr>
          <w:b/>
          <w:bCs/>
          <w:color w:val="000000"/>
        </w:rPr>
      </w:pPr>
      <w:r>
        <w:rPr>
          <w:b/>
          <w:color w:val="000000"/>
        </w:rPr>
        <w:t>Objeto</w:t>
      </w:r>
    </w:p>
    <w:p w:rsidR="00E16F77" w:rsidRPr="00D06F2A" w:rsidRDefault="00E16F77" w:rsidP="00D65D8D">
      <w:pPr>
        <w:keepNext/>
        <w:keepLines/>
        <w:widowControl/>
        <w:shd w:val="clear" w:color="auto" w:fill="FFFFFF"/>
        <w:spacing w:before="120"/>
        <w:rPr>
          <w:color w:val="000000"/>
        </w:rPr>
      </w:pPr>
      <w:r>
        <w:rPr>
          <w:color w:val="000000"/>
        </w:rPr>
        <w:t>La presente Ley regula:</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a)</w:t>
      </w:r>
      <w:r>
        <w:tab/>
      </w:r>
      <w:r>
        <w:rPr>
          <w:color w:val="000000"/>
        </w:rPr>
        <w:t>el alcance de la autoridad de la Oficina eslovaca de normas, metrología y ensayo (en adelante, la «Oficina») en el ámbito de la normalización técnica;</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b)</w:t>
      </w:r>
      <w:r>
        <w:tab/>
      </w:r>
      <w:r>
        <w:rPr>
          <w:color w:val="000000"/>
        </w:rPr>
        <w:t>los derechos y las obligaciones de la Oficina como órgano de normalización nacional eslovaco;</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c)</w:t>
      </w:r>
      <w:r>
        <w:tab/>
      </w:r>
      <w:r>
        <w:rPr>
          <w:color w:val="000000"/>
        </w:rPr>
        <w:t>el desarrollo, la provisión, la reproducción, la distribución, la verificación y la cancelación de las normas técnicas eslovacas y de la información de normalización técnica;</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d)</w:t>
      </w:r>
      <w:r>
        <w:tab/>
      </w:r>
      <w:r>
        <w:rPr>
          <w:color w:val="000000"/>
        </w:rPr>
        <w:t>los gastos asociados al desarrollo de normas técnicas eslovacas y a la información de normalización técnica;</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e)</w:t>
      </w:r>
      <w:r>
        <w:tab/>
      </w:r>
      <w:r>
        <w:rPr>
          <w:color w:val="000000"/>
        </w:rPr>
        <w:t>la protección de las normas técnicas eslovacas y la información de normalización técnica;</w:t>
      </w:r>
    </w:p>
    <w:p w:rsidR="00B3535A" w:rsidRPr="00D06F2A" w:rsidRDefault="00B3535A" w:rsidP="00B3535A">
      <w:pPr>
        <w:widowControl/>
        <w:shd w:val="clear" w:color="auto" w:fill="FFFFFF"/>
        <w:tabs>
          <w:tab w:val="left" w:pos="283"/>
        </w:tabs>
        <w:spacing w:before="120"/>
        <w:ind w:left="284" w:hanging="284"/>
        <w:jc w:val="both"/>
        <w:rPr>
          <w:color w:val="000000"/>
        </w:rPr>
      </w:pPr>
      <w:r>
        <w:rPr>
          <w:color w:val="000000"/>
        </w:rPr>
        <w:t>f)</w:t>
      </w:r>
      <w:r>
        <w:tab/>
      </w:r>
      <w:r>
        <w:rPr>
          <w:color w:val="000000"/>
        </w:rPr>
        <w:t>la provisión de otras normas técnicas y otra información de normalización técnica;</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g)</w:t>
      </w:r>
      <w:r>
        <w:tab/>
      </w:r>
      <w:r>
        <w:rPr>
          <w:color w:val="000000"/>
        </w:rPr>
        <w:t>la supervisión del cumplimiento de la presente Ley;</w:t>
      </w:r>
    </w:p>
    <w:p w:rsidR="00E16F77" w:rsidRPr="00D06F2A" w:rsidRDefault="00E16F77" w:rsidP="00B3535A">
      <w:pPr>
        <w:widowControl/>
        <w:shd w:val="clear" w:color="auto" w:fill="FFFFFF"/>
        <w:tabs>
          <w:tab w:val="left" w:pos="283"/>
        </w:tabs>
        <w:spacing w:before="120"/>
        <w:ind w:left="284" w:hanging="284"/>
        <w:jc w:val="both"/>
        <w:rPr>
          <w:color w:val="000000"/>
        </w:rPr>
      </w:pPr>
      <w:r>
        <w:rPr>
          <w:color w:val="000000"/>
        </w:rPr>
        <w:t>h)</w:t>
      </w:r>
      <w:r>
        <w:tab/>
      </w:r>
      <w:r>
        <w:rPr>
          <w:color w:val="000000"/>
        </w:rPr>
        <w:t>la imposición de multas.</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2</w:t>
      </w:r>
    </w:p>
    <w:p w:rsidR="00E16F77" w:rsidRPr="008015BE" w:rsidRDefault="00E16F77" w:rsidP="00BB519B">
      <w:pPr>
        <w:keepNext/>
        <w:keepLines/>
        <w:widowControl/>
        <w:shd w:val="clear" w:color="auto" w:fill="FFFFFF"/>
        <w:jc w:val="center"/>
        <w:rPr>
          <w:b/>
          <w:bCs/>
          <w:color w:val="000000"/>
        </w:rPr>
      </w:pPr>
      <w:r>
        <w:rPr>
          <w:b/>
          <w:color w:val="000000"/>
        </w:rPr>
        <w:t>Definiciones</w:t>
      </w:r>
    </w:p>
    <w:p w:rsidR="00E16F77" w:rsidRPr="00D06F2A" w:rsidRDefault="00E16F77" w:rsidP="00D65D8D">
      <w:pPr>
        <w:keepNext/>
        <w:keepLines/>
        <w:widowControl/>
        <w:shd w:val="clear" w:color="auto" w:fill="FFFFFF"/>
        <w:spacing w:before="120"/>
        <w:rPr>
          <w:color w:val="000000"/>
        </w:rPr>
      </w:pPr>
      <w:r>
        <w:rPr>
          <w:color w:val="000000"/>
        </w:rPr>
        <w:t>A efectos de la presente Ley, se utilizarán las siguientes definiciones:</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«otra norma técnica» se refiere a una norma técnica mencionada en una legislación especial</w:t>
      </w:r>
      <w:r>
        <w:rPr>
          <w:color w:val="000000"/>
          <w:vertAlign w:val="superscript"/>
        </w:rPr>
        <w:t>1)</w:t>
      </w:r>
      <w:r>
        <w:rPr>
          <w:color w:val="000000"/>
        </w:rPr>
        <w:t xml:space="preserve"> que no sea una norma técnica eslovaca original;</w:t>
      </w:r>
    </w:p>
    <w:p w:rsidR="00E16F77" w:rsidRPr="00D06F2A" w:rsidRDefault="00E16F77" w:rsidP="003E6A72">
      <w:pPr>
        <w:widowControl/>
        <w:numPr>
          <w:ilvl w:val="0"/>
          <w:numId w:val="1"/>
        </w:numPr>
        <w:shd w:val="clear" w:color="auto" w:fill="FFFFFF"/>
        <w:tabs>
          <w:tab w:val="left" w:pos="283"/>
        </w:tabs>
        <w:spacing w:before="120"/>
        <w:ind w:left="284" w:hanging="284"/>
        <w:jc w:val="both"/>
        <w:rPr>
          <w:color w:val="000000"/>
        </w:rPr>
      </w:pPr>
      <w:r>
        <w:rPr>
          <w:color w:val="000000"/>
        </w:rPr>
        <w:t>«otro documento informativo de normas técnicas» se refiere a un documento de normalización elaborado por un organismo de normalización internacional, que no ha sido aceptado por la Oficina, en calidad de órgano de normalización nacional eslovaco, como parte del sistema de normas técnicas eslovacas en virtud del artículo 4, apartado 1, letra g;</w:t>
      </w:r>
    </w:p>
    <w:p w:rsidR="00E16F77" w:rsidRPr="00D06F2A" w:rsidRDefault="00E16F77" w:rsidP="003E6A72">
      <w:pPr>
        <w:widowControl/>
        <w:numPr>
          <w:ilvl w:val="0"/>
          <w:numId w:val="1"/>
        </w:numPr>
        <w:shd w:val="clear" w:color="auto" w:fill="FFFFFF"/>
        <w:tabs>
          <w:tab w:val="left" w:pos="283"/>
        </w:tabs>
        <w:autoSpaceDE/>
        <w:autoSpaceDN/>
        <w:adjustRightInd/>
        <w:spacing w:before="120"/>
        <w:ind w:left="284" w:hanging="284"/>
        <w:rPr>
          <w:color w:val="000000"/>
        </w:rPr>
      </w:pPr>
      <w:r>
        <w:rPr>
          <w:color w:val="000000"/>
        </w:rPr>
        <w:t>«interés legítimo» se refiere a la seguridad, la salud, la vida y la propiedad de las personas y un entorno favorable.</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Artículo 3</w:t>
      </w:r>
    </w:p>
    <w:p w:rsidR="00E16F77" w:rsidRPr="008015BE" w:rsidRDefault="00E16F77" w:rsidP="00BB519B">
      <w:pPr>
        <w:keepNext/>
        <w:keepLines/>
        <w:widowControl/>
        <w:shd w:val="clear" w:color="auto" w:fill="FFFFFF"/>
        <w:jc w:val="center"/>
        <w:rPr>
          <w:b/>
          <w:bCs/>
          <w:color w:val="000000"/>
        </w:rPr>
      </w:pPr>
      <w:r>
        <w:rPr>
          <w:b/>
          <w:color w:val="000000"/>
        </w:rPr>
        <w:t xml:space="preserve">Norma técnica e información de normalización técnica </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Por «norma técnica» se entiende una norma técnica mencionada en una legislación especial</w:t>
      </w:r>
      <w:r>
        <w:rPr>
          <w:color w:val="000000"/>
          <w:vertAlign w:val="superscript"/>
        </w:rPr>
        <w:t>2)</w:t>
      </w:r>
      <w:r>
        <w:rPr>
          <w:color w:val="000000"/>
        </w:rPr>
        <w:t>. Una norma técnica no es una reglamentación técnica</w:t>
      </w:r>
      <w:r>
        <w:rPr>
          <w:color w:val="000000"/>
          <w:vertAlign w:val="superscript"/>
        </w:rPr>
        <w:t>3)</w:t>
      </w:r>
      <w:r>
        <w:rPr>
          <w:color w:val="000000"/>
        </w:rPr>
        <w:t>.</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«Norma técnica eslovaca» se refiere a una norma técnica aceptada por la Oficina, conforme a esta Ley, en calidad de órgano de normalización nacional eslovaco, como parte del sistema de normas técnicas eslovacas.</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«Norma técnica previa eslovaca» se refiere a una norma técnica eslovaca con validez temporal, cuyo propósito es verificar la idoneidad y conveniencia del contenido técnico de la norma.</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«Norma técnica eslovaca original» se refiere a una norma técnica eslovaca que regula un ámbito no cubierto por disposiciones de normas europeas</w:t>
      </w:r>
      <w:r>
        <w:rPr>
          <w:color w:val="000000"/>
          <w:vertAlign w:val="superscript"/>
        </w:rPr>
        <w:t>4)</w:t>
      </w:r>
      <w:r>
        <w:rPr>
          <w:color w:val="000000"/>
        </w:rPr>
        <w:t xml:space="preserve"> o normas internacionales</w:t>
      </w:r>
      <w:r>
        <w:rPr>
          <w:color w:val="000000"/>
          <w:vertAlign w:val="superscript"/>
        </w:rPr>
        <w:t>5)</w:t>
      </w:r>
      <w:r>
        <w:rPr>
          <w:color w:val="000000"/>
        </w:rPr>
        <w:t xml:space="preserve"> que se ha elaborado a petición del público o de una autoridad pública.</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«Información de normalización técnica» se refiere a un documento de normalización elaborado por una organización de normalización europea</w:t>
      </w:r>
      <w:r>
        <w:rPr>
          <w:color w:val="000000"/>
          <w:vertAlign w:val="superscript"/>
        </w:rPr>
        <w:t>6)</w:t>
      </w:r>
      <w:r>
        <w:rPr>
          <w:color w:val="000000"/>
        </w:rPr>
        <w:t>, un órgano de normalización internacional</w:t>
      </w:r>
      <w:r>
        <w:rPr>
          <w:color w:val="000000"/>
          <w:vertAlign w:val="superscript"/>
        </w:rPr>
        <w:t>7)</w:t>
      </w:r>
      <w:r>
        <w:rPr>
          <w:color w:val="000000"/>
        </w:rPr>
        <w:t>, o la Oficina, en calidad de órgano de normalización nacional eslovaco, y aceptado por la Oficina como parte del sistema de normas técnicas eslovacas. La información de normalización técnica no se considerará una norma técnica eslovaca.</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«Información de normalización técnica original» se refiere a un documento informativo de normas técnicas que regula un ámbito no cubierto por disposiciones de documentos de normalización elaborados por una organización de normalización europea o por un órgano de normalización internacional que se ha elaborado a petición del público o de una autoridad pública.</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«Modificación de una norma técnica» se refiere a una norma técnica designada como una modificación de una organización de normalización europea, un órgano de normalización internacional, o la Oficina, en calidad de órgano de normalización nacional eslovaco, que modifica de forma sustancial una norma técnica.</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«Corrección de una norma técnica» o «corrección de una información de normalización técnica» se refiere a un documento que corrige un error formal en una norma técnica o en una información de normalización técnica designado como una corrección por una organización de normalización europea, un órgano de normalización internacional o la Oficina, en calidad de órgano de normalización nacional eslovaco.</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«Sistema de normas técnicas eslovacas» es el conjunto de versiones completas de las normas técnicas eslovacas, la información de normalización técnica y sus correcciones.</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El cumplimiento de las normas técnicas eslovacas y de la información de normalización técnica es voluntario.</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Las normas técnicas eslovacas usarán el símbolo «STN» y las normas técnicas previas eslovacas usarán el símbolo «STN P». La información de normalización técnica usará el símbolo «TNI». Los símbolos de normalización «STN», «STN P», y «TNI» aparecen recogidos en el anexo. La Oficina, en calidad de órgano de normalización eslovaco, publicará en su sitio web posibles marcados adicionales que puedan añadirse a los símbolos «STN» o «TNI».</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Las normas técnicas eslovacas y la información de normalización técnica no estarán disponibles de conformidad con la legislación especial</w:t>
      </w:r>
      <w:r>
        <w:rPr>
          <w:color w:val="000000"/>
          <w:vertAlign w:val="superscript"/>
        </w:rPr>
        <w:t>8)</w:t>
      </w:r>
      <w:r>
        <w:rPr>
          <w:color w:val="000000"/>
        </w:rPr>
        <w:t>, excepto la norma técnica eslovaca mencionada en el artículo 12, apartado 2.</w:t>
      </w:r>
    </w:p>
    <w:p w:rsidR="00E16F77" w:rsidRPr="00D06F2A" w:rsidRDefault="00E16F77" w:rsidP="003E6A72">
      <w:pPr>
        <w:pStyle w:val="ListParagraph"/>
        <w:widowControl/>
        <w:numPr>
          <w:ilvl w:val="0"/>
          <w:numId w:val="15"/>
        </w:numPr>
        <w:shd w:val="clear" w:color="auto" w:fill="FFFFFF"/>
        <w:tabs>
          <w:tab w:val="left" w:pos="567"/>
        </w:tabs>
        <w:spacing w:before="120"/>
        <w:ind w:left="567" w:hanging="567"/>
        <w:contextualSpacing w:val="0"/>
        <w:jc w:val="both"/>
        <w:rPr>
          <w:color w:val="000000"/>
        </w:rPr>
      </w:pPr>
      <w:r>
        <w:rPr>
          <w:color w:val="000000"/>
        </w:rPr>
        <w:t>Si una autoridad gubernamental tiene previsto hacer referencia a una norma técnica eslovaca en el proyecto de una ley de aplicación general, notificará a la Oficina, en calidad de órgano de normalización nacional eslovaco, de este hecho a más tardar antes de la adopción de la ley de aplicación general. La autoridad gubernamental procederá de acuerdo con la legislación especial</w:t>
      </w:r>
      <w:r>
        <w:rPr>
          <w:color w:val="000000"/>
          <w:vertAlign w:val="superscript"/>
        </w:rPr>
        <w:t>9)</w:t>
      </w:r>
      <w:r>
        <w:rPr>
          <w:color w:val="000000"/>
        </w:rPr>
        <w:t>.</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4</w:t>
      </w:r>
    </w:p>
    <w:p w:rsidR="00E16F77" w:rsidRPr="008015BE" w:rsidRDefault="00E16F77" w:rsidP="00BB519B">
      <w:pPr>
        <w:keepNext/>
        <w:keepLines/>
        <w:widowControl/>
        <w:shd w:val="clear" w:color="auto" w:fill="FFFFFF"/>
        <w:jc w:val="center"/>
        <w:rPr>
          <w:b/>
          <w:bCs/>
          <w:color w:val="000000"/>
        </w:rPr>
      </w:pPr>
      <w:r>
        <w:rPr>
          <w:b/>
          <w:color w:val="000000"/>
        </w:rPr>
        <w:t>Oficina</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La Oficina deberá:</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designar las normas técnicas eslovacas adecuadas para la evaluación de conformidad;</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lastRenderedPageBreak/>
        <w:t>publicar los anuncios sobre la adopción, cancelación y corrección de normas técnicas eslovacas, así como sobre la adopción, cancelación y corrección de la información de normalización técnica y avisos de las normas técnicas eslovacas adecuadas para la evaluación de la conformidad en el Boletín Oficial de la Oficina eslovaca de normas, metrología y ensayo (en adelante, «Boletín Oficial») o, en casos justificados, en su sitio web;</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notificar</w:t>
      </w:r>
      <w:r>
        <w:rPr>
          <w:color w:val="000000"/>
          <w:vertAlign w:val="superscript"/>
        </w:rPr>
        <w:t>10)</w:t>
      </w:r>
      <w:r>
        <w:rPr>
          <w:color w:val="000000"/>
        </w:rPr>
        <w:t xml:space="preserve"> a la Comisión del órgano de normalización nacional eslovaco;</w:t>
      </w:r>
    </w:p>
    <w:p w:rsidR="00E16F77" w:rsidRPr="00D06F2A" w:rsidRDefault="00E16F77" w:rsidP="003E6A72">
      <w:pPr>
        <w:widowControl/>
        <w:numPr>
          <w:ilvl w:val="0"/>
          <w:numId w:val="2"/>
        </w:numPr>
        <w:shd w:val="clear" w:color="auto" w:fill="FFFFFF"/>
        <w:tabs>
          <w:tab w:val="left" w:pos="567"/>
        </w:tabs>
        <w:spacing w:before="120"/>
        <w:ind w:left="567" w:hanging="283"/>
        <w:jc w:val="both"/>
        <w:rPr>
          <w:color w:val="000000"/>
        </w:rPr>
      </w:pPr>
      <w:r>
        <w:rPr>
          <w:color w:val="000000"/>
        </w:rPr>
        <w:t>financiar las actividades del órgano de normalización nacional eslovaco y pagar las cuotas asociadas a su pertenencia a organizaciones de normalización europeas y órganos de normalización internacionales;</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supervisar el cumplimiento de la presente Ley;</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encargarse de los delitos y otras infracciones administrativas e imponer multas de conformidad con los artículos 16 y 17;</w:t>
      </w:r>
    </w:p>
    <w:p w:rsidR="00E16F77" w:rsidRPr="00D06F2A" w:rsidRDefault="00E16F77" w:rsidP="003E6A72">
      <w:pPr>
        <w:widowControl/>
        <w:numPr>
          <w:ilvl w:val="0"/>
          <w:numId w:val="2"/>
        </w:numPr>
        <w:shd w:val="clear" w:color="auto" w:fill="FFFFFF"/>
        <w:tabs>
          <w:tab w:val="left" w:pos="567"/>
        </w:tabs>
        <w:spacing w:before="120"/>
        <w:ind w:left="567" w:hanging="283"/>
        <w:rPr>
          <w:color w:val="000000"/>
        </w:rPr>
      </w:pPr>
      <w:r>
        <w:rPr>
          <w:color w:val="000000"/>
        </w:rPr>
        <w:t>actuar en calidad de órgano de normalización nacional eslovaco</w:t>
      </w:r>
      <w:r>
        <w:rPr>
          <w:color w:val="000000"/>
          <w:vertAlign w:val="superscript"/>
        </w:rPr>
        <w:t>11)</w:t>
      </w:r>
      <w:r>
        <w:rPr>
          <w:color w:val="000000"/>
        </w:rPr>
        <w:t>.</w:t>
      </w:r>
    </w:p>
    <w:p w:rsidR="00B3535A" w:rsidRPr="00D06F2A" w:rsidRDefault="00B3535A" w:rsidP="003E6A72">
      <w:pPr>
        <w:pStyle w:val="ListParagraph"/>
        <w:keepNext/>
        <w:keepLines/>
        <w:widowControl/>
        <w:numPr>
          <w:ilvl w:val="0"/>
          <w:numId w:val="16"/>
        </w:numPr>
        <w:shd w:val="clear" w:color="auto" w:fill="FFFFFF"/>
        <w:spacing w:before="120" w:after="120"/>
        <w:ind w:left="284" w:hanging="284"/>
        <w:contextualSpacing w:val="0"/>
        <w:jc w:val="both"/>
        <w:rPr>
          <w:color w:val="000000"/>
        </w:rPr>
      </w:pPr>
      <w:r>
        <w:rPr>
          <w:color w:val="000000"/>
        </w:rPr>
        <w:t>La Oficina, en calidad de órgano de normalización nacional eslovaco, deberá:</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cumplir las obligaciones que se deriven de su pertenencia a organizaciones de normalización europeas y órganos de normalización internacionales;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facilitar la participación en el desarrollo y la cancelación de normas europeas, productos de normalización europeos</w:t>
      </w:r>
      <w:r>
        <w:rPr>
          <w:color w:val="000000"/>
          <w:vertAlign w:val="superscript"/>
        </w:rPr>
        <w:t>12)</w:t>
      </w:r>
      <w:r>
        <w:rPr>
          <w:color w:val="000000"/>
        </w:rPr>
        <w:t>, normas internacionales y otra información de normalización técnica de cualquier persona que cumpla los requisitos y las normas de la organización de normalización europea y el órgano de normalización internacional o los requisitos de la Oficina, en calidad de órgano de normalización nacional eslovaco, publicados en el sitio web de la Oficina, en calidad de órgano de normalización nacional eslovaco:</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publicando en su sitio web un anuncio del proyecto de norma europea, proyecto de producto de normalización europea, proyecto de norma internacional y proyecto de otra información de normalización técnica para consulta pública a más tardar un mes antes del plazo especificado en el anuncio;</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garantizando la consulta pública del proyecto de norma europea, proyecto de producto de normalización europea, proyecto de norma internacional y proyecto de otra información de normalización técnica con cualquier parte que solicite la participación en la consulta pública antes del plazo especificado en el anuncio publicado en el sitio web de la Oficina;</w:t>
      </w:r>
    </w:p>
    <w:p w:rsidR="00E16F77" w:rsidRPr="00D06F2A" w:rsidRDefault="00E16F77" w:rsidP="003E6A72">
      <w:pPr>
        <w:widowControl/>
        <w:numPr>
          <w:ilvl w:val="0"/>
          <w:numId w:val="3"/>
        </w:numPr>
        <w:shd w:val="clear" w:color="auto" w:fill="FFFFFF"/>
        <w:tabs>
          <w:tab w:val="left" w:pos="851"/>
        </w:tabs>
        <w:spacing w:before="120"/>
        <w:ind w:left="851" w:hanging="284"/>
        <w:jc w:val="both"/>
        <w:rPr>
          <w:color w:val="000000"/>
        </w:rPr>
      </w:pPr>
      <w:r>
        <w:rPr>
          <w:color w:val="000000"/>
        </w:rPr>
        <w:t>notificando en su sitio web todas las normas europeas, productos de normalización europeos, normas internacionales y otra información de normalización técnica que se hayan emitido;</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publicar en su sitio web los criterios para el desarrollo de las normas técnicas eslovacas y la información de normalización técnica en el idioma oficial una vez hayan sido aprobados por el Consejo de normalización técnica (en adelante, el «Consejo») establecido de conformidad con el apartado 5;</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garantizar que las normas técnicas eslovacas y la información de normalización técnica se elaboran y cancelan de acuerdo con las normas establecidas por organizaciones de normalización europeas u órganos de normalización internacionales, o de acuerdo con normas establecidas por la Oficina, en calidad de órgano de normalización nacional eslovaco; </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marcar las normas técnicas eslovacas, las normas técnicas previas eslovacas y la información de normalización técnica de conformidad con el artículo 3, apartado 11;</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verificar, en colaboración con las partes interesadas</w:t>
      </w:r>
      <w:r>
        <w:rPr>
          <w:color w:val="000000"/>
          <w:vertAlign w:val="superscript"/>
        </w:rPr>
        <w:t>13)</w:t>
      </w:r>
      <w:r>
        <w:rPr>
          <w:color w:val="000000"/>
        </w:rPr>
        <w:t>, si el contenido de las normas técnicas eslovacas originales y la información de normalización técnica original está a la altura de la ciencia y la tecnología de última generación;</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notificar a las organizaciones de normalización europeas del propósito de adoptar nuevas normas técnicas eslovacas originales;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facilitar, de conformidad con el apartado 15, normas técnicas eslovacas y sus correcciones, información de normalización técnica y sus correcciones, y otras normas técnicas y sus modificaciones y correcciones;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cobrar tasas por la provisión de normas técnicas eslovacas, información de normalización técnica y otras normas técnicas y sus modificaciones;</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lastRenderedPageBreak/>
        <w:t>publicar en su sitio web todos los meses una lista de normas técnicas eslovacas e información de normalización técnica y sus correcciones aceptadas como parte del sistema de normas técnicas eslovacas, pero que no se considerarán una publicación en el sentido del artículo 10, apartado 2;</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proteger las normas técnicas eslovacas, la información de normalización técnica y otras normas técnicas y sus modificaciones de conformidad con la presente Ley;</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ofrecer orientación metodológica y dirigir la elaboración y provisión de normas técnicas eslovacas y sus correcciones, información de normalización técnica y sus correcciones, y otras normas técnicas y sus modificaciones y correcciones. Esta orientación metodológica estará publicada en el sitio web de la Oficina;</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ofrecer en su sitio web un portal abierto al público con las normas técnicas eslovacas y la información de normalización técnica y sus correcciones (en adelante, el «portal»);</w:t>
      </w:r>
    </w:p>
    <w:p w:rsidR="00E16F77" w:rsidRPr="00D06F2A" w:rsidRDefault="00E16F77" w:rsidP="003E6A72">
      <w:pPr>
        <w:widowControl/>
        <w:numPr>
          <w:ilvl w:val="0"/>
          <w:numId w:val="20"/>
        </w:numPr>
        <w:shd w:val="clear" w:color="auto" w:fill="FFFFFF"/>
        <w:tabs>
          <w:tab w:val="left" w:pos="567"/>
        </w:tabs>
        <w:spacing w:before="120"/>
        <w:ind w:left="567" w:hanging="283"/>
        <w:jc w:val="both"/>
        <w:rPr>
          <w:color w:val="000000"/>
        </w:rPr>
      </w:pPr>
      <w:r>
        <w:rPr>
          <w:color w:val="000000"/>
        </w:rPr>
        <w:t xml:space="preserve">responsabilizarse de </w:t>
      </w:r>
      <w:proofErr w:type="gramStart"/>
      <w:r>
        <w:rPr>
          <w:color w:val="000000"/>
        </w:rPr>
        <w:t>la exactitud lingüística y terminológica de las normas técnicas eslovacas y de la información de normalización técnica aprobadas</w:t>
      </w:r>
      <w:proofErr w:type="gramEnd"/>
      <w:r>
        <w:rPr>
          <w:color w:val="000000"/>
        </w:rPr>
        <w:t xml:space="preserve"> en el idioma oficial.</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5</w:t>
      </w:r>
    </w:p>
    <w:p w:rsidR="00E16F77" w:rsidRPr="008015BE" w:rsidRDefault="00E16F77" w:rsidP="00BB519B">
      <w:pPr>
        <w:keepNext/>
        <w:keepLines/>
        <w:widowControl/>
        <w:shd w:val="clear" w:color="auto" w:fill="FFFFFF"/>
        <w:jc w:val="center"/>
        <w:rPr>
          <w:b/>
          <w:bCs/>
          <w:color w:val="000000"/>
        </w:rPr>
      </w:pPr>
      <w:r>
        <w:rPr>
          <w:b/>
          <w:color w:val="000000"/>
        </w:rPr>
        <w:t>El Consejo</w:t>
      </w:r>
    </w:p>
    <w:p w:rsidR="00E16F77" w:rsidRPr="00D06F2A" w:rsidRDefault="00E16F77" w:rsidP="00E24ED9">
      <w:pPr>
        <w:pStyle w:val="ListParagraph"/>
        <w:keepNext/>
        <w:keepLines/>
        <w:widowControl/>
        <w:numPr>
          <w:ilvl w:val="0"/>
          <w:numId w:val="32"/>
        </w:numPr>
        <w:shd w:val="clear" w:color="auto" w:fill="FFFFFF"/>
        <w:spacing w:before="120" w:after="120"/>
        <w:ind w:left="284"/>
        <w:contextualSpacing w:val="0"/>
        <w:jc w:val="both"/>
        <w:rPr>
          <w:color w:val="000000"/>
        </w:rPr>
      </w:pPr>
      <w:r>
        <w:rPr>
          <w:color w:val="000000"/>
        </w:rPr>
        <w:t>El Consejo, como órgano experto y consultivo del presidente de la Oficina, se encargará de:</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garantizar la independencia de la Oficina, en calidad de órgano de normalización nacional eslovaco;</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supervisar las actividades de la Oficina, en calidad de órgano de normalización nacional eslovaco, al realizar las tareas mencionadas en el artículo 4, apartado 2, letra a);</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evaluar los aspectos conceptuales relacionados con la normalización técnica a nivel nacional, europeo e internacional;</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presentar al presidente de la Oficina recomendaciones estratégicas en relación con el concepto de política pública sobre normalización técnica en la República Eslovaca con respecto a los requisitos actuales de la normalización nacional, europea e internacional y los requisitos de la economía nacional;</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evaluar si la Oficina, en calidad de órgano de normalización nacional eslovaco, cumple los criterios de pertenencia a organizaciones de normalización europeas;</w:t>
      </w:r>
    </w:p>
    <w:p w:rsidR="00E16F77" w:rsidRPr="00D06F2A" w:rsidRDefault="00E16F77" w:rsidP="003E6A72">
      <w:pPr>
        <w:widowControl/>
        <w:numPr>
          <w:ilvl w:val="0"/>
          <w:numId w:val="4"/>
        </w:numPr>
        <w:shd w:val="clear" w:color="auto" w:fill="FFFFFF"/>
        <w:tabs>
          <w:tab w:val="left" w:pos="567"/>
        </w:tabs>
        <w:spacing w:before="120"/>
        <w:ind w:left="567" w:hanging="283"/>
        <w:rPr>
          <w:color w:val="000000"/>
        </w:rPr>
      </w:pPr>
      <w:r>
        <w:rPr>
          <w:color w:val="000000"/>
        </w:rPr>
        <w:t>aprobar los criterios para la elaboración de normas técnicas eslovacas en el idioma oficial;</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evaluar, con carácter regular, las actividades de la Oficina, en calidad de órgano de normalización nacional, así como el cumplimiento de la lista mensual de tareas de normalización (en adelante, «plan de normalización técnica»);</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supervisar los procedimientos de la Oficina, en calidad de órgano de normalización nacional eslovaco, relacionados con las actividades del comité técnico;</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formular su opinión sobre el estatuto y las normas del reglamento interno del comité técnico;</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formular su opinión sobre las peticiones del público o de las autoridades públicas en relación con el desarrollo y la inclusión de proyectos de normas técnicas eslovacas originales en el plan de normalización técnica;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aprobar el estatuto y las normas del reglamento interno del Consejo; </w:t>
      </w:r>
    </w:p>
    <w:p w:rsidR="00E16F77" w:rsidRPr="00D06F2A" w:rsidRDefault="00E16F77" w:rsidP="003E6A72">
      <w:pPr>
        <w:widowControl/>
        <w:numPr>
          <w:ilvl w:val="0"/>
          <w:numId w:val="4"/>
        </w:numPr>
        <w:shd w:val="clear" w:color="auto" w:fill="FFFFFF"/>
        <w:tabs>
          <w:tab w:val="left" w:pos="567"/>
        </w:tabs>
        <w:spacing w:before="120"/>
        <w:ind w:left="567" w:hanging="283"/>
        <w:jc w:val="both"/>
        <w:rPr>
          <w:color w:val="000000"/>
        </w:rPr>
      </w:pPr>
      <w:r>
        <w:rPr>
          <w:color w:val="000000"/>
        </w:rPr>
        <w:t xml:space="preserve">desempeñar otras funciones establecidas en el estatuto del Consejo. </w:t>
      </w:r>
    </w:p>
    <w:p w:rsidR="00E16F77" w:rsidRPr="00D06F2A" w:rsidRDefault="00E16F77" w:rsidP="00E24ED9">
      <w:pPr>
        <w:pStyle w:val="ListParagraph"/>
        <w:widowControl/>
        <w:numPr>
          <w:ilvl w:val="0"/>
          <w:numId w:val="32"/>
        </w:numPr>
        <w:shd w:val="clear" w:color="auto" w:fill="FFFFFF"/>
        <w:spacing w:before="120" w:after="120"/>
        <w:ind w:left="284" w:hanging="284"/>
        <w:contextualSpacing w:val="0"/>
        <w:jc w:val="both"/>
        <w:rPr>
          <w:color w:val="000000"/>
        </w:rPr>
      </w:pPr>
      <w:r>
        <w:rPr>
          <w:color w:val="000000"/>
        </w:rPr>
        <w:t>El Consejo tendrá un máximo de 15 miembros. Los miembros del Consejo serán representantes de las partes interesadas y representantes de las autoridades públicas. El número de representantes de las autoridades públicas en el Consejo no podrá ser superior a un tercio del número total de miembros del Consejo.</w:t>
      </w:r>
    </w:p>
    <w:p w:rsidR="00D0380A" w:rsidRPr="00D06F2A" w:rsidRDefault="00E16F77" w:rsidP="00E24ED9">
      <w:pPr>
        <w:pStyle w:val="ListParagraph"/>
        <w:widowControl/>
        <w:numPr>
          <w:ilvl w:val="0"/>
          <w:numId w:val="32"/>
        </w:numPr>
        <w:shd w:val="clear" w:color="auto" w:fill="FFFFFF"/>
        <w:spacing w:before="120" w:after="120"/>
        <w:ind w:left="284" w:hanging="284"/>
        <w:contextualSpacing w:val="0"/>
        <w:jc w:val="both"/>
        <w:rPr>
          <w:color w:val="000000"/>
        </w:rPr>
      </w:pPr>
      <w:r>
        <w:rPr>
          <w:color w:val="000000"/>
        </w:rPr>
        <w:t>El presidente de la Oficina se encargará de nombrar y destituir a los miembros del Consejo.</w:t>
      </w:r>
    </w:p>
    <w:p w:rsidR="00E16F77" w:rsidRPr="00D06F2A" w:rsidRDefault="00E16F77" w:rsidP="00E24ED9">
      <w:pPr>
        <w:pStyle w:val="ListParagraph"/>
        <w:widowControl/>
        <w:numPr>
          <w:ilvl w:val="0"/>
          <w:numId w:val="32"/>
        </w:numPr>
        <w:shd w:val="clear" w:color="auto" w:fill="FFFFFF"/>
        <w:spacing w:before="120" w:after="120"/>
        <w:ind w:left="284" w:hanging="284"/>
        <w:contextualSpacing w:val="0"/>
        <w:jc w:val="both"/>
        <w:rPr>
          <w:color w:val="000000"/>
        </w:rPr>
      </w:pPr>
      <w:r>
        <w:rPr>
          <w:color w:val="000000"/>
        </w:rPr>
        <w:t>Las posiciones de los miembros del Consejo serán honoríficas y no sustituibles.</w:t>
      </w:r>
    </w:p>
    <w:p w:rsidR="00E16F77" w:rsidRPr="00D06F2A" w:rsidRDefault="00E16F77" w:rsidP="00E24ED9">
      <w:pPr>
        <w:pStyle w:val="ListParagraph"/>
        <w:widowControl/>
        <w:numPr>
          <w:ilvl w:val="0"/>
          <w:numId w:val="32"/>
        </w:numPr>
        <w:shd w:val="clear" w:color="auto" w:fill="FFFFFF"/>
        <w:spacing w:before="120" w:after="120"/>
        <w:ind w:left="284" w:hanging="284"/>
        <w:contextualSpacing w:val="0"/>
        <w:jc w:val="both"/>
        <w:rPr>
          <w:color w:val="000000"/>
        </w:rPr>
      </w:pPr>
      <w:r>
        <w:rPr>
          <w:color w:val="000000"/>
        </w:rPr>
        <w:t>La composición, las funciones, el marco organizativo y el método procedimental del Consejo se establecerán en su estatuto y reglamento interno, que expedirá la Oficina.</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Artículo 6</w:t>
      </w:r>
    </w:p>
    <w:p w:rsidR="00E16F77" w:rsidRPr="008015BE" w:rsidRDefault="00E16F77" w:rsidP="00BB519B">
      <w:pPr>
        <w:keepNext/>
        <w:keepLines/>
        <w:widowControl/>
        <w:shd w:val="clear" w:color="auto" w:fill="FFFFFF"/>
        <w:jc w:val="center"/>
        <w:rPr>
          <w:b/>
          <w:bCs/>
          <w:color w:val="000000"/>
        </w:rPr>
      </w:pPr>
      <w:r>
        <w:rPr>
          <w:b/>
          <w:color w:val="000000"/>
        </w:rPr>
        <w:t>Comité técnico</w:t>
      </w:r>
    </w:p>
    <w:p w:rsidR="00E16F77" w:rsidRPr="00D06F2A" w:rsidRDefault="00E16F77" w:rsidP="00B3535A">
      <w:pPr>
        <w:widowControl/>
        <w:shd w:val="clear" w:color="auto" w:fill="FFFFFF"/>
        <w:spacing w:before="120"/>
        <w:jc w:val="both"/>
        <w:rPr>
          <w:color w:val="000000"/>
        </w:rPr>
      </w:pPr>
      <w:r>
        <w:rPr>
          <w:color w:val="000000"/>
        </w:rPr>
        <w:t>El comité técnico será un órgano consultivo de la Oficina, en calidad de órgano de normalización nacional eslovaco, y participará en la elaboración de normas técnicas eslovacas y de información de normalización técnica, en el procedimiento consultivo mencionado en el artículo 9, apartado 2, letra b), y el artículo 9, apartado 3, letra c), así como en otras actividades relacionadas con la normalización técnica. La composición, las funciones, el marco organizativo y el método procedimental del comité técnico se establecerán en su estatuto y reglamento interno, que expedirá la Oficina, en calidad de órgano de normalización nacional eslovaco.</w:t>
      </w:r>
    </w:p>
    <w:p w:rsidR="00E16F77" w:rsidRPr="008015BE" w:rsidRDefault="00E16F77" w:rsidP="00BB519B">
      <w:pPr>
        <w:keepNext/>
        <w:keepLines/>
        <w:widowControl/>
        <w:shd w:val="clear" w:color="auto" w:fill="FFFFFF"/>
        <w:spacing w:before="360"/>
        <w:jc w:val="center"/>
        <w:rPr>
          <w:b/>
          <w:bCs/>
          <w:color w:val="000000"/>
        </w:rPr>
      </w:pPr>
      <w:r>
        <w:rPr>
          <w:b/>
          <w:color w:val="000000"/>
        </w:rPr>
        <w:t>Elaboración de normas técnicas eslovacas y de información de normalización técnica</w:t>
      </w:r>
    </w:p>
    <w:p w:rsidR="00E16F77" w:rsidRPr="008015BE" w:rsidRDefault="00E16F77" w:rsidP="00BB519B">
      <w:pPr>
        <w:keepNext/>
        <w:keepLines/>
        <w:widowControl/>
        <w:shd w:val="clear" w:color="auto" w:fill="FFFFFF"/>
        <w:jc w:val="center"/>
        <w:rPr>
          <w:b/>
          <w:bCs/>
          <w:color w:val="000000"/>
        </w:rPr>
      </w:pPr>
      <w:r>
        <w:rPr>
          <w:b/>
          <w:color w:val="000000"/>
        </w:rPr>
        <w:t>Artículo 7</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En el ejercicio de las actividades mencionadas en el artículo 4, apartado 2, letra d), la Oficina, en calidad de órgano de normalización nacional eslovaco, colaborará con el comité técnico y las partes interesadas, incluidas las pequeñas</w:t>
      </w:r>
      <w:r>
        <w:rPr>
          <w:color w:val="000000"/>
          <w:vertAlign w:val="superscript"/>
        </w:rPr>
        <w:t>14)</w:t>
      </w:r>
      <w:r>
        <w:rPr>
          <w:color w:val="000000"/>
        </w:rPr>
        <w:t xml:space="preserve"> y medianas</w:t>
      </w:r>
      <w:r>
        <w:rPr>
          <w:color w:val="000000"/>
          <w:vertAlign w:val="superscript"/>
        </w:rPr>
        <w:t>15)</w:t>
      </w:r>
      <w:r>
        <w:rPr>
          <w:color w:val="000000"/>
        </w:rPr>
        <w:t xml:space="preserve"> empresas, la autoridad pública y la persona jurídica o física responsable de la realización de la función de normalización (en adelante, el «autor») sobre la base de un acuerdo firmado con la Oficina, en calidad de órgano de normalización nacional eslovaco.</w:t>
      </w:r>
    </w:p>
    <w:p w:rsidR="00E16F77" w:rsidRPr="00D06F2A" w:rsidRDefault="00E16F77" w:rsidP="003E6A72">
      <w:pPr>
        <w:pStyle w:val="ListParagraph"/>
        <w:widowControl/>
        <w:numPr>
          <w:ilvl w:val="0"/>
          <w:numId w:val="17"/>
        </w:numPr>
        <w:shd w:val="clear" w:color="auto" w:fill="FFFFFF"/>
        <w:tabs>
          <w:tab w:val="left" w:pos="284"/>
        </w:tabs>
        <w:spacing w:before="120"/>
        <w:ind w:left="284" w:hanging="284"/>
        <w:contextualSpacing w:val="0"/>
        <w:jc w:val="both"/>
        <w:rPr>
          <w:color w:val="000000"/>
        </w:rPr>
      </w:pPr>
      <w:r>
        <w:rPr>
          <w:color w:val="000000"/>
        </w:rPr>
        <w:t>En la elaboración de normas técnicas eslovacas y de información de normalización técnica, el autor y la Oficina, en calidad de órgano de normalización nacional eslovaco, procederán de conformidad con los artículos 8 a 10, las normas de las organizaciones de normalización europeas, las normas del órgano de normalización internacional y las orientaciones metodológicas de la Oficina, en calidad de órgano de normalización nacional eslovaco, publicadas en el sitio web de la Oficina, como órgano de normalización nacional eslovaco.</w:t>
      </w:r>
    </w:p>
    <w:p w:rsidR="00E16F77" w:rsidRPr="00D06F2A" w:rsidRDefault="00E16F77" w:rsidP="003E6A72">
      <w:pPr>
        <w:pStyle w:val="ListParagraph"/>
        <w:keepNext/>
        <w:keepLines/>
        <w:widowControl/>
        <w:numPr>
          <w:ilvl w:val="0"/>
          <w:numId w:val="17"/>
        </w:numPr>
        <w:shd w:val="clear" w:color="auto" w:fill="FFFFFF"/>
        <w:tabs>
          <w:tab w:val="left" w:pos="284"/>
        </w:tabs>
        <w:spacing w:before="120"/>
        <w:ind w:left="284" w:hanging="284"/>
        <w:contextualSpacing w:val="0"/>
        <w:jc w:val="both"/>
        <w:rPr>
          <w:color w:val="000000"/>
        </w:rPr>
      </w:pPr>
      <w:r>
        <w:rPr>
          <w:color w:val="000000"/>
        </w:rPr>
        <w:t>La elaboración de normas técnicas eslovacas y de información de normalización técnica incluirá:</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la elaboración de un plan de normalización técnica;</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la elaboración de normas técnicas eslovacas o de información de normalización técnica;</w:t>
      </w:r>
    </w:p>
    <w:p w:rsidR="00E16F77" w:rsidRPr="00D06F2A" w:rsidRDefault="00E16F77" w:rsidP="003E6A72">
      <w:pPr>
        <w:widowControl/>
        <w:numPr>
          <w:ilvl w:val="0"/>
          <w:numId w:val="5"/>
        </w:numPr>
        <w:shd w:val="clear" w:color="auto" w:fill="FFFFFF"/>
        <w:tabs>
          <w:tab w:val="left" w:pos="567"/>
        </w:tabs>
        <w:spacing w:before="120"/>
        <w:ind w:left="567" w:hanging="283"/>
        <w:rPr>
          <w:color w:val="000000"/>
        </w:rPr>
      </w:pPr>
      <w:r>
        <w:rPr>
          <w:color w:val="000000"/>
        </w:rPr>
        <w:t>la adopción y notificación de normas técnicas eslovacas o de información de normalización técnica.</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8</w:t>
      </w:r>
    </w:p>
    <w:p w:rsidR="00E16F77" w:rsidRPr="008015BE" w:rsidRDefault="00E16F77" w:rsidP="00BB519B">
      <w:pPr>
        <w:keepNext/>
        <w:keepLines/>
        <w:widowControl/>
        <w:shd w:val="clear" w:color="auto" w:fill="FFFFFF"/>
        <w:jc w:val="center"/>
        <w:rPr>
          <w:b/>
          <w:bCs/>
          <w:color w:val="000000"/>
        </w:rPr>
      </w:pPr>
      <w:r>
        <w:rPr>
          <w:b/>
          <w:color w:val="000000"/>
        </w:rPr>
        <w:t>Elaboración de un plan de normalización técnica</w:t>
      </w:r>
    </w:p>
    <w:p w:rsidR="00D0380A"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La Oficina, en calidad de órgano de normalización nacional eslovaco, elaborará el plan de normalización técnica y lo publicará en su sitio web a más tardar el décimo día del mes natural siguiente al mes en que se elaboró el plan de normalización técnica.</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Para normas europeas, productos de normalización europeos, normas internacionales y otra información de normalización técnica, la Oficina, en calidad de órgano de normalización nacional eslovaco, especificará en el plan de normalización técnica el modo en que estas se aceptarán como parte del sistema de normas técnicas eslovacas, lo que podrá implicar la transposición:</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mediante traducción al idioma oficial;</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sin traducción al idioma oficial; o</w:t>
      </w:r>
    </w:p>
    <w:p w:rsidR="00E16F77" w:rsidRPr="00D06F2A" w:rsidRDefault="00E16F77" w:rsidP="003E6A72">
      <w:pPr>
        <w:widowControl/>
        <w:numPr>
          <w:ilvl w:val="0"/>
          <w:numId w:val="6"/>
        </w:numPr>
        <w:shd w:val="clear" w:color="auto" w:fill="FFFFFF"/>
        <w:tabs>
          <w:tab w:val="left" w:pos="567"/>
        </w:tabs>
        <w:spacing w:before="120"/>
        <w:ind w:left="567" w:hanging="283"/>
        <w:rPr>
          <w:color w:val="000000"/>
        </w:rPr>
      </w:pPr>
      <w:r>
        <w:rPr>
          <w:color w:val="000000"/>
        </w:rPr>
        <w:t>sin traducción al idioma oficial, pero con anotaciones en el idioma oficial.</w:t>
      </w:r>
    </w:p>
    <w:p w:rsidR="00E16F77" w:rsidRPr="00D06F2A" w:rsidRDefault="00E16F77" w:rsidP="003E6A72">
      <w:pPr>
        <w:pStyle w:val="ListParagraph"/>
        <w:widowControl/>
        <w:numPr>
          <w:ilvl w:val="0"/>
          <w:numId w:val="18"/>
        </w:numPr>
        <w:shd w:val="clear" w:color="auto" w:fill="FFFFFF"/>
        <w:spacing w:before="120"/>
        <w:ind w:left="284" w:hanging="284"/>
        <w:contextualSpacing w:val="0"/>
        <w:jc w:val="both"/>
        <w:rPr>
          <w:color w:val="000000"/>
        </w:rPr>
      </w:pPr>
      <w:r>
        <w:rPr>
          <w:color w:val="000000"/>
        </w:rPr>
        <w:t>La Oficina, en calidad de órgano de normalización nacional eslovaco, indicará en el plan de normalización técnica la intención de redactar una norma técnica eslovaca original o la información de normalización técnica original que ha decidido elaborar y aceptar como parte del sistema de normas técnicas eslovacas.</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9</w:t>
      </w:r>
    </w:p>
    <w:p w:rsidR="00E16F77" w:rsidRPr="008015BE" w:rsidRDefault="00E16F77" w:rsidP="00BB519B">
      <w:pPr>
        <w:keepNext/>
        <w:keepLines/>
        <w:widowControl/>
        <w:shd w:val="clear" w:color="auto" w:fill="FFFFFF"/>
        <w:jc w:val="center"/>
        <w:rPr>
          <w:b/>
          <w:bCs/>
          <w:color w:val="000000"/>
        </w:rPr>
      </w:pPr>
      <w:r>
        <w:rPr>
          <w:b/>
          <w:color w:val="000000"/>
        </w:rPr>
        <w:t xml:space="preserve">Elaboración de normas técnicas eslovacas e información de normalización técnica </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 xml:space="preserve">Al elaborar normas técnicas eslovacas originales o información de normalización técnica original, o al elaborar normas técnicas eslovacas o información de normalización técnica de la forma especificada en el artículo 8, apartado 2, letras a) o c), la Oficina, en calidad de órgano de normalización nacional eslovaco, seleccionará al autor de conformidad con la legislación </w:t>
      </w:r>
      <w:r>
        <w:rPr>
          <w:color w:val="000000"/>
        </w:rPr>
        <w:lastRenderedPageBreak/>
        <w:t>especial</w:t>
      </w:r>
      <w:r>
        <w:rPr>
          <w:color w:val="000000"/>
          <w:vertAlign w:val="superscript"/>
        </w:rPr>
        <w:t>16)</w:t>
      </w:r>
      <w:r>
        <w:rPr>
          <w:color w:val="000000"/>
        </w:rPr>
        <w:t>. Este procedimiento no será aplicable si la Oficina no cubre los costes de la elaboración de la norma técnica eslovaca o de la información de normalización técnica.</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Al elaborar una norma técnica eslovaca original o información de normalización técnica original, el autor o la Oficina, en calidad de órgano de normalización nacional eslovaco, deberá:</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preparar el proyecto de norma técnica eslovaca original o información de normalización técnica original;</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presentar el proyecto de norma técnica eslovaca original o el proyecto de información de normalización técnica original para la formulación de observaciones a los miembros del comité técnico o miembros del grupo de trabajo creado para tales fines;</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modificar el proyecto de norma técnica eslovaca original o información de normalización técnica original con arreglo a los comentarios realizados por el comité técnico o el grupo de trabajo creado para tales fines. La Oficina, en calidad de órgano de normalización nacional eslovaco, presentará entonces el proyecto modificado para consulta pública publicando un anuncio de este en su sitio web en el plazo de 15 días tras la recepción del proyecto de norma técnica eslovaca original o del proyecto de información de normalización técnica original. Si este fue redactado por la Oficina, en calidad de órgano de normalización nacional eslovaco, la Oficina presentará el proyecto de norma técnica eslovaca original o información de normalización técnica original para consulta pública publicando un anuncio de este en su sitio web sin demora, a más tardar 15 días después de la finalización del proyecto; y</w:t>
      </w:r>
    </w:p>
    <w:p w:rsidR="00E16F77" w:rsidRPr="00D06F2A" w:rsidRDefault="00E16F77" w:rsidP="003E6A72">
      <w:pPr>
        <w:widowControl/>
        <w:numPr>
          <w:ilvl w:val="0"/>
          <w:numId w:val="7"/>
        </w:numPr>
        <w:shd w:val="clear" w:color="auto" w:fill="FFFFFF"/>
        <w:tabs>
          <w:tab w:val="left" w:pos="567"/>
        </w:tabs>
        <w:spacing w:before="120"/>
        <w:ind w:left="567" w:hanging="283"/>
        <w:jc w:val="both"/>
        <w:rPr>
          <w:color w:val="000000"/>
        </w:rPr>
      </w:pPr>
      <w:r>
        <w:rPr>
          <w:color w:val="000000"/>
        </w:rPr>
        <w:t>modificar el proyecto de norma técnica eslovaca original o proyecto de información de normalización técnica original con arreglo a los comentarios surgidos a raíz de la consulta pública.</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Al elaborar normas técnicas eslovacas o información de normalización técnica en la forma especificada en el artículo 8, apartado 2, letras a) o c), el autor o la Oficina, en calidad de órgano de normalización nacional eslovaco, deberá:</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preparar el proyecto de norma técnica eslovaca o información de normalización técnica;</w:t>
      </w:r>
    </w:p>
    <w:p w:rsidR="00D0380A"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presentar el proyecto preparado de norma técnica eslovaca o información de normalización técnica para la formulación de comentarios a los miembros del comité técnico y a cualquier persona que solicite participar en las consultas en el plazo especificado en el plan de normalización técnica publicado en el sitio web de la Oficina, en calidad de órgano de normalización nacional eslovaco;</w:t>
      </w:r>
    </w:p>
    <w:p w:rsidR="00E16F77" w:rsidRPr="00D06F2A" w:rsidRDefault="00E16F77" w:rsidP="003E6A72">
      <w:pPr>
        <w:widowControl/>
        <w:numPr>
          <w:ilvl w:val="0"/>
          <w:numId w:val="19"/>
        </w:numPr>
        <w:shd w:val="clear" w:color="auto" w:fill="FFFFFF"/>
        <w:tabs>
          <w:tab w:val="left" w:pos="567"/>
        </w:tabs>
        <w:spacing w:before="120"/>
        <w:ind w:left="567" w:hanging="283"/>
        <w:jc w:val="both"/>
        <w:rPr>
          <w:color w:val="000000"/>
        </w:rPr>
      </w:pPr>
      <w:r>
        <w:rPr>
          <w:color w:val="000000"/>
        </w:rPr>
        <w:t>modificar el proyecto de norma técnica eslovaca o proyecto de información de normalización técnica con arreglo a los comentarios formulados por el comité técnico o las personas que solicitaron participar en las consultas.</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Al elaborar normas técnicas eslovacas o información de normalización técnica de la forma especificada en el artículo 8, apartado 2, letra b), la Oficina, en calidad de órgano de normalización nacional eslovaco, redactará el título de la norma técnica eslovaca o de la información de normalización técnica en el idioma oficial.</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Al elaborar una norma técnica eslovaca o información de normalización técnica, el autor o la Oficina, en calidad de órgano de normalización nacional eslovaco, garantizará que el proyecto de norma técnica eslovaca y el proyecto de información de normalización técnica cumplen las normas técnicas eslovacas y documentos informativos de normas técnicas que se han adoptado y notificado, así como que el proyecto de norma técnica eslovaca y el proyecto de información de normalización técnica cumplen las reglamentaciones técnicas de aplicación general y los actos jurídicos vinculantes de la Unión Europea.</w:t>
      </w:r>
    </w:p>
    <w:p w:rsidR="00E16F77" w:rsidRPr="00D06F2A" w:rsidRDefault="00E16F77" w:rsidP="003E6A72">
      <w:pPr>
        <w:pStyle w:val="ListParagraph"/>
        <w:widowControl/>
        <w:numPr>
          <w:ilvl w:val="0"/>
          <w:numId w:val="22"/>
        </w:numPr>
        <w:shd w:val="clear" w:color="auto" w:fill="FFFFFF"/>
        <w:spacing w:before="120"/>
        <w:ind w:left="284" w:hanging="284"/>
        <w:contextualSpacing w:val="0"/>
        <w:jc w:val="both"/>
        <w:rPr>
          <w:color w:val="000000"/>
        </w:rPr>
      </w:pPr>
      <w:r>
        <w:rPr>
          <w:color w:val="000000"/>
        </w:rPr>
        <w:t>Tras la realización de los pasos mencionados en los apartados 2, 3 o 4, la Oficina, en calidad de órgano de normalización nacional eslovaco, garantizará la revisión lingüística y terminológica del proyecto.</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10</w:t>
      </w:r>
    </w:p>
    <w:p w:rsidR="00E16F77" w:rsidRPr="008015BE" w:rsidRDefault="00E16F77" w:rsidP="00BB519B">
      <w:pPr>
        <w:keepNext/>
        <w:keepLines/>
        <w:widowControl/>
        <w:shd w:val="clear" w:color="auto" w:fill="FFFFFF"/>
        <w:jc w:val="center"/>
        <w:rPr>
          <w:b/>
          <w:bCs/>
          <w:color w:val="000000"/>
        </w:rPr>
      </w:pPr>
      <w:r>
        <w:rPr>
          <w:b/>
          <w:color w:val="000000"/>
        </w:rPr>
        <w:t xml:space="preserve">Adopción y notificación de la adopción de normas técnicas eslovacas e información de normalización técnica </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 xml:space="preserve">Una vez completado el proyecto de norma técnica eslovaca o el proyecto de información de normalización técnica de conformidad con el artículo 9, la Oficina, en calidad de órgano de </w:t>
      </w:r>
      <w:r>
        <w:rPr>
          <w:color w:val="000000"/>
        </w:rPr>
        <w:lastRenderedPageBreak/>
        <w:t>normalización nacional eslovaco, aceptará la norma técnica eslovaca o la información de normalización técnica como parte del sistema de normas técnicas eslovacas.</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La Oficina notificará la adopción de una norma técnica eslovaca o de información de normalización técnica en el Boletín Oficial, o en casos justificados, en su sitio web.</w:t>
      </w:r>
    </w:p>
    <w:p w:rsidR="00E16F77" w:rsidRPr="00D06F2A" w:rsidRDefault="00E16F77" w:rsidP="003E6A72">
      <w:pPr>
        <w:pStyle w:val="ListParagraph"/>
        <w:widowControl/>
        <w:numPr>
          <w:ilvl w:val="0"/>
          <w:numId w:val="23"/>
        </w:numPr>
        <w:shd w:val="clear" w:color="auto" w:fill="FFFFFF"/>
        <w:spacing w:before="120"/>
        <w:ind w:left="284" w:hanging="284"/>
        <w:contextualSpacing w:val="0"/>
        <w:jc w:val="both"/>
        <w:rPr>
          <w:color w:val="000000"/>
        </w:rPr>
      </w:pPr>
      <w:r>
        <w:rPr>
          <w:color w:val="000000"/>
        </w:rPr>
        <w:t>Las normas técnicas eslovacas o información de normalización técnica entrarán en vigor el primer día del mes natural siguiente al mes en que se notificaron en el Boletín Oficial, o si se notificaron en el sitio web de la Oficina, el día de la notificación en dicho sitio web.</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11</w:t>
      </w:r>
    </w:p>
    <w:p w:rsidR="00E16F77" w:rsidRPr="008015BE" w:rsidRDefault="00E16F77" w:rsidP="00BB519B">
      <w:pPr>
        <w:keepNext/>
        <w:keepLines/>
        <w:widowControl/>
        <w:shd w:val="clear" w:color="auto" w:fill="FFFFFF"/>
        <w:jc w:val="center"/>
        <w:rPr>
          <w:b/>
          <w:bCs/>
          <w:color w:val="000000"/>
        </w:rPr>
      </w:pPr>
      <w:r>
        <w:rPr>
          <w:b/>
          <w:color w:val="000000"/>
        </w:rPr>
        <w:t xml:space="preserve">Modificaciones de las normas técnicas eslovacas y corrección y cancelación de normas técnicas eslovacas y de información de normalización técnica </w:t>
      </w:r>
    </w:p>
    <w:p w:rsidR="00E16F77" w:rsidRPr="00D06F2A" w:rsidRDefault="00E16F77" w:rsidP="00B3535A">
      <w:pPr>
        <w:widowControl/>
        <w:shd w:val="clear" w:color="auto" w:fill="FFFFFF"/>
        <w:spacing w:before="120"/>
        <w:jc w:val="both"/>
        <w:rPr>
          <w:color w:val="000000"/>
        </w:rPr>
      </w:pPr>
      <w:r>
        <w:rPr>
          <w:color w:val="000000"/>
        </w:rPr>
        <w:t xml:space="preserve">Al modificar, corregir o cancelar normas técnicas eslovacas o información de normalización técnica, la Oficina, en calidad de órgano de normalización nacional eslovaco, procederá </w:t>
      </w:r>
      <w:r>
        <w:rPr>
          <w:i/>
          <w:color w:val="000000"/>
        </w:rPr>
        <w:t>mutatis mutandis</w:t>
      </w:r>
      <w:r>
        <w:rPr>
          <w:color w:val="000000"/>
        </w:rPr>
        <w:t xml:space="preserve"> de conformidad con los artículos 8 a 10.</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12</w:t>
      </w:r>
    </w:p>
    <w:p w:rsidR="00E16F77" w:rsidRPr="008015BE" w:rsidRDefault="00E16F77" w:rsidP="00BB519B">
      <w:pPr>
        <w:keepNext/>
        <w:keepLines/>
        <w:widowControl/>
        <w:shd w:val="clear" w:color="auto" w:fill="FFFFFF"/>
        <w:jc w:val="center"/>
        <w:rPr>
          <w:b/>
          <w:bCs/>
          <w:color w:val="000000"/>
        </w:rPr>
      </w:pPr>
      <w:r>
        <w:rPr>
          <w:b/>
          <w:color w:val="000000"/>
        </w:rPr>
        <w:t xml:space="preserve">Gastos asociados al desarrollo de normas técnicas eslovacas y de información de normalización técnica </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Los gastos asociados al desarrollo en el idioma oficial y a la corrección de normas técnicas eslovacas y de información de normalización técnica que cumplan los criterios adoptados y publicados de conformidad con el artículo 4, apartado 2, letra c), correrán a cargo de la Oficina. De lo contrario, los gastos que conlleva la elaboración de normas técnicas eslovacas y de información de normalización técnica en el idioma oficial correrán a cargo de la parte que solicitó su elaboración.</w:t>
      </w:r>
    </w:p>
    <w:p w:rsidR="00E16F77" w:rsidRPr="00D06F2A" w:rsidRDefault="00E16F77" w:rsidP="003E6A72">
      <w:pPr>
        <w:pStyle w:val="ListParagraph"/>
        <w:widowControl/>
        <w:numPr>
          <w:ilvl w:val="0"/>
          <w:numId w:val="24"/>
        </w:numPr>
        <w:shd w:val="clear" w:color="auto" w:fill="FFFFFF"/>
        <w:spacing w:before="120"/>
        <w:ind w:left="284" w:hanging="284"/>
        <w:contextualSpacing w:val="0"/>
        <w:jc w:val="both"/>
        <w:rPr>
          <w:color w:val="000000"/>
        </w:rPr>
      </w:pPr>
      <w:r>
        <w:rPr>
          <w:color w:val="000000"/>
        </w:rPr>
        <w:t>Los gastos asociados a la redacción en el idioma oficial de normas técnicas eslovacas directamente mencionadas en el texto de un acto de aplicación general y los gastos asociados a la provisión de normas técnicas eslovacas directamente mencionadas en el texto de un acto de aplicación general correrán a cargo de la autoridad gubernamental responsable de presentar el proyecto del acto de aplicación general en el que la norma técnica eslovaca aparece mencionada directamente.</w:t>
      </w:r>
    </w:p>
    <w:p w:rsidR="00B3535A" w:rsidRPr="00D06F2A" w:rsidRDefault="00E16F77" w:rsidP="00BB519B">
      <w:pPr>
        <w:keepNext/>
        <w:keepLines/>
        <w:widowControl/>
        <w:shd w:val="clear" w:color="auto" w:fill="FFFFFF"/>
        <w:spacing w:before="360"/>
        <w:jc w:val="center"/>
        <w:rPr>
          <w:b/>
          <w:bCs/>
          <w:color w:val="000000"/>
        </w:rPr>
      </w:pPr>
      <w:r>
        <w:rPr>
          <w:b/>
          <w:color w:val="000000"/>
        </w:rPr>
        <w:t>Artículo 13</w:t>
      </w:r>
    </w:p>
    <w:p w:rsidR="00E16F77" w:rsidRPr="008015BE" w:rsidRDefault="00E16F77" w:rsidP="00BB519B">
      <w:pPr>
        <w:keepNext/>
        <w:keepLines/>
        <w:widowControl/>
        <w:shd w:val="clear" w:color="auto" w:fill="FFFFFF"/>
        <w:jc w:val="center"/>
        <w:rPr>
          <w:b/>
          <w:bCs/>
          <w:color w:val="000000"/>
        </w:rPr>
      </w:pPr>
      <w:r>
        <w:rPr>
          <w:b/>
          <w:color w:val="000000"/>
        </w:rPr>
        <w:t>Normas técnicas armonizadas y normas técnicas eslovacas adecuadas para la evaluación de la conformidad</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El cumplimiento de una norma técnica armonizada</w:t>
      </w:r>
      <w:r>
        <w:rPr>
          <w:color w:val="000000"/>
          <w:vertAlign w:val="superscript"/>
        </w:rPr>
        <w:t>17)</w:t>
      </w:r>
      <w:r>
        <w:rPr>
          <w:color w:val="000000"/>
        </w:rPr>
        <w:t xml:space="preserve"> o de una norma técnica eslovaca adecuada para la evaluación de conformidad o parte de esta se considerará equivalente al cumplimiento de los requisitos técnicos establecidos por la reglamentación técnica a la que se aplica la norma técnica armonizada o norma técnica eslovaca adecuada para la evaluación de la conformidad o parte de esta.</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En caso de que no exista una norma técnica armonizada, la Oficina, tras consulta con el Ministerio pertinente o con otra autoridad gubernamental central, declarará la norma técnica eslovaca como adecuada para la evaluación de la conformidad. La Oficina notificará en el Boletín Oficial la declaración de la norma técnica eslovaca como adecuada para la evaluación de la conformidad. En la notificación, la Oficina indicará el título de la reglamentación técnica a la que se aplica la norma técnica eslovaca adecuada para la evaluación de la conformidad.</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La Oficina formulará objeciones a las normas técnicas armonizadas mencionadas en la legislación especial</w:t>
      </w:r>
      <w:r>
        <w:rPr>
          <w:color w:val="000000"/>
          <w:vertAlign w:val="superscript"/>
        </w:rPr>
        <w:t>18)</w:t>
      </w:r>
      <w:r>
        <w:rPr>
          <w:color w:val="000000"/>
        </w:rPr>
        <w:t xml:space="preserve"> a iniciativa del Ministerio pertinente, de otras autoridades gubernamentales centrales o de la autoridad de supervisión.</w:t>
      </w:r>
    </w:p>
    <w:p w:rsidR="00E16F77" w:rsidRPr="00D06F2A" w:rsidRDefault="00E16F77" w:rsidP="003E6A72">
      <w:pPr>
        <w:pStyle w:val="ListParagraph"/>
        <w:widowControl/>
        <w:numPr>
          <w:ilvl w:val="0"/>
          <w:numId w:val="26"/>
        </w:numPr>
        <w:shd w:val="clear" w:color="auto" w:fill="FFFFFF"/>
        <w:spacing w:before="120"/>
        <w:ind w:left="284" w:hanging="284"/>
        <w:contextualSpacing w:val="0"/>
        <w:jc w:val="both"/>
        <w:rPr>
          <w:color w:val="000000"/>
        </w:rPr>
      </w:pPr>
      <w:r>
        <w:rPr>
          <w:color w:val="000000"/>
        </w:rPr>
        <w:t>El Ministerio pertinente u otra autoridad gubernamental central presentará propuestas para derogar la declaración de una norma técnica eslovaca como adecuada para la evaluación de la conformidad a la Oficina, que notificará en el Boletín Oficial la derogación de la declaración de la norma técnica eslovaca como adecuada para la evaluación de la conformidad.</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Artículo 14</w:t>
      </w:r>
    </w:p>
    <w:p w:rsidR="00E16F77" w:rsidRPr="008015BE" w:rsidRDefault="00E16F77" w:rsidP="00BB519B">
      <w:pPr>
        <w:keepNext/>
        <w:keepLines/>
        <w:widowControl/>
        <w:shd w:val="clear" w:color="auto" w:fill="FFFFFF"/>
        <w:jc w:val="center"/>
        <w:rPr>
          <w:b/>
          <w:bCs/>
          <w:color w:val="000000"/>
        </w:rPr>
      </w:pPr>
      <w:r>
        <w:rPr>
          <w:b/>
          <w:color w:val="000000"/>
        </w:rPr>
        <w:t xml:space="preserve">Medios de protección de normas técnicas eslovacas y de información de normalización técnica </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El nombre «norma técnica eslovaca» y el símbolo «STN», el nombre «norma técnica previa eslovaca» y el símbolo «STN P», y el nombre «documento informativo de normas técnicas» y el símbolo «TNI» no podrán usarse para identificar otros documentos.</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La oficina, en calidad de órgano de normalización nacional eslovaco, tendrá derecho a una compensación por los pagos recibidos por la provisión de una norma técnica eslovaca, de una norma técnica previa eslovaca o de información de normalización técnica, o por cualquier reproducción de una norma técnica eslovaca, de una norma técnica eslovaca preliminar o de información de normalización técnica por parte de la persona que haya reproducido la norma técnica eslovaca, la norma técnica previa eslovaca o la información de normalización técnica sin permiso de la oficina, en calidad de órgano de normalización nacional eslovaco.</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Por distribución no autorizada de normas técnicas eslovacas o de información de normalización técnica se entiende la provisión de una norma técnica eslovaca o de información de normalización técnica o partes de estos, así como la oferta de la provisión de estos, con independencia de los medios y la forma, sin el permiso de la Oficina, en calidad de órgano de normalización nacional eslovaco.</w:t>
      </w:r>
    </w:p>
    <w:p w:rsidR="00E16F77" w:rsidRPr="00D06F2A" w:rsidRDefault="00E16F77" w:rsidP="003E6A72">
      <w:pPr>
        <w:pStyle w:val="ListParagraph"/>
        <w:keepNext/>
        <w:keepLines/>
        <w:widowControl/>
        <w:numPr>
          <w:ilvl w:val="0"/>
          <w:numId w:val="25"/>
        </w:numPr>
        <w:shd w:val="clear" w:color="auto" w:fill="FFFFFF"/>
        <w:spacing w:before="120"/>
        <w:ind w:left="284" w:hanging="284"/>
        <w:contextualSpacing w:val="0"/>
        <w:jc w:val="both"/>
        <w:rPr>
          <w:color w:val="000000"/>
        </w:rPr>
      </w:pPr>
      <w:r>
        <w:rPr>
          <w:color w:val="000000"/>
        </w:rPr>
        <w:t>Las siguientes actividades no se considerarán reproducción o distribución no autorizada de normas técnicas eslovacas o de información de normalización técnica:</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referencia a un fragmento de una norma técnica eslovaca o de información de normalización técnica, si la Oficina, en calidad de órgano de normalización nacional eslovaco, ha concedido el permiso de citar dicho fragmento sobre la base de una solicitud;</w:t>
      </w:r>
    </w:p>
    <w:p w:rsidR="00E16F77" w:rsidRPr="00D06F2A" w:rsidRDefault="00E16F77" w:rsidP="003E6A72">
      <w:pPr>
        <w:widowControl/>
        <w:numPr>
          <w:ilvl w:val="0"/>
          <w:numId w:val="8"/>
        </w:numPr>
        <w:shd w:val="clear" w:color="auto" w:fill="FFFFFF"/>
        <w:tabs>
          <w:tab w:val="left" w:pos="283"/>
        </w:tabs>
        <w:spacing w:before="120"/>
        <w:ind w:left="567" w:hanging="283"/>
        <w:jc w:val="both"/>
        <w:rPr>
          <w:color w:val="000000"/>
        </w:rPr>
      </w:pPr>
      <w:r>
        <w:rPr>
          <w:color w:val="000000"/>
        </w:rPr>
        <w:t>información relativa a una norma técnica eslovaca e información de normalización técnica notificada en el Boletín Oficial o publicada en el sitio web de la Oficina de conformidad con el artículo 10, apartado 2.</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La Oficina, en calidad de órgano de normalización nacional eslovaco, concederá el permiso para citar un fragmento de una norma técnica eslovaca o información de normalización técnica a título oneroso y sin demora, a más tardar en el plazo de 30 días desde la recepción de la solicitud de permiso. La solicitud contendrá, en particular, los detalles identificativos del solicitante, el objetivo y el alcance de la referencia de un fragmento de una norma técnica eslovaca o información de normalización técnica, y el título de la norma técnica eslovaca o información de normalización técnica que se cita.</w:t>
      </w:r>
    </w:p>
    <w:p w:rsidR="00E16F77" w:rsidRPr="00D06F2A" w:rsidRDefault="00E16F77" w:rsidP="003E6A72">
      <w:pPr>
        <w:pStyle w:val="ListParagraph"/>
        <w:widowControl/>
        <w:numPr>
          <w:ilvl w:val="0"/>
          <w:numId w:val="25"/>
        </w:numPr>
        <w:shd w:val="clear" w:color="auto" w:fill="FFFFFF"/>
        <w:spacing w:before="120"/>
        <w:ind w:left="284" w:hanging="284"/>
        <w:contextualSpacing w:val="0"/>
        <w:jc w:val="both"/>
        <w:rPr>
          <w:color w:val="000000"/>
        </w:rPr>
      </w:pPr>
      <w:r>
        <w:rPr>
          <w:color w:val="000000"/>
        </w:rPr>
        <w:t>La Oficina, en calidad de órgano de normalización nacional eslovaco, concederá el permiso para citar un fragmento de una norma técnica eslovaca o información de normalización técnica a título gratuito y sin demora, a más tardar 10 días después de haber recibido la solicitud de permiso a efectos de:</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provisión de:</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educación y formación de conformidad con la legislación especial</w:t>
      </w:r>
      <w:r>
        <w:rPr>
          <w:color w:val="000000"/>
          <w:vertAlign w:val="superscript"/>
        </w:rPr>
        <w:t>19)</w:t>
      </w:r>
      <w:r>
        <w:rPr>
          <w:color w:val="000000"/>
        </w:rPr>
        <w:t>;</w:t>
      </w:r>
    </w:p>
    <w:p w:rsidR="00E16F77" w:rsidRPr="00D06F2A" w:rsidRDefault="00E16F77" w:rsidP="003E6A72">
      <w:pPr>
        <w:widowControl/>
        <w:numPr>
          <w:ilvl w:val="0"/>
          <w:numId w:val="9"/>
        </w:numPr>
        <w:shd w:val="clear" w:color="auto" w:fill="FFFFFF"/>
        <w:tabs>
          <w:tab w:val="left" w:pos="1134"/>
        </w:tabs>
        <w:spacing w:before="120"/>
        <w:ind w:left="1134" w:hanging="283"/>
        <w:rPr>
          <w:color w:val="000000"/>
        </w:rPr>
      </w:pPr>
      <w:r>
        <w:rPr>
          <w:color w:val="000000"/>
        </w:rPr>
        <w:t>educación como parte de un programa de estudios universitarios acreditado; o</w:t>
      </w:r>
    </w:p>
    <w:p w:rsidR="00E16F77" w:rsidRPr="00D06F2A" w:rsidRDefault="00E16F77" w:rsidP="003E6A72">
      <w:pPr>
        <w:widowControl/>
        <w:numPr>
          <w:ilvl w:val="0"/>
          <w:numId w:val="9"/>
        </w:numPr>
        <w:shd w:val="clear" w:color="auto" w:fill="FFFFFF"/>
        <w:tabs>
          <w:tab w:val="left" w:pos="1134"/>
        </w:tabs>
        <w:spacing w:before="120"/>
        <w:ind w:left="1134" w:hanging="283"/>
        <w:jc w:val="both"/>
        <w:rPr>
          <w:color w:val="000000"/>
        </w:rPr>
      </w:pPr>
      <w:r>
        <w:rPr>
          <w:color w:val="000000"/>
        </w:rPr>
        <w:t>educación continua y certificación de profesores y personal docente especializado</w:t>
      </w:r>
      <w:r>
        <w:rPr>
          <w:color w:val="000000"/>
          <w:vertAlign w:val="superscript"/>
        </w:rPr>
        <w:t>20)</w:t>
      </w:r>
      <w:r>
        <w:rPr>
          <w:color w:val="000000"/>
        </w:rPr>
        <w:t xml:space="preserve"> de naturaleza no comercial;</w:t>
      </w:r>
    </w:p>
    <w:p w:rsidR="00E16F77" w:rsidRPr="00D06F2A" w:rsidRDefault="00E16F77" w:rsidP="003E6A72">
      <w:pPr>
        <w:pStyle w:val="ListParagraph"/>
        <w:keepNext/>
        <w:keepLines/>
        <w:widowControl/>
        <w:numPr>
          <w:ilvl w:val="1"/>
          <w:numId w:val="25"/>
        </w:numPr>
        <w:shd w:val="clear" w:color="auto" w:fill="FFFFFF"/>
        <w:tabs>
          <w:tab w:val="left" w:pos="567"/>
        </w:tabs>
        <w:spacing w:before="120"/>
        <w:ind w:left="851" w:hanging="284"/>
        <w:contextualSpacing w:val="0"/>
        <w:rPr>
          <w:color w:val="000000"/>
        </w:rPr>
      </w:pPr>
      <w:r>
        <w:rPr>
          <w:color w:val="000000"/>
        </w:rPr>
        <w:t>preparación y defensa de:</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trabajos técnicos, proyectos o trabajos para concursos extensos, o exámenes de conclusión de estudios en el ámbito de la educación y la enseñanza</w:t>
      </w:r>
      <w:r>
        <w:rPr>
          <w:color w:val="000000"/>
          <w:vertAlign w:val="superscript"/>
        </w:rPr>
        <w:t>21)</w:t>
      </w:r>
      <w:r>
        <w:rPr>
          <w:color w:val="000000"/>
        </w:rPr>
        <w:t>;</w:t>
      </w:r>
    </w:p>
    <w:p w:rsidR="00E16F77" w:rsidRPr="00D06F2A" w:rsidRDefault="00E16F77" w:rsidP="003E6A72">
      <w:pPr>
        <w:widowControl/>
        <w:numPr>
          <w:ilvl w:val="0"/>
          <w:numId w:val="10"/>
        </w:numPr>
        <w:shd w:val="clear" w:color="auto" w:fill="FFFFFF"/>
        <w:tabs>
          <w:tab w:val="left" w:pos="1134"/>
        </w:tabs>
        <w:spacing w:before="120"/>
        <w:ind w:left="1134" w:hanging="283"/>
        <w:rPr>
          <w:color w:val="000000"/>
        </w:rPr>
      </w:pPr>
      <w:r>
        <w:rPr>
          <w:color w:val="000000"/>
        </w:rPr>
        <w:t>una tesis universitaria</w:t>
      </w:r>
      <w:r>
        <w:rPr>
          <w:color w:val="000000"/>
          <w:vertAlign w:val="superscript"/>
        </w:rPr>
        <w:t>22)</w:t>
      </w:r>
      <w:r>
        <w:rPr>
          <w:color w:val="000000"/>
        </w:rPr>
        <w:t>; o</w:t>
      </w:r>
    </w:p>
    <w:p w:rsidR="00E16F77" w:rsidRPr="00D06F2A" w:rsidRDefault="00E16F77" w:rsidP="003E6A72">
      <w:pPr>
        <w:widowControl/>
        <w:numPr>
          <w:ilvl w:val="0"/>
          <w:numId w:val="10"/>
        </w:numPr>
        <w:shd w:val="clear" w:color="auto" w:fill="FFFFFF"/>
        <w:tabs>
          <w:tab w:val="left" w:pos="1134"/>
        </w:tabs>
        <w:spacing w:before="120"/>
        <w:ind w:left="1134" w:hanging="283"/>
        <w:jc w:val="both"/>
        <w:rPr>
          <w:color w:val="000000"/>
        </w:rPr>
      </w:pPr>
      <w:r>
        <w:rPr>
          <w:color w:val="000000"/>
        </w:rPr>
        <w:t>un trabajo final en el contexto de la enseñanza continua de profesores y personal docente especializado de naturaleza no comercial y certificados de profesores y personal docente especializado</w:t>
      </w:r>
      <w:r>
        <w:rPr>
          <w:color w:val="000000"/>
          <w:vertAlign w:val="superscript"/>
        </w:rPr>
        <w:t>23)</w:t>
      </w:r>
      <w:r>
        <w:rPr>
          <w:color w:val="000000"/>
        </w:rPr>
        <w:t>.</w:t>
      </w:r>
    </w:p>
    <w:p w:rsidR="00B3535A" w:rsidRPr="00D06F2A" w:rsidRDefault="00E16F77" w:rsidP="00BB519B">
      <w:pPr>
        <w:keepNext/>
        <w:keepLines/>
        <w:widowControl/>
        <w:shd w:val="clear" w:color="auto" w:fill="FFFFFF"/>
        <w:spacing w:before="360"/>
        <w:jc w:val="center"/>
        <w:rPr>
          <w:b/>
          <w:bCs/>
          <w:color w:val="000000"/>
        </w:rPr>
      </w:pPr>
      <w:r>
        <w:rPr>
          <w:b/>
          <w:color w:val="000000"/>
        </w:rPr>
        <w:lastRenderedPageBreak/>
        <w:t>Artículo 15</w:t>
      </w:r>
    </w:p>
    <w:p w:rsidR="00E16F77" w:rsidRPr="008015BE" w:rsidRDefault="00E16F77" w:rsidP="00BB519B">
      <w:pPr>
        <w:keepNext/>
        <w:keepLines/>
        <w:widowControl/>
        <w:shd w:val="clear" w:color="auto" w:fill="FFFFFF"/>
        <w:jc w:val="center"/>
        <w:rPr>
          <w:b/>
          <w:bCs/>
          <w:color w:val="000000"/>
        </w:rPr>
      </w:pPr>
      <w:r>
        <w:rPr>
          <w:b/>
          <w:color w:val="000000"/>
        </w:rPr>
        <w:t>Provisión de normas técnicas eslovacas, documentos informativos de normas técnicas y otras normas técnicas y el Boletín Oficial</w:t>
      </w:r>
    </w:p>
    <w:p w:rsidR="00E16F77" w:rsidRPr="00D06F2A" w:rsidRDefault="00E16F77" w:rsidP="00C021DD">
      <w:pPr>
        <w:pStyle w:val="ListParagraph"/>
        <w:widowControl/>
        <w:numPr>
          <w:ilvl w:val="0"/>
          <w:numId w:val="33"/>
        </w:numPr>
        <w:shd w:val="clear" w:color="auto" w:fill="FFFFFF"/>
        <w:spacing w:before="120"/>
        <w:ind w:left="284"/>
        <w:contextualSpacing w:val="0"/>
        <w:jc w:val="both"/>
        <w:rPr>
          <w:color w:val="000000"/>
        </w:rPr>
      </w:pPr>
      <w:r>
        <w:rPr>
          <w:color w:val="000000"/>
        </w:rPr>
        <w:t>Las normas técnicas eslovacas, la información de normalización técnica, otras normas técnicas y sus modificaciones, y el Boletín Oficial se prestarán a título oneroso, a menos que se estipule otra cosa en el apartado 4.</w:t>
      </w:r>
    </w:p>
    <w:p w:rsidR="00E16F77" w:rsidRPr="00D06F2A" w:rsidRDefault="00E16F77" w:rsidP="00C021DD">
      <w:pPr>
        <w:pStyle w:val="ListParagraph"/>
        <w:widowControl/>
        <w:numPr>
          <w:ilvl w:val="0"/>
          <w:numId w:val="33"/>
        </w:numPr>
        <w:shd w:val="clear" w:color="auto" w:fill="FFFFFF"/>
        <w:spacing w:before="120"/>
        <w:ind w:left="284" w:hanging="284"/>
        <w:contextualSpacing w:val="0"/>
        <w:jc w:val="both"/>
        <w:rPr>
          <w:color w:val="000000"/>
        </w:rPr>
      </w:pPr>
      <w:r>
        <w:rPr>
          <w:color w:val="000000"/>
        </w:rPr>
        <w:t>Las normas técnicas eslovacas, la información de normalización técnica y sus correcciones se entregarán en papel, en formato electrónico o a través del portal. Otras normas técnicas y sus modificaciones y correcciones, y otra información de normalización técnica y su corrección se proporcionarán en papel. La Oficina, en calidad de órgano de normalización eslovaco, publicará más información sobre el portal en su sitio web.</w:t>
      </w:r>
    </w:p>
    <w:p w:rsidR="00E16F77" w:rsidRPr="00D06F2A" w:rsidRDefault="00E16F77" w:rsidP="00C021DD">
      <w:pPr>
        <w:pStyle w:val="ListParagraph"/>
        <w:widowControl/>
        <w:numPr>
          <w:ilvl w:val="0"/>
          <w:numId w:val="33"/>
        </w:numPr>
        <w:shd w:val="clear" w:color="auto" w:fill="FFFFFF"/>
        <w:spacing w:before="120"/>
        <w:ind w:left="284" w:hanging="284"/>
        <w:contextualSpacing w:val="0"/>
        <w:jc w:val="both"/>
        <w:rPr>
          <w:color w:val="000000"/>
        </w:rPr>
      </w:pPr>
      <w:r>
        <w:rPr>
          <w:color w:val="000000"/>
        </w:rPr>
        <w:t>La Oficina, en calidad de órgano de normalización nacional eslovaco, ofrecerá normas técnicas eslovacas a título gratuito de conformidad con el artículo 12, apartado 2, a través del portal a cualquiera que lo solicite, sin perjuicio de la obligación de las autoridades gubernamentales prevista en el artículo 12, apartado 2.</w:t>
      </w:r>
    </w:p>
    <w:p w:rsidR="00E16F77" w:rsidRPr="00D06F2A" w:rsidRDefault="00E16F77" w:rsidP="00C021DD">
      <w:pPr>
        <w:pStyle w:val="ListParagraph"/>
        <w:widowControl/>
        <w:numPr>
          <w:ilvl w:val="0"/>
          <w:numId w:val="33"/>
        </w:numPr>
        <w:shd w:val="clear" w:color="auto" w:fill="FFFFFF"/>
        <w:spacing w:before="120"/>
        <w:ind w:left="284" w:hanging="284"/>
        <w:contextualSpacing w:val="0"/>
        <w:jc w:val="both"/>
        <w:rPr>
          <w:color w:val="000000"/>
        </w:rPr>
      </w:pPr>
      <w:r>
        <w:rPr>
          <w:color w:val="000000"/>
        </w:rPr>
        <w:t>Los autores de normas técnicas eslovacas originales o de información de normalización técnica original tendrán derecho a una copia en papel a título gratuito de la norma técnica eslovaca original o de la información de normalización técnica original en cuya redacción participaron.</w:t>
      </w:r>
    </w:p>
    <w:p w:rsidR="00E16F77" w:rsidRPr="00D06F2A" w:rsidRDefault="00E16F77" w:rsidP="00C021DD">
      <w:pPr>
        <w:pStyle w:val="ListParagraph"/>
        <w:widowControl/>
        <w:numPr>
          <w:ilvl w:val="0"/>
          <w:numId w:val="33"/>
        </w:numPr>
        <w:shd w:val="clear" w:color="auto" w:fill="FFFFFF"/>
        <w:spacing w:before="120"/>
        <w:ind w:left="284" w:hanging="284"/>
        <w:contextualSpacing w:val="0"/>
        <w:jc w:val="both"/>
        <w:rPr>
          <w:color w:val="000000"/>
        </w:rPr>
      </w:pPr>
      <w:r>
        <w:rPr>
          <w:color w:val="000000"/>
        </w:rPr>
        <w:t>La Oficina, en calidad de órgano de normalización nacional eslovaco, ofrecerá a título gratuito las correcciones de normas técnicas eslovacas, información de normalización técnica, otras normas técnicas y otra información de normalización técnica.</w:t>
      </w:r>
    </w:p>
    <w:p w:rsidR="00E16F77" w:rsidRPr="00D06F2A" w:rsidRDefault="00E16F77" w:rsidP="00C021DD">
      <w:pPr>
        <w:pStyle w:val="ListParagraph"/>
        <w:keepNext/>
        <w:keepLines/>
        <w:widowControl/>
        <w:numPr>
          <w:ilvl w:val="0"/>
          <w:numId w:val="33"/>
        </w:numPr>
        <w:shd w:val="clear" w:color="auto" w:fill="FFFFFF"/>
        <w:spacing w:before="120"/>
        <w:ind w:left="284" w:hanging="284"/>
        <w:contextualSpacing w:val="0"/>
        <w:jc w:val="both"/>
        <w:rPr>
          <w:color w:val="000000"/>
        </w:rPr>
      </w:pPr>
      <w:r>
        <w:rPr>
          <w:color w:val="000000"/>
        </w:rPr>
        <w:t xml:space="preserve">Podrá surgir un derecho de reembolso de la tasa asociada a la provisión de normas técnicas eslovacas, información de normalización técnica y otras normas técnicas y sus modificaciones en papel, siempre que: </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falte parte del texto o alguna página; o</w:t>
      </w:r>
    </w:p>
    <w:p w:rsidR="00E16F77" w:rsidRPr="00D06F2A" w:rsidRDefault="00E16F77" w:rsidP="003E6A72">
      <w:pPr>
        <w:widowControl/>
        <w:numPr>
          <w:ilvl w:val="0"/>
          <w:numId w:val="11"/>
        </w:numPr>
        <w:shd w:val="clear" w:color="auto" w:fill="FFFFFF"/>
        <w:tabs>
          <w:tab w:val="left" w:pos="283"/>
        </w:tabs>
        <w:spacing w:before="120"/>
        <w:ind w:left="567" w:hanging="283"/>
        <w:rPr>
          <w:color w:val="000000"/>
        </w:rPr>
      </w:pPr>
      <w:r>
        <w:rPr>
          <w:color w:val="000000"/>
        </w:rPr>
        <w:t xml:space="preserve">la encuadernación esté defectuosa. </w:t>
      </w:r>
    </w:p>
    <w:p w:rsidR="00E16F77" w:rsidRPr="00D06F2A" w:rsidRDefault="00E16F77" w:rsidP="00C021DD">
      <w:pPr>
        <w:pStyle w:val="ListParagraph"/>
        <w:widowControl/>
        <w:numPr>
          <w:ilvl w:val="0"/>
          <w:numId w:val="33"/>
        </w:numPr>
        <w:shd w:val="clear" w:color="auto" w:fill="FFFFFF"/>
        <w:spacing w:before="120"/>
        <w:ind w:left="284" w:hanging="284"/>
        <w:contextualSpacing w:val="0"/>
        <w:jc w:val="both"/>
        <w:rPr>
          <w:color w:val="000000"/>
        </w:rPr>
      </w:pPr>
      <w:r>
        <w:rPr>
          <w:color w:val="000000"/>
        </w:rPr>
        <w:t>Podrá surgir un derecho de reembolso de la tasa asociada a la provisión de normas técnicas eslovacas e información de normalización técnica en formato electrónico si el soporte de almacenamiento en el que está grabada la norma técnica eslovaca o la información de normalización técnica está dañada.</w:t>
      </w:r>
    </w:p>
    <w:p w:rsidR="00E16F77" w:rsidRPr="00D06F2A" w:rsidRDefault="00E16F77" w:rsidP="00C021DD">
      <w:pPr>
        <w:pStyle w:val="ListParagraph"/>
        <w:widowControl/>
        <w:numPr>
          <w:ilvl w:val="0"/>
          <w:numId w:val="33"/>
        </w:numPr>
        <w:shd w:val="clear" w:color="auto" w:fill="FFFFFF"/>
        <w:spacing w:before="120"/>
        <w:ind w:left="284" w:hanging="284"/>
        <w:contextualSpacing w:val="0"/>
        <w:jc w:val="both"/>
        <w:rPr>
          <w:color w:val="000000"/>
        </w:rPr>
      </w:pPr>
      <w:r>
        <w:rPr>
          <w:color w:val="000000"/>
        </w:rPr>
        <w:t>El derecho de reembolso mencionado en los apartados 6 y 7 podrá reclamarse tras la recepción de la norma técnica eslovaca, de la información de normalización técnica u otras normas técnicas y sus modificaciones; en lugar de proceder al reembolso de la tasa asociada a la provisión de normas técnicas eslovacas, información de normalización técnica, u otras normas técnicas y sus modificaciones, la Oficina, en calidad de órgano de normalización nacional eslovaco, podrá entregar una copia en papel completa o no dañada de la norma técnica eslovaca, de la información de normalización técnica u otra norma técnica y sus modificaciones, o un soporte de almacenamiento no dañado en el que esté grabada en formato electrónico la norma técnica eslovaca o la información de normalización técnica.</w:t>
      </w:r>
    </w:p>
    <w:p w:rsidR="00E16F77" w:rsidRPr="008015BE" w:rsidRDefault="00E16F77" w:rsidP="00BB519B">
      <w:pPr>
        <w:keepNext/>
        <w:keepLines/>
        <w:widowControl/>
        <w:shd w:val="clear" w:color="auto" w:fill="FFFFFF"/>
        <w:spacing w:before="360"/>
        <w:jc w:val="center"/>
        <w:rPr>
          <w:b/>
          <w:bCs/>
          <w:color w:val="000000"/>
        </w:rPr>
      </w:pPr>
      <w:r>
        <w:rPr>
          <w:b/>
          <w:color w:val="000000"/>
        </w:rPr>
        <w:t>Delitos y otras infracciones administrativas</w:t>
      </w:r>
    </w:p>
    <w:p w:rsidR="00E16F77" w:rsidRPr="008015BE" w:rsidRDefault="00E16F77" w:rsidP="00BB519B">
      <w:pPr>
        <w:keepNext/>
        <w:keepLines/>
        <w:widowControl/>
        <w:shd w:val="clear" w:color="auto" w:fill="FFFFFF"/>
        <w:jc w:val="center"/>
        <w:rPr>
          <w:b/>
          <w:bCs/>
          <w:color w:val="000000"/>
        </w:rPr>
      </w:pPr>
      <w:r>
        <w:rPr>
          <w:b/>
          <w:color w:val="000000"/>
        </w:rPr>
        <w:t>Artículo 16</w:t>
      </w:r>
    </w:p>
    <w:p w:rsidR="00E16F77" w:rsidRPr="00D06F2A" w:rsidRDefault="00E16F77" w:rsidP="00C021DD">
      <w:pPr>
        <w:pStyle w:val="ListParagraph"/>
        <w:keepNext/>
        <w:keepLines/>
        <w:widowControl/>
        <w:numPr>
          <w:ilvl w:val="0"/>
          <w:numId w:val="34"/>
        </w:numPr>
        <w:shd w:val="clear" w:color="auto" w:fill="FFFFFF"/>
        <w:spacing w:before="120"/>
        <w:ind w:left="284"/>
        <w:contextualSpacing w:val="0"/>
        <w:jc w:val="both"/>
        <w:rPr>
          <w:color w:val="000000"/>
        </w:rPr>
      </w:pPr>
      <w:r>
        <w:rPr>
          <w:color w:val="000000"/>
        </w:rPr>
        <w:t>Una persona cometerá una infracción cuando:</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distribuya una norma técnica previa eslovaca o información de normalización técnica o partes de estos sin autorización;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marque un documento con el símbolo «STN P» sin autorización;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distribuya, a título gratuito, una norma técnica eslovaca o parte de esta sin autorización;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marque un documento con el símbolo «STN» sin autorización;</w:t>
      </w:r>
    </w:p>
    <w:p w:rsidR="00E16F77" w:rsidRPr="00D06F2A" w:rsidRDefault="00E16F77" w:rsidP="003E6A72">
      <w:pPr>
        <w:widowControl/>
        <w:numPr>
          <w:ilvl w:val="0"/>
          <w:numId w:val="12"/>
        </w:numPr>
        <w:shd w:val="clear" w:color="auto" w:fill="FFFFFF"/>
        <w:tabs>
          <w:tab w:val="left" w:pos="567"/>
        </w:tabs>
        <w:spacing w:before="120"/>
        <w:ind w:left="567" w:hanging="283"/>
        <w:rPr>
          <w:color w:val="000000"/>
        </w:rPr>
      </w:pPr>
      <w:r>
        <w:rPr>
          <w:color w:val="000000"/>
        </w:rPr>
        <w:t>distribuya una norma técnica eslovaca o parte de esta a título oneroso.</w:t>
      </w:r>
    </w:p>
    <w:p w:rsidR="00E16F77" w:rsidRPr="00D06F2A" w:rsidRDefault="00E16F77" w:rsidP="00C021DD">
      <w:pPr>
        <w:pStyle w:val="ListParagraph"/>
        <w:widowControl/>
        <w:numPr>
          <w:ilvl w:val="0"/>
          <w:numId w:val="34"/>
        </w:numPr>
        <w:shd w:val="clear" w:color="auto" w:fill="FFFFFF"/>
        <w:spacing w:before="120"/>
        <w:ind w:left="284" w:hanging="284"/>
        <w:contextualSpacing w:val="0"/>
        <w:jc w:val="both"/>
        <w:rPr>
          <w:color w:val="000000"/>
        </w:rPr>
      </w:pPr>
      <w:r>
        <w:rPr>
          <w:color w:val="000000"/>
        </w:rPr>
        <w:t xml:space="preserve">La Oficina impondrá una multa de entre 30 EUR y 1 500 EUR por infracciones mencionadas en el apartado 1, letras a) o b), una multa de entre 45 EUR y 3 000 EUR por la infracción mencionada </w:t>
      </w:r>
      <w:r>
        <w:rPr>
          <w:color w:val="000000"/>
        </w:rPr>
        <w:lastRenderedPageBreak/>
        <w:t>en el apartado 1, letra c), y una multa de entre 175 EUR y 10 000 EUR por las infracciones mencionadas en el apartado 1, letras d) o e).</w:t>
      </w:r>
    </w:p>
    <w:p w:rsidR="00E16F77" w:rsidRPr="00D06F2A" w:rsidRDefault="00E16F77" w:rsidP="00C021DD">
      <w:pPr>
        <w:pStyle w:val="ListParagraph"/>
        <w:widowControl/>
        <w:numPr>
          <w:ilvl w:val="0"/>
          <w:numId w:val="34"/>
        </w:numPr>
        <w:shd w:val="clear" w:color="auto" w:fill="FFFFFF"/>
        <w:spacing w:before="120"/>
        <w:ind w:left="284" w:hanging="284"/>
        <w:contextualSpacing w:val="0"/>
        <w:jc w:val="both"/>
        <w:rPr>
          <w:color w:val="000000"/>
        </w:rPr>
      </w:pPr>
      <w:r>
        <w:rPr>
          <w:color w:val="000000"/>
        </w:rPr>
        <w:t>Las infracciones y los procedimientos relacionados estarán sujetos a la legislación general en materia de infracciones</w:t>
      </w:r>
      <w:r>
        <w:rPr>
          <w:color w:val="000000"/>
          <w:vertAlign w:val="superscript"/>
        </w:rPr>
        <w:t>24)</w:t>
      </w:r>
      <w:r>
        <w:rPr>
          <w:color w:val="000000"/>
        </w:rPr>
        <w:t>.</w:t>
      </w:r>
    </w:p>
    <w:p w:rsidR="00E16F77" w:rsidRPr="00E35FA4" w:rsidRDefault="00E16F77" w:rsidP="00BB519B">
      <w:pPr>
        <w:keepNext/>
        <w:keepLines/>
        <w:widowControl/>
        <w:shd w:val="clear" w:color="auto" w:fill="FFFFFF"/>
        <w:spacing w:before="360"/>
        <w:jc w:val="center"/>
        <w:rPr>
          <w:b/>
          <w:bCs/>
          <w:color w:val="000000"/>
        </w:rPr>
      </w:pPr>
      <w:r>
        <w:rPr>
          <w:b/>
          <w:color w:val="000000"/>
        </w:rPr>
        <w:t>Artículo 17</w:t>
      </w:r>
    </w:p>
    <w:p w:rsidR="00E16F77" w:rsidRPr="00D06F2A" w:rsidRDefault="00E16F77" w:rsidP="00C021DD">
      <w:pPr>
        <w:pStyle w:val="ListParagraph"/>
        <w:widowControl/>
        <w:numPr>
          <w:ilvl w:val="0"/>
          <w:numId w:val="35"/>
        </w:numPr>
        <w:shd w:val="clear" w:color="auto" w:fill="FFFFFF"/>
        <w:spacing w:before="120"/>
        <w:ind w:left="284"/>
        <w:contextualSpacing w:val="0"/>
        <w:jc w:val="both"/>
        <w:rPr>
          <w:color w:val="000000"/>
        </w:rPr>
      </w:pPr>
      <w:r>
        <w:rPr>
          <w:color w:val="000000"/>
        </w:rPr>
        <w:t>La Oficina impondrá una multa de entre 30 EUR y 500 EUR al comerciante individual o a la persona jurídica que distribuya una norma técnica previa eslovaca o información de normalización técnica o partes de estas sin autorización, o a quien marque sin autorización un documento con el símbolo «STN P».</w:t>
      </w:r>
    </w:p>
    <w:p w:rsidR="00E16F77" w:rsidRPr="00D06F2A" w:rsidRDefault="00E16F77" w:rsidP="00C021DD">
      <w:pPr>
        <w:pStyle w:val="ListParagraph"/>
        <w:widowControl/>
        <w:numPr>
          <w:ilvl w:val="0"/>
          <w:numId w:val="35"/>
        </w:numPr>
        <w:shd w:val="clear" w:color="auto" w:fill="FFFFFF"/>
        <w:spacing w:before="120"/>
        <w:ind w:left="284" w:hanging="284"/>
        <w:contextualSpacing w:val="0"/>
        <w:jc w:val="both"/>
        <w:rPr>
          <w:color w:val="000000"/>
        </w:rPr>
      </w:pPr>
      <w:r>
        <w:rPr>
          <w:color w:val="000000"/>
        </w:rPr>
        <w:t>La Oficina impondrá una multa de entre 50 y 5 000 EUR al comerciante individual o a la persona jurídica que distribuya a título gratuito una norma técnica eslovaca o parte de esta sin autorización.</w:t>
      </w:r>
    </w:p>
    <w:p w:rsidR="00E16F77" w:rsidRPr="00D06F2A" w:rsidRDefault="00E16F77" w:rsidP="00C021DD">
      <w:pPr>
        <w:pStyle w:val="ListParagraph"/>
        <w:keepNext/>
        <w:keepLines/>
        <w:widowControl/>
        <w:numPr>
          <w:ilvl w:val="0"/>
          <w:numId w:val="35"/>
        </w:numPr>
        <w:shd w:val="clear" w:color="auto" w:fill="FFFFFF"/>
        <w:spacing w:before="120"/>
        <w:ind w:left="284" w:hanging="284"/>
        <w:contextualSpacing w:val="0"/>
        <w:jc w:val="both"/>
        <w:rPr>
          <w:color w:val="000000"/>
        </w:rPr>
      </w:pPr>
      <w:r>
        <w:rPr>
          <w:color w:val="000000"/>
        </w:rPr>
        <w:t>La Oficina impondrá una multa de entre 350 y 35 000 EUR al comerciante individual o a la persona jurídica que, sin tener autorización:</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marque un documento con el símbolo «STN»; o</w:t>
      </w:r>
    </w:p>
    <w:p w:rsidR="00E16F77" w:rsidRPr="00D06F2A" w:rsidRDefault="00E16F77" w:rsidP="003E6A72">
      <w:pPr>
        <w:widowControl/>
        <w:numPr>
          <w:ilvl w:val="0"/>
          <w:numId w:val="13"/>
        </w:numPr>
        <w:shd w:val="clear" w:color="auto" w:fill="FFFFFF"/>
        <w:tabs>
          <w:tab w:val="left" w:pos="567"/>
        </w:tabs>
        <w:spacing w:before="120"/>
        <w:ind w:left="567" w:hanging="283"/>
        <w:rPr>
          <w:color w:val="000000"/>
        </w:rPr>
      </w:pPr>
      <w:r>
        <w:rPr>
          <w:color w:val="000000"/>
        </w:rPr>
        <w:t>distribuya una norma técnica eslovaca o parte de esta a título oneroso.</w:t>
      </w:r>
    </w:p>
    <w:p w:rsidR="00E16F77" w:rsidRPr="00E35FA4" w:rsidRDefault="00E16F77" w:rsidP="00BB519B">
      <w:pPr>
        <w:keepNext/>
        <w:keepLines/>
        <w:widowControl/>
        <w:shd w:val="clear" w:color="auto" w:fill="FFFFFF"/>
        <w:spacing w:before="360"/>
        <w:jc w:val="center"/>
        <w:rPr>
          <w:b/>
          <w:bCs/>
          <w:color w:val="000000"/>
        </w:rPr>
      </w:pPr>
      <w:r>
        <w:rPr>
          <w:b/>
          <w:color w:val="000000"/>
        </w:rPr>
        <w:t>Artículo 18</w:t>
      </w:r>
    </w:p>
    <w:p w:rsidR="000D1A6C" w:rsidRPr="00D06F2A" w:rsidRDefault="00E16F77" w:rsidP="00C021DD">
      <w:pPr>
        <w:pStyle w:val="ListParagraph"/>
        <w:widowControl/>
        <w:numPr>
          <w:ilvl w:val="0"/>
          <w:numId w:val="36"/>
        </w:numPr>
        <w:shd w:val="clear" w:color="auto" w:fill="FFFFFF"/>
        <w:spacing w:before="120"/>
        <w:ind w:left="284"/>
        <w:contextualSpacing w:val="0"/>
        <w:jc w:val="both"/>
        <w:rPr>
          <w:color w:val="000000"/>
        </w:rPr>
      </w:pPr>
      <w:r>
        <w:rPr>
          <w:color w:val="000000"/>
        </w:rPr>
        <w:t>Los procedimientos para la imposición de multas se iniciarán en el plazo de tres años desde el día en que tuvo lugar el acto ilícito.</w:t>
      </w:r>
    </w:p>
    <w:p w:rsidR="00E16F77" w:rsidRPr="00D06F2A" w:rsidRDefault="00E16F77" w:rsidP="00C021DD">
      <w:pPr>
        <w:pStyle w:val="ListParagraph"/>
        <w:widowControl/>
        <w:numPr>
          <w:ilvl w:val="0"/>
          <w:numId w:val="36"/>
        </w:numPr>
        <w:shd w:val="clear" w:color="auto" w:fill="FFFFFF"/>
        <w:spacing w:before="120"/>
        <w:ind w:left="284" w:hanging="284"/>
        <w:contextualSpacing w:val="0"/>
        <w:jc w:val="both"/>
        <w:rPr>
          <w:color w:val="000000"/>
        </w:rPr>
      </w:pPr>
      <w:r>
        <w:rPr>
          <w:color w:val="000000"/>
        </w:rPr>
        <w:t>Al imponer una multa deberán considerarse la gravedad, la forma, la duración y las consecuencias del acto ilícito.</w:t>
      </w:r>
    </w:p>
    <w:p w:rsidR="00E16F77" w:rsidRPr="00D06F2A" w:rsidRDefault="00E16F77" w:rsidP="00C021DD">
      <w:pPr>
        <w:pStyle w:val="ListParagraph"/>
        <w:widowControl/>
        <w:numPr>
          <w:ilvl w:val="0"/>
          <w:numId w:val="36"/>
        </w:numPr>
        <w:shd w:val="clear" w:color="auto" w:fill="FFFFFF"/>
        <w:spacing w:before="120"/>
        <w:ind w:left="284" w:hanging="284"/>
        <w:contextualSpacing w:val="0"/>
        <w:jc w:val="both"/>
        <w:rPr>
          <w:color w:val="000000"/>
        </w:rPr>
      </w:pPr>
      <w:r>
        <w:rPr>
          <w:color w:val="000000"/>
        </w:rPr>
        <w:t>Las multas irán para el erario público.</w:t>
      </w:r>
    </w:p>
    <w:p w:rsidR="00E16F77" w:rsidRPr="00D06F2A" w:rsidRDefault="00E16F77" w:rsidP="00C021DD">
      <w:pPr>
        <w:pStyle w:val="ListParagraph"/>
        <w:widowControl/>
        <w:numPr>
          <w:ilvl w:val="0"/>
          <w:numId w:val="36"/>
        </w:numPr>
        <w:shd w:val="clear" w:color="auto" w:fill="FFFFFF"/>
        <w:spacing w:before="120"/>
        <w:ind w:left="284" w:hanging="284"/>
        <w:contextualSpacing w:val="0"/>
        <w:jc w:val="both"/>
        <w:rPr>
          <w:color w:val="000000"/>
        </w:rPr>
      </w:pPr>
      <w:r>
        <w:rPr>
          <w:color w:val="000000"/>
        </w:rPr>
        <w:t>Si el acto ilícito vuelve a producirse en el plazo de un año a partir del día en que la decisión de imposición de la multa sea definitiva, la Oficina impondrá una multa de hasta dos veces la cantidad de la multa impuesta.</w:t>
      </w:r>
    </w:p>
    <w:p w:rsidR="00BB519B" w:rsidRPr="00D06F2A" w:rsidRDefault="00E16F77" w:rsidP="00BB519B">
      <w:pPr>
        <w:keepNext/>
        <w:keepLines/>
        <w:widowControl/>
        <w:shd w:val="clear" w:color="auto" w:fill="FFFFFF"/>
        <w:spacing w:before="360"/>
        <w:jc w:val="center"/>
        <w:rPr>
          <w:b/>
          <w:bCs/>
          <w:color w:val="000000"/>
        </w:rPr>
      </w:pPr>
      <w:r>
        <w:rPr>
          <w:b/>
          <w:color w:val="000000"/>
        </w:rPr>
        <w:t>Artículo 19</w:t>
      </w:r>
    </w:p>
    <w:p w:rsidR="00E16F77" w:rsidRPr="008015BE" w:rsidRDefault="00E16F77" w:rsidP="00BB519B">
      <w:pPr>
        <w:keepNext/>
        <w:keepLines/>
        <w:widowControl/>
        <w:shd w:val="clear" w:color="auto" w:fill="FFFFFF"/>
        <w:jc w:val="center"/>
        <w:rPr>
          <w:b/>
          <w:bCs/>
          <w:color w:val="000000"/>
        </w:rPr>
      </w:pPr>
      <w:r>
        <w:rPr>
          <w:b/>
          <w:color w:val="000000"/>
        </w:rPr>
        <w:t>Disposiciones de autorización</w:t>
      </w:r>
    </w:p>
    <w:p w:rsidR="00E16F77" w:rsidRPr="00D06F2A" w:rsidRDefault="00E16F77" w:rsidP="00D65D8D">
      <w:pPr>
        <w:keepNext/>
        <w:keepLines/>
        <w:widowControl/>
        <w:shd w:val="clear" w:color="auto" w:fill="FFFFFF"/>
        <w:spacing w:before="120"/>
        <w:rPr>
          <w:color w:val="000000"/>
        </w:rPr>
      </w:pPr>
      <w:r>
        <w:rPr>
          <w:color w:val="000000"/>
        </w:rPr>
        <w:t>La Oficina promulgará leyes de aplicación general en las cuales establecerá:</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el importe de la tasa de usuario por la provisión de normas técnicas eslovacas, la información de normalización técnica, otras normas técnicas y sus modificaciones, y el Boletín Oficial, así como por la concesión de permisos para citar fragmentos de normas técnicas eslovacas o información de normalización técnica;</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el importe de la tasa de usuario por actividades relacionadas con la provisión de normas técnicas eslovacas, información de normalización técnica y otras normas técnicas y sus modificaciones;</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el pago mínimo y el importe de la tasa de usuario por la provisión del servicio en línea STN a través del portal;</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la forma en que deben suministrarse las normas técnicas eslovacas, la información de normalización técnica y otras normas técnicas y sus modificaciones;</w:t>
      </w:r>
    </w:p>
    <w:p w:rsidR="00E16F77" w:rsidRPr="00D06F2A" w:rsidRDefault="00E16F77" w:rsidP="003E6A72">
      <w:pPr>
        <w:widowControl/>
        <w:numPr>
          <w:ilvl w:val="0"/>
          <w:numId w:val="14"/>
        </w:numPr>
        <w:shd w:val="clear" w:color="auto" w:fill="FFFFFF"/>
        <w:tabs>
          <w:tab w:val="left" w:pos="567"/>
        </w:tabs>
        <w:spacing w:before="120"/>
        <w:ind w:left="567" w:hanging="283"/>
        <w:jc w:val="both"/>
        <w:rPr>
          <w:color w:val="000000"/>
        </w:rPr>
      </w:pPr>
      <w:r>
        <w:rPr>
          <w:color w:val="000000"/>
        </w:rPr>
        <w:t>los detalles para la concesión del permiso para citar fragmentos de normas técnicas eslovacas o información de normalización técnica, el formulario de solicitud de obtención del permiso para citar fragmentos de normas técnicas eslovacas o información de normalización técnica y el formulario de permiso para citar fragmentos de normas técnicas eslovacas o información de normalización técnica;</w:t>
      </w:r>
    </w:p>
    <w:p w:rsidR="00E16F77" w:rsidRPr="00D06F2A" w:rsidRDefault="00E16F77" w:rsidP="003E6A72">
      <w:pPr>
        <w:widowControl/>
        <w:numPr>
          <w:ilvl w:val="0"/>
          <w:numId w:val="14"/>
        </w:numPr>
        <w:shd w:val="clear" w:color="auto" w:fill="FFFFFF"/>
        <w:tabs>
          <w:tab w:val="left" w:pos="567"/>
        </w:tabs>
        <w:spacing w:before="120"/>
        <w:ind w:left="567" w:hanging="283"/>
        <w:rPr>
          <w:color w:val="000000"/>
        </w:rPr>
      </w:pPr>
      <w:r>
        <w:rPr>
          <w:color w:val="000000"/>
        </w:rPr>
        <w:t>descuentos de las tasas mencionadas en las letras a) y b).</w:t>
      </w:r>
    </w:p>
    <w:p w:rsidR="00BB519B" w:rsidRPr="00D06F2A" w:rsidRDefault="00E16F77" w:rsidP="00BB519B">
      <w:pPr>
        <w:keepNext/>
        <w:keepLines/>
        <w:widowControl/>
        <w:shd w:val="clear" w:color="auto" w:fill="FFFFFF"/>
        <w:spacing w:before="360"/>
        <w:jc w:val="center"/>
        <w:rPr>
          <w:b/>
          <w:bCs/>
          <w:color w:val="000000"/>
        </w:rPr>
      </w:pPr>
      <w:r>
        <w:rPr>
          <w:b/>
          <w:color w:val="000000"/>
        </w:rPr>
        <w:lastRenderedPageBreak/>
        <w:t>Artículo 20</w:t>
      </w:r>
    </w:p>
    <w:p w:rsidR="00E16F77" w:rsidRPr="008015BE" w:rsidRDefault="00E16F77" w:rsidP="00BB519B">
      <w:pPr>
        <w:keepNext/>
        <w:keepLines/>
        <w:widowControl/>
        <w:shd w:val="clear" w:color="auto" w:fill="FFFFFF"/>
        <w:jc w:val="center"/>
        <w:rPr>
          <w:b/>
          <w:bCs/>
          <w:color w:val="000000"/>
        </w:rPr>
      </w:pPr>
      <w:r>
        <w:rPr>
          <w:b/>
          <w:color w:val="000000"/>
        </w:rPr>
        <w:t>Disposiciones transitorias</w:t>
      </w:r>
    </w:p>
    <w:p w:rsidR="00E16F77" w:rsidRPr="00D06F2A" w:rsidRDefault="00E16F77" w:rsidP="00C021DD">
      <w:pPr>
        <w:pStyle w:val="ListParagraph"/>
        <w:widowControl/>
        <w:numPr>
          <w:ilvl w:val="0"/>
          <w:numId w:val="37"/>
        </w:numPr>
        <w:shd w:val="clear" w:color="auto" w:fill="FFFFFF"/>
        <w:spacing w:before="120"/>
        <w:ind w:left="284"/>
        <w:contextualSpacing w:val="0"/>
        <w:jc w:val="both"/>
        <w:rPr>
          <w:color w:val="000000"/>
        </w:rPr>
      </w:pPr>
      <w:r>
        <w:rPr>
          <w:color w:val="000000"/>
        </w:rPr>
        <w:t>Los procedimientos iniciados antes del 1 de abril de 2018 se completarán con arreglo a la legislación vigente hasta el 31 de marzo de 2018.</w:t>
      </w:r>
    </w:p>
    <w:p w:rsidR="00E16F77" w:rsidRPr="00D06F2A" w:rsidRDefault="00E16F77" w:rsidP="00C021DD">
      <w:pPr>
        <w:pStyle w:val="ListParagraph"/>
        <w:widowControl/>
        <w:numPr>
          <w:ilvl w:val="0"/>
          <w:numId w:val="37"/>
        </w:numPr>
        <w:shd w:val="clear" w:color="auto" w:fill="FFFFFF"/>
        <w:spacing w:before="120"/>
        <w:ind w:left="284" w:hanging="284"/>
        <w:contextualSpacing w:val="0"/>
        <w:jc w:val="both"/>
        <w:rPr>
          <w:color w:val="000000"/>
        </w:rPr>
      </w:pPr>
      <w:r>
        <w:rPr>
          <w:color w:val="000000"/>
        </w:rPr>
        <w:t>A más tardar el 31 de marzo de 2019, la Oficina adaptará las relaciones jurídicas relacionadas con la provisión de normas técnicas eslovacas y otras normas técnicas que fueran provistas antes del 1 de abril de 2018 con la legislación en vigor en dicha fecha.</w:t>
      </w:r>
    </w:p>
    <w:p w:rsidR="00E16F77" w:rsidRPr="00D06F2A" w:rsidRDefault="00E16F77" w:rsidP="00C021DD">
      <w:pPr>
        <w:pStyle w:val="ListParagraph"/>
        <w:widowControl/>
        <w:numPr>
          <w:ilvl w:val="0"/>
          <w:numId w:val="37"/>
        </w:numPr>
        <w:shd w:val="clear" w:color="auto" w:fill="FFFFFF"/>
        <w:spacing w:before="120"/>
        <w:ind w:left="284" w:hanging="284"/>
        <w:contextualSpacing w:val="0"/>
        <w:jc w:val="both"/>
        <w:rPr>
          <w:color w:val="000000"/>
        </w:rPr>
      </w:pPr>
      <w:r>
        <w:rPr>
          <w:color w:val="000000"/>
        </w:rPr>
        <w:t xml:space="preserve">Las normas técnicas eslovacas, las normas técnicas previas eslovacas y la información de </w:t>
      </w:r>
      <w:proofErr w:type="gramStart"/>
      <w:r>
        <w:rPr>
          <w:color w:val="000000"/>
        </w:rPr>
        <w:t>normalización técnica aceptadas</w:t>
      </w:r>
      <w:proofErr w:type="gramEnd"/>
      <w:r>
        <w:rPr>
          <w:color w:val="000000"/>
        </w:rPr>
        <w:t xml:space="preserve"> como parte del sistema de normas técnicas eslovacas con anterioridad al 1 de abril de 2018 se considerarán normas técnicas eslovacas, normas técnicas previas eslovacas y documentos informativos de normas técnicas a los efectos de la presente Ley.</w:t>
      </w:r>
    </w:p>
    <w:p w:rsidR="00E16F77" w:rsidRPr="00D06F2A" w:rsidRDefault="00E16F77" w:rsidP="00C021DD">
      <w:pPr>
        <w:pStyle w:val="ListParagraph"/>
        <w:widowControl/>
        <w:numPr>
          <w:ilvl w:val="0"/>
          <w:numId w:val="37"/>
        </w:numPr>
        <w:shd w:val="clear" w:color="auto" w:fill="FFFFFF"/>
        <w:spacing w:before="120"/>
        <w:ind w:left="284" w:hanging="284"/>
        <w:contextualSpacing w:val="0"/>
        <w:jc w:val="both"/>
        <w:rPr>
          <w:color w:val="000000"/>
        </w:rPr>
      </w:pPr>
      <w:r>
        <w:rPr>
          <w:color w:val="000000"/>
        </w:rPr>
        <w:t>Los comités técnicos existentes se considerarán comités técnicos a los efectos de la presente Ley.</w:t>
      </w:r>
    </w:p>
    <w:p w:rsidR="00E16F77" w:rsidRPr="00D06F2A" w:rsidRDefault="00E16F77" w:rsidP="00C021DD">
      <w:pPr>
        <w:pStyle w:val="ListParagraph"/>
        <w:widowControl/>
        <w:numPr>
          <w:ilvl w:val="0"/>
          <w:numId w:val="37"/>
        </w:numPr>
        <w:shd w:val="clear" w:color="auto" w:fill="FFFFFF"/>
        <w:spacing w:before="120"/>
        <w:ind w:left="284" w:hanging="284"/>
        <w:contextualSpacing w:val="0"/>
        <w:jc w:val="both"/>
        <w:rPr>
          <w:color w:val="000000"/>
        </w:rPr>
      </w:pPr>
      <w:r>
        <w:rPr>
          <w:color w:val="000000"/>
        </w:rPr>
        <w:t>La legislación de ejecución promulgada sobre la base de disposiciones de autorización en virtud de la Ley existente se considerará legislación de ejecución a los efectos de la presente Ley hasta que se promulgue la legislación de ejecución mencionada en el artículo 19, pero a más tardar hasta el 1 de abril de 2019.</w:t>
      </w:r>
      <w:bookmarkStart w:id="0" w:name="_GoBack"/>
      <w:bookmarkEnd w:id="0"/>
    </w:p>
    <w:p w:rsidR="00BB519B" w:rsidRPr="00D06F2A" w:rsidRDefault="00E16F77" w:rsidP="00BB519B">
      <w:pPr>
        <w:keepNext/>
        <w:keepLines/>
        <w:widowControl/>
        <w:shd w:val="clear" w:color="auto" w:fill="FFFFFF"/>
        <w:spacing w:before="360"/>
        <w:jc w:val="center"/>
        <w:rPr>
          <w:b/>
          <w:bCs/>
          <w:color w:val="000000"/>
        </w:rPr>
      </w:pPr>
      <w:r>
        <w:rPr>
          <w:b/>
          <w:color w:val="000000"/>
        </w:rPr>
        <w:t>Artículo 21</w:t>
      </w:r>
    </w:p>
    <w:p w:rsidR="00E16F77" w:rsidRPr="008015BE" w:rsidRDefault="00E16F77" w:rsidP="00BB519B">
      <w:pPr>
        <w:keepNext/>
        <w:keepLines/>
        <w:widowControl/>
        <w:shd w:val="clear" w:color="auto" w:fill="FFFFFF"/>
        <w:jc w:val="center"/>
        <w:rPr>
          <w:b/>
          <w:bCs/>
          <w:color w:val="000000"/>
        </w:rPr>
      </w:pPr>
      <w:r>
        <w:rPr>
          <w:b/>
          <w:color w:val="000000"/>
        </w:rPr>
        <w:t>Entrada en vigor</w:t>
      </w:r>
    </w:p>
    <w:p w:rsidR="00E16F77" w:rsidRPr="00D06F2A" w:rsidRDefault="00E16F77" w:rsidP="00B3535A">
      <w:pPr>
        <w:widowControl/>
        <w:shd w:val="clear" w:color="auto" w:fill="FFFFFF"/>
        <w:spacing w:before="120"/>
        <w:jc w:val="both"/>
        <w:rPr>
          <w:color w:val="000000"/>
        </w:rPr>
      </w:pPr>
      <w:r>
        <w:rPr>
          <w:color w:val="000000"/>
        </w:rPr>
        <w:t>La presente Ley entrará en vigor el 1 de abril de 2018, a excepción de la frase tras el punto y coma del artículo 14, apartado 4, letra a), que entrará en vigor el 1 de abril de 2020.</w:t>
      </w:r>
    </w:p>
    <w:p w:rsidR="00E16F77" w:rsidRPr="007D1E66" w:rsidRDefault="00E16F77" w:rsidP="00B3535A">
      <w:pPr>
        <w:widowControl/>
        <w:shd w:val="clear" w:color="auto" w:fill="FFFFFF"/>
        <w:spacing w:before="360"/>
        <w:jc w:val="center"/>
        <w:rPr>
          <w:color w:val="000000"/>
        </w:rPr>
      </w:pPr>
      <w:r>
        <w:rPr>
          <w:b/>
          <w:color w:val="000000"/>
        </w:rPr>
        <w:t>Andrej Kiska, m.p.</w:t>
      </w:r>
    </w:p>
    <w:p w:rsidR="00E16F77" w:rsidRPr="007D1E66" w:rsidRDefault="00E16F77" w:rsidP="00B3535A">
      <w:pPr>
        <w:widowControl/>
        <w:shd w:val="clear" w:color="auto" w:fill="FFFFFF"/>
        <w:spacing w:before="360"/>
        <w:jc w:val="center"/>
        <w:rPr>
          <w:b/>
          <w:bCs/>
          <w:color w:val="000000"/>
        </w:rPr>
      </w:pPr>
      <w:r>
        <w:rPr>
          <w:b/>
          <w:color w:val="000000"/>
        </w:rPr>
        <w:t>Andrej Danko, m.p.</w:t>
      </w:r>
    </w:p>
    <w:p w:rsidR="00E16F77" w:rsidRPr="00D06F2A" w:rsidRDefault="00E16F77" w:rsidP="00B3535A">
      <w:pPr>
        <w:widowControl/>
        <w:shd w:val="clear" w:color="auto" w:fill="FFFFFF"/>
        <w:spacing w:before="360"/>
        <w:jc w:val="center"/>
        <w:rPr>
          <w:b/>
          <w:bCs/>
          <w:color w:val="000000"/>
        </w:rPr>
      </w:pPr>
      <w:r>
        <w:rPr>
          <w:b/>
          <w:color w:val="000000"/>
        </w:rPr>
        <w:t>Robert Fico, m.p.</w:t>
      </w:r>
    </w:p>
    <w:p w:rsidR="00F6126B" w:rsidRPr="00D06F2A" w:rsidRDefault="00F6126B" w:rsidP="00BB519B">
      <w:pPr>
        <w:pageBreakBefore/>
        <w:widowControl/>
        <w:autoSpaceDE/>
        <w:autoSpaceDN/>
        <w:adjustRightInd/>
        <w:spacing w:before="120"/>
        <w:jc w:val="both"/>
        <w:rPr>
          <w:color w:val="000000"/>
        </w:rPr>
      </w:pPr>
      <w:r>
        <w:rPr>
          <w:color w:val="000000"/>
        </w:rPr>
        <w:lastRenderedPageBreak/>
        <w:t>1. Artículo 2, punto 1, letras a) y d), del Reglamento (UE) n.º 1025/2012 del Parlamento Europeo y del Consejo, de 25 de octubre de 2012, sobre la normalización europea, por el que se modifican las Directivas 89/686/CEE y 93/15/CEE del Consejo y las Directivas 94/9/CE, 94/25/CE, 95/16/CE, 97/23/CE, 98/34/CE, 2004/22/CE, 2007/23/CE, 2009/23/CE y 2009/105/CE del Parlamento Europeo y del Consejo y por el que se deroga la Decisión 87/95/CEE del Consejo y la Decisión n.º 1673/2006/CE del Parlamento Europeo y del Consejo (DO L 316 de 14.11.2012), en su versión modificada.</w:t>
      </w:r>
    </w:p>
    <w:p w:rsidR="00F6126B" w:rsidRPr="00D06F2A" w:rsidRDefault="00F6126B" w:rsidP="00B3535A">
      <w:pPr>
        <w:widowControl/>
        <w:autoSpaceDE/>
        <w:autoSpaceDN/>
        <w:adjustRightInd/>
        <w:spacing w:before="120"/>
        <w:jc w:val="both"/>
        <w:rPr>
          <w:color w:val="000000"/>
        </w:rPr>
      </w:pPr>
      <w:r>
        <w:rPr>
          <w:color w:val="000000"/>
        </w:rPr>
        <w:t>2. Artículo 2, punto 1,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3. Artículo 2, letra i), de la Ley n</w:t>
      </w:r>
      <w:proofErr w:type="gramStart"/>
      <w:r>
        <w:rPr>
          <w:color w:val="000000"/>
        </w:rPr>
        <w:t>.º</w:t>
      </w:r>
      <w:proofErr w:type="gramEnd"/>
      <w:r>
        <w:rPr>
          <w:color w:val="000000"/>
        </w:rPr>
        <w:t> 55/2018 sobre el suministro de información en materia de reglamentaciones técnicas y obstáculos a la libre circulación de mercancías.</w:t>
      </w:r>
    </w:p>
    <w:p w:rsidR="00F6126B" w:rsidRPr="00D06F2A" w:rsidRDefault="00F6126B" w:rsidP="00B3535A">
      <w:pPr>
        <w:widowControl/>
        <w:autoSpaceDE/>
        <w:autoSpaceDN/>
        <w:adjustRightInd/>
        <w:spacing w:before="120"/>
        <w:jc w:val="both"/>
        <w:rPr>
          <w:color w:val="000000"/>
        </w:rPr>
      </w:pPr>
      <w:r>
        <w:rPr>
          <w:color w:val="000000"/>
        </w:rPr>
        <w:t>4. Artículo 2, punto 1, letra b),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5. Artículo 2, punto 1, letra a),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6. Anexo I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7. Artículo 2, punto 9,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8. Ley n</w:t>
      </w:r>
      <w:proofErr w:type="gramStart"/>
      <w:r>
        <w:rPr>
          <w:color w:val="000000"/>
        </w:rPr>
        <w:t>.º</w:t>
      </w:r>
      <w:proofErr w:type="gramEnd"/>
      <w:r>
        <w:rPr>
          <w:color w:val="000000"/>
        </w:rPr>
        <w:t> 211/2000 relativa al acceso gratuito a la información y a las modificaciones de ciertas leyes (Ley de libertad de información), en su versión modificada.</w:t>
      </w:r>
    </w:p>
    <w:p w:rsidR="00F6126B" w:rsidRPr="00D06F2A" w:rsidRDefault="00F6126B" w:rsidP="00B3535A">
      <w:pPr>
        <w:widowControl/>
        <w:autoSpaceDE/>
        <w:autoSpaceDN/>
        <w:adjustRightInd/>
        <w:spacing w:before="120"/>
        <w:jc w:val="both"/>
        <w:rPr>
          <w:color w:val="000000"/>
        </w:rPr>
      </w:pPr>
      <w:r>
        <w:rPr>
          <w:color w:val="000000"/>
        </w:rPr>
        <w:t>9. Artículo 4, apartado 1, letra c), punto 2, de la Ley n</w:t>
      </w:r>
      <w:proofErr w:type="gramStart"/>
      <w:r>
        <w:rPr>
          <w:color w:val="000000"/>
        </w:rPr>
        <w:t>.º</w:t>
      </w:r>
      <w:proofErr w:type="gramEnd"/>
      <w:r>
        <w:rPr>
          <w:color w:val="000000"/>
        </w:rPr>
        <w:t> 55/2018.</w:t>
      </w:r>
    </w:p>
    <w:p w:rsidR="00F6126B" w:rsidRPr="00D06F2A" w:rsidRDefault="00F6126B" w:rsidP="00B3535A">
      <w:pPr>
        <w:widowControl/>
        <w:autoSpaceDE/>
        <w:autoSpaceDN/>
        <w:adjustRightInd/>
        <w:spacing w:before="120"/>
        <w:jc w:val="both"/>
        <w:rPr>
          <w:color w:val="000000"/>
        </w:rPr>
      </w:pPr>
      <w:r>
        <w:rPr>
          <w:color w:val="000000"/>
        </w:rPr>
        <w:t>10. Artículo 27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11. Artículo 2, punto 10,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12. Artículo 2, punto 2,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13. Artículo 5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14. Anexo I, artículo 2, apartado 2, del Reglamento (UE) n.º 651/2014 del Consejo, de 17 de junio de 2014, por el que se declaran determinadas categorías de ayudas compatibles con el mercado interior en aplicación de los artículos 107 y 108 del Tratado.</w:t>
      </w:r>
    </w:p>
    <w:p w:rsidR="00F6126B" w:rsidRPr="00D06F2A" w:rsidRDefault="00F6126B" w:rsidP="00B3535A">
      <w:pPr>
        <w:widowControl/>
        <w:autoSpaceDE/>
        <w:autoSpaceDN/>
        <w:adjustRightInd/>
        <w:spacing w:before="120"/>
        <w:jc w:val="both"/>
        <w:rPr>
          <w:color w:val="000000"/>
        </w:rPr>
      </w:pPr>
      <w:r>
        <w:rPr>
          <w:color w:val="000000"/>
        </w:rPr>
        <w:t>15. Anexo I, artículo 2, del Reglamento (UE) n</w:t>
      </w:r>
      <w:proofErr w:type="gramStart"/>
      <w:r>
        <w:rPr>
          <w:color w:val="000000"/>
        </w:rPr>
        <w:t>.º</w:t>
      </w:r>
      <w:proofErr w:type="gramEnd"/>
      <w:r>
        <w:rPr>
          <w:color w:val="000000"/>
        </w:rPr>
        <w:t> 651/2014.</w:t>
      </w:r>
    </w:p>
    <w:p w:rsidR="00F6126B" w:rsidRPr="00D06F2A" w:rsidRDefault="00F6126B" w:rsidP="00B3535A">
      <w:pPr>
        <w:widowControl/>
        <w:autoSpaceDE/>
        <w:autoSpaceDN/>
        <w:adjustRightInd/>
        <w:spacing w:before="120"/>
        <w:jc w:val="both"/>
        <w:rPr>
          <w:color w:val="000000"/>
        </w:rPr>
      </w:pPr>
      <w:r>
        <w:rPr>
          <w:color w:val="000000"/>
        </w:rPr>
        <w:t>16. Ley n</w:t>
      </w:r>
      <w:proofErr w:type="gramStart"/>
      <w:r>
        <w:rPr>
          <w:color w:val="000000"/>
        </w:rPr>
        <w:t>.º</w:t>
      </w:r>
      <w:proofErr w:type="gramEnd"/>
      <w:r>
        <w:rPr>
          <w:color w:val="000000"/>
        </w:rPr>
        <w:t> 343/2015 relativa a la contratación pública y a la modificación de determinadas leyes, en su versión modificada.</w:t>
      </w:r>
    </w:p>
    <w:p w:rsidR="00F6126B" w:rsidRPr="00D06F2A" w:rsidRDefault="00F6126B" w:rsidP="00B3535A">
      <w:pPr>
        <w:widowControl/>
        <w:autoSpaceDE/>
        <w:autoSpaceDN/>
        <w:adjustRightInd/>
        <w:spacing w:before="120"/>
        <w:jc w:val="both"/>
        <w:rPr>
          <w:color w:val="000000"/>
        </w:rPr>
      </w:pPr>
      <w:r>
        <w:rPr>
          <w:color w:val="000000"/>
        </w:rPr>
        <w:t>17. Artículo 2, punto 1, letra c),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18. Artículo 11 del Reglamento (UE) n</w:t>
      </w:r>
      <w:proofErr w:type="gramStart"/>
      <w:r>
        <w:rPr>
          <w:color w:val="000000"/>
        </w:rPr>
        <w:t>.º</w:t>
      </w:r>
      <w:proofErr w:type="gramEnd"/>
      <w:r>
        <w:rPr>
          <w:color w:val="000000"/>
        </w:rPr>
        <w:t> 1025/2012, en su versión modificada.</w:t>
      </w:r>
    </w:p>
    <w:p w:rsidR="00F6126B" w:rsidRPr="00D06F2A" w:rsidRDefault="00F6126B" w:rsidP="00B3535A">
      <w:pPr>
        <w:widowControl/>
        <w:autoSpaceDE/>
        <w:autoSpaceDN/>
        <w:adjustRightInd/>
        <w:spacing w:before="120"/>
        <w:jc w:val="both"/>
        <w:rPr>
          <w:color w:val="000000"/>
        </w:rPr>
      </w:pPr>
      <w:r>
        <w:rPr>
          <w:color w:val="000000"/>
        </w:rPr>
        <w:t>19. Ley n</w:t>
      </w:r>
      <w:proofErr w:type="gramStart"/>
      <w:r>
        <w:rPr>
          <w:color w:val="000000"/>
        </w:rPr>
        <w:t>.º</w:t>
      </w:r>
      <w:proofErr w:type="gramEnd"/>
      <w:r>
        <w:rPr>
          <w:color w:val="000000"/>
        </w:rPr>
        <w:t> 245/2008 relativa a la educación y formación y sobre las modificaciones de ciertas leyes (Ley de enseñanza), en su versión modificada.</w:t>
      </w:r>
    </w:p>
    <w:p w:rsidR="00F6126B" w:rsidRPr="00D06F2A" w:rsidRDefault="00F6126B" w:rsidP="00B3535A">
      <w:pPr>
        <w:widowControl/>
        <w:autoSpaceDE/>
        <w:autoSpaceDN/>
        <w:adjustRightInd/>
        <w:spacing w:before="120"/>
        <w:jc w:val="both"/>
        <w:rPr>
          <w:color w:val="000000"/>
        </w:rPr>
      </w:pPr>
      <w:r>
        <w:rPr>
          <w:color w:val="000000"/>
        </w:rPr>
        <w:t>20. Ley n</w:t>
      </w:r>
      <w:proofErr w:type="gramStart"/>
      <w:r>
        <w:rPr>
          <w:color w:val="000000"/>
        </w:rPr>
        <w:t>.º</w:t>
      </w:r>
      <w:proofErr w:type="gramEnd"/>
      <w:r>
        <w:rPr>
          <w:color w:val="000000"/>
        </w:rPr>
        <w:t> 317/2009 relativa a los profesores y el personal especial y sobre las modificaciones de determinadas leyes, en su versión modificada.</w:t>
      </w:r>
    </w:p>
    <w:p w:rsidR="00F6126B" w:rsidRPr="00D06F2A" w:rsidRDefault="00F6126B" w:rsidP="00B3535A">
      <w:pPr>
        <w:widowControl/>
        <w:autoSpaceDE/>
        <w:autoSpaceDN/>
        <w:adjustRightInd/>
        <w:spacing w:before="120"/>
        <w:jc w:val="both"/>
        <w:rPr>
          <w:color w:val="000000"/>
        </w:rPr>
      </w:pPr>
      <w:r>
        <w:rPr>
          <w:color w:val="000000"/>
        </w:rPr>
        <w:t>21. Artículos 73, 76 y 79 de la Ley n</w:t>
      </w:r>
      <w:proofErr w:type="gramStart"/>
      <w:r>
        <w:rPr>
          <w:color w:val="000000"/>
        </w:rPr>
        <w:t>.º</w:t>
      </w:r>
      <w:proofErr w:type="gramEnd"/>
      <w:r>
        <w:rPr>
          <w:color w:val="000000"/>
        </w:rPr>
        <w:t> 245/2008, en su versión modificada.</w:t>
      </w:r>
    </w:p>
    <w:p w:rsidR="00F6126B" w:rsidRPr="00D06F2A" w:rsidRDefault="00F6126B" w:rsidP="00B3535A">
      <w:pPr>
        <w:widowControl/>
        <w:autoSpaceDE/>
        <w:autoSpaceDN/>
        <w:adjustRightInd/>
        <w:spacing w:before="120"/>
        <w:jc w:val="both"/>
        <w:rPr>
          <w:color w:val="000000"/>
        </w:rPr>
      </w:pPr>
      <w:r>
        <w:rPr>
          <w:color w:val="000000"/>
        </w:rPr>
        <w:t>22. Artículo 51 de la Ley n</w:t>
      </w:r>
      <w:proofErr w:type="gramStart"/>
      <w:r>
        <w:rPr>
          <w:color w:val="000000"/>
        </w:rPr>
        <w:t>.º</w:t>
      </w:r>
      <w:proofErr w:type="gramEnd"/>
      <w:r>
        <w:rPr>
          <w:color w:val="000000"/>
        </w:rPr>
        <w:t> 131/2002 sobre la enseñanza superior y sobre la modificación de determinadas leyes, en su versión modificada.</w:t>
      </w:r>
    </w:p>
    <w:p w:rsidR="00F6126B" w:rsidRPr="00D06F2A" w:rsidRDefault="00F6126B" w:rsidP="00B3535A">
      <w:pPr>
        <w:widowControl/>
        <w:autoSpaceDE/>
        <w:autoSpaceDN/>
        <w:adjustRightInd/>
        <w:spacing w:before="120"/>
        <w:jc w:val="both"/>
        <w:rPr>
          <w:color w:val="000000"/>
        </w:rPr>
      </w:pPr>
      <w:r>
        <w:rPr>
          <w:color w:val="000000"/>
        </w:rPr>
        <w:t>23. Artículo 49, apartado 6, de la Ley n</w:t>
      </w:r>
      <w:proofErr w:type="gramStart"/>
      <w:r>
        <w:rPr>
          <w:color w:val="000000"/>
        </w:rPr>
        <w:t>.º</w:t>
      </w:r>
      <w:proofErr w:type="gramEnd"/>
      <w:r>
        <w:rPr>
          <w:color w:val="000000"/>
        </w:rPr>
        <w:t> 317/2009, en su versión modificada por la Ley n.º 390/2011.</w:t>
      </w:r>
    </w:p>
    <w:p w:rsidR="00F6126B" w:rsidRPr="00D06F2A" w:rsidRDefault="00F6126B" w:rsidP="00B3535A">
      <w:pPr>
        <w:widowControl/>
        <w:autoSpaceDE/>
        <w:autoSpaceDN/>
        <w:adjustRightInd/>
        <w:spacing w:before="120"/>
        <w:jc w:val="both"/>
        <w:rPr>
          <w:color w:val="000000"/>
        </w:rPr>
      </w:pPr>
      <w:r>
        <w:rPr>
          <w:color w:val="000000"/>
        </w:rPr>
        <w:t>24. Ley n</w:t>
      </w:r>
      <w:proofErr w:type="gramStart"/>
      <w:r>
        <w:rPr>
          <w:color w:val="000000"/>
        </w:rPr>
        <w:t>.º</w:t>
      </w:r>
      <w:proofErr w:type="gramEnd"/>
      <w:r>
        <w:rPr>
          <w:color w:val="000000"/>
        </w:rPr>
        <w:t> 372/1990 del Consejo Nacional de la República Eslovaca sobre infracciones, en su versión modificada.</w:t>
      </w:r>
    </w:p>
    <w:p w:rsidR="00E16F77" w:rsidRPr="00D06F2A" w:rsidRDefault="00E16F77" w:rsidP="00BB519B">
      <w:pPr>
        <w:pageBreakBefore/>
        <w:widowControl/>
        <w:autoSpaceDE/>
        <w:autoSpaceDN/>
        <w:adjustRightInd/>
        <w:spacing w:before="120"/>
        <w:jc w:val="right"/>
        <w:rPr>
          <w:b/>
          <w:bCs/>
          <w:color w:val="000000"/>
        </w:rPr>
      </w:pPr>
      <w:r>
        <w:rPr>
          <w:b/>
          <w:color w:val="000000"/>
        </w:rPr>
        <w:lastRenderedPageBreak/>
        <w:t>Anexo de la Ley n</w:t>
      </w:r>
      <w:proofErr w:type="gramStart"/>
      <w:r>
        <w:rPr>
          <w:b/>
          <w:color w:val="000000"/>
        </w:rPr>
        <w:t>.º</w:t>
      </w:r>
      <w:proofErr w:type="gramEnd"/>
      <w:r>
        <w:rPr>
          <w:b/>
          <w:color w:val="000000"/>
        </w:rPr>
        <w:t> 60/2018</w:t>
      </w:r>
    </w:p>
    <w:p w:rsidR="00BB519B" w:rsidRPr="00D06F2A" w:rsidRDefault="00BB519B" w:rsidP="00BB519B">
      <w:pPr>
        <w:spacing w:before="120" w:after="120"/>
        <w:rPr>
          <w:sz w:val="24"/>
          <w:szCs w:val="24"/>
        </w:rPr>
      </w:pPr>
      <w:r>
        <w:rPr>
          <w:sz w:val="24"/>
        </w:rPr>
        <w:t>1. El símbolo «STN»:</w:t>
      </w:r>
    </w:p>
    <w:p w:rsidR="00BB519B" w:rsidRPr="00D06F2A" w:rsidRDefault="00E24ED9" w:rsidP="00BB519B">
      <w:pPr>
        <w:rPr>
          <w:rFonts w:ascii="Calibri" w:hAnsi="Calibri" w:cs="Calibri"/>
          <w:sz w:val="22"/>
          <w:szCs w:val="22"/>
        </w:rPr>
      </w:pPr>
      <w:r>
        <w:rPr>
          <w:noProof/>
        </w:rPr>
        <w:pict>
          <v:shape id="Obrázok 3" o:spid="_x0000_i1026" type="#_x0000_t75" alt="01" style="width:193.5pt;height:85.5pt;visibility:visible">
            <v:imagedata r:id="rId9" o:title="01"/>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2. El símbolo «STN P»:</w:t>
      </w:r>
    </w:p>
    <w:p w:rsidR="00BB519B" w:rsidRPr="00D06F2A" w:rsidRDefault="00E24ED9" w:rsidP="00BB519B">
      <w:pPr>
        <w:rPr>
          <w:rFonts w:ascii="Calibri" w:hAnsi="Calibri" w:cs="Calibri"/>
          <w:sz w:val="22"/>
          <w:szCs w:val="22"/>
        </w:rPr>
      </w:pPr>
      <w:r>
        <w:rPr>
          <w:noProof/>
        </w:rPr>
        <w:pict>
          <v:shape id="Obrázok 2" o:spid="_x0000_i1027" type="#_x0000_t75" alt="04" style="width:262.5pt;height:169.5pt;visibility:visible">
            <v:imagedata r:id="rId10" o:title="04"/>
          </v:shape>
        </w:pict>
      </w:r>
    </w:p>
    <w:p w:rsidR="00BB519B" w:rsidRPr="00D06F2A" w:rsidRDefault="00BB519B" w:rsidP="00BB519B">
      <w:pPr>
        <w:rPr>
          <w:rFonts w:ascii="Calibri" w:hAnsi="Calibri" w:cs="Calibri"/>
          <w:sz w:val="22"/>
          <w:szCs w:val="22"/>
        </w:rPr>
      </w:pPr>
    </w:p>
    <w:p w:rsidR="00BB519B" w:rsidRPr="00D06F2A" w:rsidRDefault="00BB519B" w:rsidP="00BB519B">
      <w:pPr>
        <w:rPr>
          <w:sz w:val="24"/>
          <w:szCs w:val="24"/>
        </w:rPr>
      </w:pPr>
      <w:r>
        <w:rPr>
          <w:sz w:val="24"/>
        </w:rPr>
        <w:t>3. El símbolo «TNI»:</w:t>
      </w:r>
    </w:p>
    <w:p w:rsidR="00BB519B" w:rsidRPr="00D06F2A" w:rsidRDefault="00E24ED9" w:rsidP="00BB519B">
      <w:pPr>
        <w:rPr>
          <w:rFonts w:ascii="Calibri" w:hAnsi="Calibri" w:cs="Calibri"/>
          <w:sz w:val="22"/>
          <w:szCs w:val="22"/>
        </w:rPr>
      </w:pPr>
      <w:r>
        <w:rPr>
          <w:noProof/>
        </w:rPr>
        <w:pict>
          <v:shape id="Obrázok 1" o:spid="_x0000_i1028" type="#_x0000_t75" alt="03" style="width:193.5pt;height:85.5pt;visibility:visible">
            <v:imagedata r:id="rId11" o:title="03"/>
          </v:shape>
        </w:pict>
      </w: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E16F77" w:rsidRPr="00D06F2A" w:rsidRDefault="00E16F77" w:rsidP="00B3535A">
      <w:pPr>
        <w:widowControl/>
        <w:spacing w:before="120"/>
        <w:rPr>
          <w:color w:val="000000"/>
          <w:sz w:val="2"/>
          <w:szCs w:val="2"/>
        </w:rPr>
      </w:pPr>
    </w:p>
    <w:p w:rsidR="00C45F85" w:rsidRPr="00D06F2A" w:rsidRDefault="00C45F85" w:rsidP="00B3535A">
      <w:pPr>
        <w:widowControl/>
        <w:autoSpaceDE/>
        <w:autoSpaceDN/>
        <w:adjustRightInd/>
        <w:spacing w:before="12000"/>
        <w:jc w:val="center"/>
        <w:rPr>
          <w:color w:val="000000"/>
          <w:sz w:val="2"/>
          <w:szCs w:val="2"/>
        </w:rPr>
      </w:pPr>
    </w:p>
    <w:p w:rsidR="00E16F77" w:rsidRPr="005F3632" w:rsidRDefault="00C021DD" w:rsidP="00B3535A">
      <w:pPr>
        <w:widowControl/>
        <w:autoSpaceDE/>
        <w:autoSpaceDN/>
        <w:adjustRightInd/>
        <w:spacing w:before="13320"/>
        <w:jc w:val="center"/>
        <w:rPr>
          <w:color w:val="000000"/>
          <w:sz w:val="18"/>
        </w:rPr>
      </w:pPr>
      <w:r>
        <w:rPr>
          <w:color w:val="000000"/>
          <w:sz w:val="18"/>
        </w:rPr>
        <w:pict>
          <v:line id="Rovná spojnica 3" o:spid="_x0000_s1027" style="position:absolute;left:0;text-align:left;z-index:251657728;visibility:visible" from="-15.2pt,656.4pt" to="470.45pt,6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oHZ4QEAAKcDAAAOAAAAZHJzL2Uyb0RvYy54bWysU0tu2zAQ3RfoHQjua8kObLeC5SxipJt+&#10;jDY9wISkJBb8gcNa9nF6ll6sQ8p202RX1At6vo/zhk+b26M17KAiau9aPp/VnCknvNSub/m3h/s3&#10;bznDBE6C8U61/KSQ325fv9qMoVELP3gjVWQE4rAZQ8uHlEJTVSgGZQFnPihHyc5HC4nc2Fcywkjo&#10;1lSLul5Vo48yRC8UIkV3U5JvC37XKZE+dx2qxEzLabZUzljOx3xW2w00fYQwaHEeA/5hCgva0aVX&#10;qB0kYD+ifgFltYgefZdmwtvKd50WqnAgNvP6GZuvAwRVuNByMFzXhP8PVnw67CPTsuU3nDmw9ERf&#10;/MH9+skw+O9OC2A3eUljwIZq79w+nj0M+5gZH7to8z9xYcey2NN1seqYmKDgar5ar5dLzsQlV/1p&#10;DBHTe+Uty0bLjXaZMzRw+ICJLqPSS0kOO3+vjSnvZhwbSXSLdU1PK4Dk0xlIZNpAhND1nIHpSZci&#10;xQKJ3miZ2zMQnvDORHYAkgYpSvrxgeblzAAmShCJ8psaB5BqKn23pPCkG4T00cspPK8vcZp3gi6j&#10;/3Vl5rEDHKaWkspI1GFcHkkVxZ5p55VPS87Wo5ensvsqe6SG0nZWbpbbU5/sp9/X9jcAAAD//wMA&#10;UEsDBBQABgAIAAAAIQAcgIkA4AAAAA0BAAAPAAAAZHJzL2Rvd25yZXYueG1sTI/BTsMwEETvSPyD&#10;tUjcWodQNSHEqRCoqkC9tEXiuo2XOBDbaey24e9ZDgiOO/M0O1MuRtuJEw2h9U7BzTQBQa72unWN&#10;gtfdcpKDCBGdxs47UvBFARbV5UWJhfZnt6HTNjaCQ1woUIGJsS+kDLUhi2Hqe3LsvfvBYuRzaKQe&#10;8MzhtpNpksylxdbxB4M9PRqqP7dHqwCfVpv4lqcvWfts1h+75WFl8oNS11fjwz2ISGP8g+GnPleH&#10;ijvt/dHpIDoFk1l2yygbaTrPQDByl8543v5XklUp/6+ovgEAAP//AwBQSwECLQAUAAYACAAAACEA&#10;toM4kv4AAADhAQAAEwAAAAAAAAAAAAAAAAAAAAAAW0NvbnRlbnRfVHlwZXNdLnhtbFBLAQItABQA&#10;BgAIAAAAIQA4/SH/1gAAAJQBAAALAAAAAAAAAAAAAAAAAC8BAABfcmVscy8ucmVsc1BLAQItABQA&#10;BgAIAAAAIQBgWoHZ4QEAAKcDAAAOAAAAAAAAAAAAAAAAAC4CAABkcnMvZTJvRG9jLnhtbFBLAQIt&#10;ABQABgAIAAAAIQAcgIkA4AAAAA0BAAAPAAAAAAAAAAAAAAAAADsEAABkcnMvZG93bnJldi54bWxQ&#10;SwUGAAAAAAQABADzAAAASAUAAAAA&#10;" strokeweight="1pt"/>
        </w:pict>
      </w:r>
      <w:r w:rsidR="00591388">
        <w:rPr>
          <w:color w:val="000000"/>
          <w:sz w:val="18"/>
        </w:rPr>
        <w:t>Ministerio de Justicia de la República Eslovaca, Župné námestie 13, 813 11 Bratislava,</w:t>
      </w:r>
      <w:r w:rsidR="00591388">
        <w:rPr>
          <w:color w:val="000000"/>
          <w:sz w:val="18"/>
        </w:rPr>
        <w:br/>
        <w:t xml:space="preserve">teléfono: +421 2 888 91 137, fax: +421 2 52442853, correo electrónico: </w:t>
      </w:r>
      <w:hyperlink r:id="rId12">
        <w:r w:rsidR="00591388">
          <w:rPr>
            <w:color w:val="000000"/>
            <w:sz w:val="18"/>
          </w:rPr>
          <w:t>helpdesk@slov-lex.sk</w:t>
        </w:r>
      </w:hyperlink>
      <w:r w:rsidR="00591388">
        <w:t xml:space="preserve"> es el editor del Compendio de Leyes de la República Eslovaca, administrador de contenidos y operador del portal informativo y jurídico Slov-Lex, disponible en </w:t>
      </w:r>
      <w:hyperlink r:id="rId13">
        <w:r w:rsidR="00591388">
          <w:rPr>
            <w:color w:val="000000"/>
            <w:sz w:val="18"/>
          </w:rPr>
          <w:t>www.slov-lex.sk es</w:t>
        </w:r>
      </w:hyperlink>
      <w:r w:rsidR="00591388">
        <w:rPr>
          <w:color w:val="000000"/>
          <w:sz w:val="18"/>
        </w:rPr>
        <w:t>.</w:t>
      </w:r>
    </w:p>
    <w:sectPr w:rsidR="00E16F77" w:rsidRPr="005F3632" w:rsidSect="007C4BCF">
      <w:headerReference w:type="even" r:id="rId14"/>
      <w:headerReference w:type="default" r:id="rId15"/>
      <w:pgSz w:w="11906" w:h="16838"/>
      <w:pgMar w:top="1417" w:right="1417" w:bottom="993"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1388" w:rsidRDefault="00591388" w:rsidP="00411B8D">
      <w:r>
        <w:separator/>
      </w:r>
    </w:p>
  </w:endnote>
  <w:endnote w:type="continuationSeparator" w:id="0">
    <w:p w:rsidR="00591388" w:rsidRDefault="00591388" w:rsidP="00411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eXGyreBonumRegular">
    <w:altName w:val="Times New Roman"/>
    <w:panose1 w:val="00000000000000000000"/>
    <w:charset w:val="EE"/>
    <w:family w:val="auto"/>
    <w:notTrueType/>
    <w:pitch w:val="default"/>
    <w:sig w:usb0="00000005" w:usb1="00000000" w:usb2="00000000" w:usb3="00000000" w:csb0="00000002" w:csb1="00000000"/>
  </w:font>
  <w:font w:name="TeXGyreBonumBold">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1388" w:rsidRDefault="00591388" w:rsidP="00411B8D">
      <w:r>
        <w:separator/>
      </w:r>
    </w:p>
  </w:footnote>
  <w:footnote w:type="continuationSeparator" w:id="0">
    <w:p w:rsidR="00591388" w:rsidRDefault="00591388" w:rsidP="00411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Default="00D0380A" w:rsidP="00411B8D">
    <w:pPr>
      <w:pStyle w:val="Header"/>
      <w:pBdr>
        <w:bottom w:val="single" w:sz="4" w:space="1" w:color="auto"/>
      </w:pBdr>
    </w:pPr>
    <w:r>
      <w:t xml:space="preserve">Página </w:t>
    </w:r>
    <w:r>
      <w:rPr>
        <w:rStyle w:val="PageNumber"/>
        <w:rFonts w:cs="Arial"/>
      </w:rPr>
      <w:fldChar w:fldCharType="begin"/>
    </w:r>
    <w:r>
      <w:rPr>
        <w:rStyle w:val="PageNumber"/>
        <w:rFonts w:cs="Arial"/>
      </w:rPr>
      <w:instrText xml:space="preserve"> PAGE </w:instrText>
    </w:r>
    <w:r>
      <w:rPr>
        <w:rStyle w:val="PageNumber"/>
        <w:rFonts w:cs="Arial"/>
      </w:rPr>
      <w:fldChar w:fldCharType="separate"/>
    </w:r>
    <w:r w:rsidR="00C021DD">
      <w:rPr>
        <w:rStyle w:val="PageNumber"/>
        <w:rFonts w:cs="Arial"/>
        <w:noProof/>
      </w:rPr>
      <w:t>12</w:t>
    </w:r>
    <w:r>
      <w:rPr>
        <w:rStyle w:val="PageNumber"/>
        <w:rFonts w:cs="Arial"/>
      </w:rPr>
      <w:fldChar w:fldCharType="end"/>
    </w:r>
    <w:r>
      <w:tab/>
    </w:r>
    <w:r>
      <w:rPr>
        <w:rFonts w:ascii="TeXGyreBonumRegular" w:hAnsi="TeXGyreBonumRegular"/>
      </w:rPr>
      <w:t>Compendio de Leyes de la República Eslovaca</w:t>
    </w:r>
    <w:r>
      <w:tab/>
    </w:r>
    <w:r>
      <w:rPr>
        <w:rFonts w:ascii="TeXGyreBonumBold" w:hAnsi="TeXGyreBonumBold"/>
        <w:b/>
      </w:rPr>
      <w:t>60/2018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380A" w:rsidRPr="00C32D3E" w:rsidRDefault="00D0380A" w:rsidP="00C32D3E">
    <w:pPr>
      <w:pStyle w:val="Header"/>
      <w:pBdr>
        <w:bottom w:val="single" w:sz="4" w:space="1" w:color="auto"/>
      </w:pBdr>
    </w:pPr>
    <w:r>
      <w:rPr>
        <w:rFonts w:ascii="TeXGyreBonumBold" w:hAnsi="TeXGyreBonumBold"/>
        <w:b/>
      </w:rPr>
      <w:t>60/2018</w:t>
    </w:r>
    <w:r>
      <w:tab/>
    </w:r>
    <w:r>
      <w:rPr>
        <w:rFonts w:ascii="TeXGyreBonumRegular" w:hAnsi="TeXGyreBonumRegular"/>
      </w:rPr>
      <w:t>Compendio de Leyes de la República Eslovaca</w:t>
    </w:r>
    <w:r>
      <w:tab/>
      <w:t xml:space="preserve">Página </w:t>
    </w:r>
    <w:r w:rsidRPr="00C32D3E">
      <w:rPr>
        <w:rStyle w:val="PageNumber"/>
        <w:rFonts w:cs="Arial"/>
      </w:rPr>
      <w:fldChar w:fldCharType="begin"/>
    </w:r>
    <w:r w:rsidRPr="00C32D3E">
      <w:rPr>
        <w:rStyle w:val="PageNumber"/>
        <w:rFonts w:cs="Arial"/>
      </w:rPr>
      <w:instrText xml:space="preserve"> PAGE </w:instrText>
    </w:r>
    <w:r w:rsidRPr="00C32D3E">
      <w:rPr>
        <w:rStyle w:val="PageNumber"/>
        <w:rFonts w:cs="Arial"/>
      </w:rPr>
      <w:fldChar w:fldCharType="separate"/>
    </w:r>
    <w:r w:rsidR="00C021DD">
      <w:rPr>
        <w:rStyle w:val="PageNumber"/>
        <w:rFonts w:cs="Arial"/>
        <w:noProof/>
      </w:rPr>
      <w:t>13</w:t>
    </w:r>
    <w:r w:rsidRPr="00C32D3E">
      <w:rPr>
        <w:rStyle w:val="PageNumber"/>
        <w:rFonts w:cs="Aria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7918"/>
    <w:multiLevelType w:val="hybridMultilevel"/>
    <w:tmpl w:val="D4C4EBC6"/>
    <w:lvl w:ilvl="0" w:tplc="CDE213C0">
      <w:start w:val="1"/>
      <w:numFmt w:val="decimal"/>
      <w:lvlText w:val="%1."/>
      <w:lvlJc w:val="left"/>
      <w:pPr>
        <w:ind w:left="720" w:hanging="360"/>
      </w:pPr>
      <w:rPr>
        <w:rFonts w:hint="eastAsia"/>
        <w:snapToGrid/>
        <w:sz w:val="23"/>
        <w:szCs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8F66BB9"/>
    <w:multiLevelType w:val="hybridMultilevel"/>
    <w:tmpl w:val="85BE57D2"/>
    <w:lvl w:ilvl="0" w:tplc="6ABC45AA">
      <w:start w:val="2"/>
      <w:numFmt w:val="decimal"/>
      <w:lvlText w:val="%1."/>
      <w:lvlJc w:val="left"/>
      <w:pPr>
        <w:ind w:left="720" w:hanging="360"/>
      </w:pPr>
      <w:rPr>
        <w:rFonts w:hint="eastAsia"/>
        <w:snapToGrid/>
        <w:sz w:val="23"/>
        <w:szCs w:val="23"/>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594664"/>
    <w:multiLevelType w:val="hybridMultilevel"/>
    <w:tmpl w:val="5CB4FC94"/>
    <w:lvl w:ilvl="0" w:tplc="744E4B74">
      <w:start w:val="1"/>
      <w:numFmt w:val="decimal"/>
      <w:lvlText w:val="%1."/>
      <w:lvlJc w:val="left"/>
      <w:pPr>
        <w:ind w:left="720" w:hanging="360"/>
      </w:pPr>
      <w:rPr>
        <w:rFonts w:hint="eastAsia"/>
        <w:snapToGrid/>
        <w:sz w:val="23"/>
        <w:szCs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BE621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4" w15:restartNumberingAfterBreak="0">
    <w:nsid w:val="0CDE5E9A"/>
    <w:multiLevelType w:val="singleLevel"/>
    <w:tmpl w:val="0C0A0011"/>
    <w:lvl w:ilvl="0">
      <w:start w:val="1"/>
      <w:numFmt w:val="decimal"/>
      <w:lvlText w:val="%1)"/>
      <w:lvlJc w:val="left"/>
      <w:pPr>
        <w:ind w:left="720" w:hanging="360"/>
      </w:pPr>
      <w:rPr>
        <w:rFonts w:hint="default"/>
      </w:rPr>
    </w:lvl>
  </w:abstractNum>
  <w:abstractNum w:abstractNumId="5" w15:restartNumberingAfterBreak="0">
    <w:nsid w:val="0FFA2E26"/>
    <w:multiLevelType w:val="hybridMultilevel"/>
    <w:tmpl w:val="E4947E20"/>
    <w:lvl w:ilvl="0" w:tplc="6ABC45AA">
      <w:start w:val="2"/>
      <w:numFmt w:val="decimal"/>
      <w:lvlText w:val="%1."/>
      <w:lvlJc w:val="left"/>
      <w:pPr>
        <w:ind w:left="720" w:hanging="360"/>
      </w:pPr>
      <w:rPr>
        <w:rFonts w:hint="eastAsia"/>
        <w:snapToGrid/>
        <w:sz w:val="23"/>
        <w:szCs w:val="23"/>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12E49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7" w15:restartNumberingAfterBreak="0">
    <w:nsid w:val="116F7CB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8" w15:restartNumberingAfterBreak="0">
    <w:nsid w:val="148C721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9" w15:restartNumberingAfterBreak="0">
    <w:nsid w:val="15047151"/>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0" w15:restartNumberingAfterBreak="0">
    <w:nsid w:val="16A14FF7"/>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1" w15:restartNumberingAfterBreak="0">
    <w:nsid w:val="17BB27B8"/>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2" w15:restartNumberingAfterBreak="0">
    <w:nsid w:val="18E95A63"/>
    <w:multiLevelType w:val="hybridMultilevel"/>
    <w:tmpl w:val="D6FC064E"/>
    <w:lvl w:ilvl="0" w:tplc="6ABC45AA">
      <w:start w:val="2"/>
      <w:numFmt w:val="decimal"/>
      <w:lvlText w:val="%1."/>
      <w:lvlJc w:val="left"/>
      <w:pPr>
        <w:ind w:left="720" w:hanging="360"/>
      </w:pPr>
      <w:rPr>
        <w:rFonts w:hint="eastAsia"/>
        <w:snapToGrid/>
        <w:sz w:val="23"/>
        <w:szCs w:val="23"/>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214E5AF6"/>
    <w:multiLevelType w:val="hybridMultilevel"/>
    <w:tmpl w:val="97A89760"/>
    <w:lvl w:ilvl="0" w:tplc="0C0A000F">
      <w:start w:val="1"/>
      <w:numFmt w:val="decimal"/>
      <w:lvlText w:val="%1."/>
      <w:lvlJc w:val="left"/>
      <w:pPr>
        <w:ind w:left="720" w:hanging="360"/>
      </w:pPr>
      <w:rPr>
        <w:rFonts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226F35F7"/>
    <w:multiLevelType w:val="hybridMultilevel"/>
    <w:tmpl w:val="11D6BCE8"/>
    <w:lvl w:ilvl="0" w:tplc="0C0A000F">
      <w:start w:val="1"/>
      <w:numFmt w:val="decimal"/>
      <w:lvlText w:val="%1."/>
      <w:lvlJc w:val="left"/>
      <w:pPr>
        <w:ind w:left="900" w:hanging="54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288D6A10"/>
    <w:multiLevelType w:val="hybridMultilevel"/>
    <w:tmpl w:val="DC1A7D00"/>
    <w:lvl w:ilvl="0" w:tplc="6ABC45AA">
      <w:start w:val="2"/>
      <w:numFmt w:val="decimal"/>
      <w:lvlText w:val="%1."/>
      <w:lvlJc w:val="left"/>
      <w:pPr>
        <w:ind w:left="720" w:hanging="360"/>
      </w:pPr>
      <w:rPr>
        <w:rFonts w:hint="eastAsia"/>
        <w:snapToGrid/>
        <w:sz w:val="23"/>
        <w:szCs w:val="23"/>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2FB43BCA"/>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7" w15:restartNumberingAfterBreak="0">
    <w:nsid w:val="2FC37AAD"/>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18" w15:restartNumberingAfterBreak="0">
    <w:nsid w:val="32A346BE"/>
    <w:multiLevelType w:val="hybridMultilevel"/>
    <w:tmpl w:val="72F6B808"/>
    <w:lvl w:ilvl="0" w:tplc="0C0A000F">
      <w:start w:val="1"/>
      <w:numFmt w:val="decimal"/>
      <w:lvlText w:val="%1."/>
      <w:lvlJc w:val="left"/>
      <w:pPr>
        <w:ind w:left="720" w:hanging="360"/>
      </w:pPr>
      <w:rPr>
        <w:rFonts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33187040"/>
    <w:multiLevelType w:val="hybridMultilevel"/>
    <w:tmpl w:val="3A702C6C"/>
    <w:lvl w:ilvl="0" w:tplc="1384F046">
      <w:start w:val="1"/>
      <w:numFmt w:val="lowerLetter"/>
      <w:lvlText w:val="%1)"/>
      <w:lvlJc w:val="left"/>
      <w:rPr>
        <w:rFonts w:ascii="Arial" w:hAnsi="Arial" w:cs="Arial"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0" w15:restartNumberingAfterBreak="0">
    <w:nsid w:val="34C34936"/>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1" w15:restartNumberingAfterBreak="0">
    <w:nsid w:val="39DF67AB"/>
    <w:multiLevelType w:val="hybridMultilevel"/>
    <w:tmpl w:val="87343572"/>
    <w:lvl w:ilvl="0" w:tplc="0C0A000F">
      <w:start w:val="1"/>
      <w:numFmt w:val="decimal"/>
      <w:lvlText w:val="%1."/>
      <w:lvlJc w:val="left"/>
      <w:pPr>
        <w:ind w:left="720" w:hanging="360"/>
      </w:pPr>
      <w:rPr>
        <w:rFonts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3C2B1062"/>
    <w:multiLevelType w:val="hybridMultilevel"/>
    <w:tmpl w:val="B9C4371C"/>
    <w:lvl w:ilvl="0" w:tplc="6ABC45AA">
      <w:start w:val="2"/>
      <w:numFmt w:val="decimal"/>
      <w:lvlText w:val="%1."/>
      <w:lvlJc w:val="left"/>
      <w:pPr>
        <w:ind w:left="720" w:hanging="360"/>
      </w:pPr>
      <w:rPr>
        <w:rFonts w:hint="eastAsia"/>
        <w:snapToGrid/>
        <w:sz w:val="23"/>
        <w:szCs w:val="23"/>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1517F7D"/>
    <w:multiLevelType w:val="hybridMultilevel"/>
    <w:tmpl w:val="80AA7A88"/>
    <w:lvl w:ilvl="0" w:tplc="CCCC2F86">
      <w:start w:val="1"/>
      <w:numFmt w:val="decimal"/>
      <w:lvlText w:val="%1."/>
      <w:lvlJc w:val="left"/>
      <w:pPr>
        <w:ind w:left="720" w:hanging="360"/>
      </w:pPr>
      <w:rPr>
        <w:rFonts w:hint="eastAsia"/>
        <w:snapToGrid/>
        <w:sz w:val="23"/>
        <w:szCs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1B9173E"/>
    <w:multiLevelType w:val="hybridMultilevel"/>
    <w:tmpl w:val="6908C3B6"/>
    <w:lvl w:ilvl="0" w:tplc="0C0A000F">
      <w:start w:val="1"/>
      <w:numFmt w:val="decimal"/>
      <w:lvlText w:val="%1."/>
      <w:lvlJc w:val="left"/>
      <w:pPr>
        <w:ind w:left="720" w:hanging="360"/>
      </w:pPr>
      <w:rPr>
        <w:rFonts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5" w15:restartNumberingAfterBreak="0">
    <w:nsid w:val="49B9770B"/>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26" w15:restartNumberingAfterBreak="0">
    <w:nsid w:val="4E654431"/>
    <w:multiLevelType w:val="hybridMultilevel"/>
    <w:tmpl w:val="0C3256A2"/>
    <w:lvl w:ilvl="0" w:tplc="0C0A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7" w15:restartNumberingAfterBreak="0">
    <w:nsid w:val="57E07323"/>
    <w:multiLevelType w:val="singleLevel"/>
    <w:tmpl w:val="0C0A0011"/>
    <w:lvl w:ilvl="0">
      <w:start w:val="1"/>
      <w:numFmt w:val="decimal"/>
      <w:lvlText w:val="%1)"/>
      <w:lvlJc w:val="left"/>
      <w:pPr>
        <w:ind w:left="720" w:hanging="360"/>
      </w:pPr>
      <w:rPr>
        <w:rFonts w:hint="default"/>
      </w:rPr>
    </w:lvl>
  </w:abstractNum>
  <w:abstractNum w:abstractNumId="28" w15:restartNumberingAfterBreak="0">
    <w:nsid w:val="61F113BB"/>
    <w:multiLevelType w:val="hybridMultilevel"/>
    <w:tmpl w:val="3D880290"/>
    <w:lvl w:ilvl="0" w:tplc="CE8A23D4">
      <w:start w:val="1"/>
      <w:numFmt w:val="decimal"/>
      <w:lvlText w:val="%1."/>
      <w:lvlJc w:val="left"/>
      <w:pPr>
        <w:ind w:left="720" w:hanging="360"/>
      </w:pPr>
      <w:rPr>
        <w:rFonts w:hint="eastAsia"/>
        <w:snapToGrid/>
        <w:sz w:val="23"/>
        <w:szCs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486354F"/>
    <w:multiLevelType w:val="hybridMultilevel"/>
    <w:tmpl w:val="A7A61038"/>
    <w:lvl w:ilvl="0" w:tplc="0C0A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0" w15:restartNumberingAfterBreak="0">
    <w:nsid w:val="67D22340"/>
    <w:multiLevelType w:val="singleLevel"/>
    <w:tmpl w:val="19042F60"/>
    <w:lvl w:ilvl="0">
      <w:start w:val="1"/>
      <w:numFmt w:val="lowerLetter"/>
      <w:lvlText w:val="%1)"/>
      <w:legacy w:legacy="1" w:legacySpace="0" w:legacyIndent="283"/>
      <w:lvlJc w:val="left"/>
      <w:rPr>
        <w:rFonts w:ascii="Arial" w:hAnsi="Arial" w:cs="Arial" w:hint="default"/>
      </w:rPr>
    </w:lvl>
  </w:abstractNum>
  <w:abstractNum w:abstractNumId="31" w15:restartNumberingAfterBreak="0">
    <w:nsid w:val="6A423535"/>
    <w:multiLevelType w:val="hybridMultilevel"/>
    <w:tmpl w:val="F1CA6086"/>
    <w:lvl w:ilvl="0" w:tplc="0C0A000F">
      <w:start w:val="1"/>
      <w:numFmt w:val="decimal"/>
      <w:lvlText w:val="%1."/>
      <w:lvlJc w:val="left"/>
      <w:pPr>
        <w:ind w:left="720" w:hanging="360"/>
      </w:pPr>
      <w:rPr>
        <w:rFonts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EC95B9C"/>
    <w:multiLevelType w:val="hybridMultilevel"/>
    <w:tmpl w:val="9042C2CC"/>
    <w:lvl w:ilvl="0" w:tplc="14987D92">
      <w:start w:val="1"/>
      <w:numFmt w:val="decimal"/>
      <w:lvlText w:val="%1."/>
      <w:lvlJc w:val="left"/>
      <w:pPr>
        <w:ind w:left="720" w:hanging="360"/>
      </w:pPr>
      <w:rPr>
        <w:rFonts w:hint="eastAsia"/>
        <w:snapToGrid/>
        <w:sz w:val="23"/>
        <w:szCs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F334233"/>
    <w:multiLevelType w:val="singleLevel"/>
    <w:tmpl w:val="0C0A0011"/>
    <w:lvl w:ilvl="0">
      <w:start w:val="1"/>
      <w:numFmt w:val="decimal"/>
      <w:lvlText w:val="%1)"/>
      <w:lvlJc w:val="left"/>
      <w:pPr>
        <w:ind w:left="360" w:hanging="360"/>
      </w:pPr>
      <w:rPr>
        <w:rFonts w:hint="default"/>
      </w:rPr>
    </w:lvl>
  </w:abstractNum>
  <w:abstractNum w:abstractNumId="34" w15:restartNumberingAfterBreak="0">
    <w:nsid w:val="70912D11"/>
    <w:multiLevelType w:val="hybridMultilevel"/>
    <w:tmpl w:val="5930F592"/>
    <w:lvl w:ilvl="0" w:tplc="5B089B78">
      <w:start w:val="1"/>
      <w:numFmt w:val="decimal"/>
      <w:lvlText w:val="%1."/>
      <w:lvlJc w:val="left"/>
      <w:pPr>
        <w:ind w:left="720" w:hanging="360"/>
      </w:pPr>
      <w:rPr>
        <w:rFonts w:hint="eastAsia"/>
        <w:snapToGrid/>
        <w:sz w:val="23"/>
        <w:szCs w:val="2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1911203"/>
    <w:multiLevelType w:val="hybridMultilevel"/>
    <w:tmpl w:val="A336B9F0"/>
    <w:lvl w:ilvl="0" w:tplc="6ABC45AA">
      <w:start w:val="2"/>
      <w:numFmt w:val="decimal"/>
      <w:lvlText w:val="%1."/>
      <w:lvlJc w:val="left"/>
      <w:pPr>
        <w:ind w:left="720" w:hanging="360"/>
      </w:pPr>
      <w:rPr>
        <w:rFonts w:hint="eastAsia"/>
        <w:snapToGrid/>
        <w:sz w:val="23"/>
        <w:szCs w:val="23"/>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6" w15:restartNumberingAfterBreak="0">
    <w:nsid w:val="74C87711"/>
    <w:multiLevelType w:val="hybridMultilevel"/>
    <w:tmpl w:val="698ED9C2"/>
    <w:lvl w:ilvl="0" w:tplc="0C0A000F">
      <w:start w:val="1"/>
      <w:numFmt w:val="decimal"/>
      <w:lvlText w:val="%1."/>
      <w:lvlJc w:val="left"/>
      <w:pPr>
        <w:ind w:left="720" w:hanging="360"/>
      </w:pPr>
      <w:rPr>
        <w:rFonts w:hint="default"/>
      </w:rPr>
    </w:lvl>
    <w:lvl w:ilvl="1" w:tplc="BF3ABD2A">
      <w:start w:val="1"/>
      <w:numFmt w:val="lowerLetter"/>
      <w:lvlText w:val="%2)"/>
      <w:lvlJc w:val="left"/>
      <w:pPr>
        <w:ind w:left="1440" w:hanging="360"/>
      </w:pPr>
      <w:rPr>
        <w:rFonts w:cs="Times New Roman" w:hint="default"/>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25"/>
  </w:num>
  <w:num w:numId="2">
    <w:abstractNumId w:val="20"/>
  </w:num>
  <w:num w:numId="3">
    <w:abstractNumId w:val="33"/>
  </w:num>
  <w:num w:numId="4">
    <w:abstractNumId w:val="17"/>
  </w:num>
  <w:num w:numId="5">
    <w:abstractNumId w:val="6"/>
  </w:num>
  <w:num w:numId="6">
    <w:abstractNumId w:val="7"/>
  </w:num>
  <w:num w:numId="7">
    <w:abstractNumId w:val="3"/>
  </w:num>
  <w:num w:numId="8">
    <w:abstractNumId w:val="16"/>
  </w:num>
  <w:num w:numId="9">
    <w:abstractNumId w:val="27"/>
  </w:num>
  <w:num w:numId="10">
    <w:abstractNumId w:val="4"/>
  </w:num>
  <w:num w:numId="11">
    <w:abstractNumId w:val="8"/>
  </w:num>
  <w:num w:numId="12">
    <w:abstractNumId w:val="30"/>
  </w:num>
  <w:num w:numId="13">
    <w:abstractNumId w:val="11"/>
  </w:num>
  <w:num w:numId="14">
    <w:abstractNumId w:val="10"/>
  </w:num>
  <w:num w:numId="15">
    <w:abstractNumId w:val="26"/>
  </w:num>
  <w:num w:numId="16">
    <w:abstractNumId w:val="29"/>
  </w:num>
  <w:num w:numId="17">
    <w:abstractNumId w:val="14"/>
  </w:num>
  <w:num w:numId="18">
    <w:abstractNumId w:val="13"/>
  </w:num>
  <w:num w:numId="19">
    <w:abstractNumId w:val="19"/>
  </w:num>
  <w:num w:numId="20">
    <w:abstractNumId w:val="9"/>
  </w:num>
  <w:num w:numId="21">
    <w:abstractNumId w:val="15"/>
  </w:num>
  <w:num w:numId="22">
    <w:abstractNumId w:val="21"/>
  </w:num>
  <w:num w:numId="23">
    <w:abstractNumId w:val="31"/>
  </w:num>
  <w:num w:numId="24">
    <w:abstractNumId w:val="24"/>
  </w:num>
  <w:num w:numId="25">
    <w:abstractNumId w:val="36"/>
  </w:num>
  <w:num w:numId="26">
    <w:abstractNumId w:val="18"/>
  </w:num>
  <w:num w:numId="27">
    <w:abstractNumId w:val="5"/>
  </w:num>
  <w:num w:numId="28">
    <w:abstractNumId w:val="35"/>
  </w:num>
  <w:num w:numId="29">
    <w:abstractNumId w:val="12"/>
  </w:num>
  <w:num w:numId="30">
    <w:abstractNumId w:val="1"/>
  </w:num>
  <w:num w:numId="31">
    <w:abstractNumId w:val="22"/>
  </w:num>
  <w:num w:numId="32">
    <w:abstractNumId w:val="34"/>
  </w:num>
  <w:num w:numId="33">
    <w:abstractNumId w:val="2"/>
  </w:num>
  <w:num w:numId="34">
    <w:abstractNumId w:val="0"/>
  </w:num>
  <w:num w:numId="35">
    <w:abstractNumId w:val="23"/>
  </w:num>
  <w:num w:numId="36">
    <w:abstractNumId w:val="28"/>
  </w:num>
  <w:num w:numId="37">
    <w:abstractNumId w:val="3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oNotHyphenateCaps/>
  <w:evenAndOddHeaders/>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1B8D"/>
    <w:rsid w:val="0008615D"/>
    <w:rsid w:val="000A1D69"/>
    <w:rsid w:val="000B0C18"/>
    <w:rsid w:val="000D1A6C"/>
    <w:rsid w:val="000E78D9"/>
    <w:rsid w:val="00187AF6"/>
    <w:rsid w:val="001950C5"/>
    <w:rsid w:val="001C0958"/>
    <w:rsid w:val="0020707C"/>
    <w:rsid w:val="00221369"/>
    <w:rsid w:val="00283DC6"/>
    <w:rsid w:val="002974B0"/>
    <w:rsid w:val="002B596E"/>
    <w:rsid w:val="002D3069"/>
    <w:rsid w:val="002E2281"/>
    <w:rsid w:val="0031555C"/>
    <w:rsid w:val="00352E4D"/>
    <w:rsid w:val="00365BC6"/>
    <w:rsid w:val="003E6A72"/>
    <w:rsid w:val="00411B8D"/>
    <w:rsid w:val="00484CD4"/>
    <w:rsid w:val="004857B3"/>
    <w:rsid w:val="004B5C4F"/>
    <w:rsid w:val="005472A7"/>
    <w:rsid w:val="00586A14"/>
    <w:rsid w:val="00591388"/>
    <w:rsid w:val="005F0279"/>
    <w:rsid w:val="005F3632"/>
    <w:rsid w:val="00623B7F"/>
    <w:rsid w:val="006F6A4A"/>
    <w:rsid w:val="00717BE1"/>
    <w:rsid w:val="007C4BCF"/>
    <w:rsid w:val="007C5599"/>
    <w:rsid w:val="007C5CFC"/>
    <w:rsid w:val="007D1E66"/>
    <w:rsid w:val="008015BE"/>
    <w:rsid w:val="00810B76"/>
    <w:rsid w:val="00846B3D"/>
    <w:rsid w:val="00863E0E"/>
    <w:rsid w:val="008678D7"/>
    <w:rsid w:val="008862F9"/>
    <w:rsid w:val="0090665E"/>
    <w:rsid w:val="00911626"/>
    <w:rsid w:val="009767AA"/>
    <w:rsid w:val="00A811B2"/>
    <w:rsid w:val="00A92352"/>
    <w:rsid w:val="00AE24F0"/>
    <w:rsid w:val="00B3535A"/>
    <w:rsid w:val="00BB519B"/>
    <w:rsid w:val="00BF4EB4"/>
    <w:rsid w:val="00C021DD"/>
    <w:rsid w:val="00C303E7"/>
    <w:rsid w:val="00C32D3E"/>
    <w:rsid w:val="00C45F85"/>
    <w:rsid w:val="00C75B04"/>
    <w:rsid w:val="00D0380A"/>
    <w:rsid w:val="00D06F2A"/>
    <w:rsid w:val="00D12949"/>
    <w:rsid w:val="00D65D8D"/>
    <w:rsid w:val="00D96D5D"/>
    <w:rsid w:val="00DB4E17"/>
    <w:rsid w:val="00DD0AFD"/>
    <w:rsid w:val="00E16F77"/>
    <w:rsid w:val="00E24ED9"/>
    <w:rsid w:val="00E26D97"/>
    <w:rsid w:val="00E274B8"/>
    <w:rsid w:val="00E35FA4"/>
    <w:rsid w:val="00EE779D"/>
    <w:rsid w:val="00F23F1D"/>
    <w:rsid w:val="00F6126B"/>
    <w:rsid w:val="00F67590"/>
    <w:rsid w:val="00FF3F51"/>
    <w:rsid w:val="00FF4A5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96"/>
  <w15:docId w15:val="{A08042F1-4549-41F1-848D-4B17EAD8E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8D"/>
    <w:pPr>
      <w:widowControl w:val="0"/>
      <w:autoSpaceDE w:val="0"/>
      <w:autoSpaceDN w:val="0"/>
      <w:adjustRightInd w:val="0"/>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B8D"/>
    <w:pPr>
      <w:tabs>
        <w:tab w:val="center" w:pos="4536"/>
        <w:tab w:val="right" w:pos="9072"/>
      </w:tabs>
    </w:pPr>
  </w:style>
  <w:style w:type="character" w:customStyle="1" w:styleId="HeaderChar">
    <w:name w:val="Header Char"/>
    <w:link w:val="Header"/>
    <w:uiPriority w:val="99"/>
    <w:locked/>
    <w:rsid w:val="00411B8D"/>
    <w:rPr>
      <w:rFonts w:ascii="Arial" w:hAnsi="Arial"/>
    </w:rPr>
  </w:style>
  <w:style w:type="paragraph" w:styleId="Footer">
    <w:name w:val="footer"/>
    <w:basedOn w:val="Normal"/>
    <w:link w:val="FooterChar"/>
    <w:uiPriority w:val="99"/>
    <w:rsid w:val="00411B8D"/>
    <w:pPr>
      <w:tabs>
        <w:tab w:val="center" w:pos="4536"/>
        <w:tab w:val="right" w:pos="9072"/>
      </w:tabs>
    </w:pPr>
  </w:style>
  <w:style w:type="character" w:customStyle="1" w:styleId="FooterChar">
    <w:name w:val="Footer Char"/>
    <w:link w:val="Footer"/>
    <w:uiPriority w:val="99"/>
    <w:locked/>
    <w:rsid w:val="00411B8D"/>
    <w:rPr>
      <w:rFonts w:ascii="Arial" w:hAnsi="Arial"/>
    </w:rPr>
  </w:style>
  <w:style w:type="paragraph" w:styleId="ListParagraph">
    <w:name w:val="List Paragraph"/>
    <w:basedOn w:val="Normal"/>
    <w:uiPriority w:val="99"/>
    <w:qFormat/>
    <w:rsid w:val="007C5CFC"/>
    <w:pPr>
      <w:ind w:left="720"/>
      <w:contextualSpacing/>
    </w:pPr>
  </w:style>
  <w:style w:type="paragraph" w:styleId="EndnoteText">
    <w:name w:val="endnote text"/>
    <w:basedOn w:val="Normal"/>
    <w:link w:val="EndnoteTextChar"/>
    <w:uiPriority w:val="99"/>
    <w:rsid w:val="00846B3D"/>
  </w:style>
  <w:style w:type="character" w:customStyle="1" w:styleId="EndnoteTextChar">
    <w:name w:val="Endnote Text Char"/>
    <w:link w:val="EndnoteText"/>
    <w:uiPriority w:val="99"/>
    <w:locked/>
    <w:rsid w:val="00846B3D"/>
    <w:rPr>
      <w:rFonts w:ascii="Arial" w:hAnsi="Arial"/>
    </w:rPr>
  </w:style>
  <w:style w:type="character" w:styleId="EndnoteReference">
    <w:name w:val="endnote reference"/>
    <w:uiPriority w:val="99"/>
    <w:rsid w:val="00846B3D"/>
    <w:rPr>
      <w:rFonts w:cs="Times New Roman"/>
      <w:vertAlign w:val="superscript"/>
    </w:rPr>
  </w:style>
  <w:style w:type="paragraph" w:styleId="FootnoteText">
    <w:name w:val="footnote text"/>
    <w:basedOn w:val="Normal"/>
    <w:link w:val="FootnoteTextChar"/>
    <w:uiPriority w:val="99"/>
    <w:rsid w:val="00846B3D"/>
  </w:style>
  <w:style w:type="character" w:customStyle="1" w:styleId="FootnoteTextChar">
    <w:name w:val="Footnote Text Char"/>
    <w:link w:val="FootnoteText"/>
    <w:uiPriority w:val="99"/>
    <w:locked/>
    <w:rsid w:val="00846B3D"/>
    <w:rPr>
      <w:rFonts w:ascii="Arial" w:hAnsi="Arial"/>
    </w:rPr>
  </w:style>
  <w:style w:type="character" w:styleId="FootnoteReference">
    <w:name w:val="footnote reference"/>
    <w:uiPriority w:val="99"/>
    <w:rsid w:val="00846B3D"/>
    <w:rPr>
      <w:rFonts w:cs="Times New Roman"/>
      <w:vertAlign w:val="superscript"/>
    </w:rPr>
  </w:style>
  <w:style w:type="character" w:styleId="PageNumber">
    <w:name w:val="page number"/>
    <w:uiPriority w:val="99"/>
    <w:rsid w:val="007C4BCF"/>
    <w:rPr>
      <w:rFonts w:cs="Times New Roman"/>
    </w:rPr>
  </w:style>
  <w:style w:type="paragraph" w:styleId="BalloonText">
    <w:name w:val="Balloon Text"/>
    <w:basedOn w:val="Normal"/>
    <w:link w:val="BalloonTextChar"/>
    <w:uiPriority w:val="99"/>
    <w:semiHidden/>
    <w:unhideWhenUsed/>
    <w:rsid w:val="00C32D3E"/>
    <w:rPr>
      <w:rFonts w:ascii="Tahoma" w:hAnsi="Tahoma" w:cs="Tahoma"/>
      <w:sz w:val="16"/>
      <w:szCs w:val="16"/>
    </w:rPr>
  </w:style>
  <w:style w:type="character" w:customStyle="1" w:styleId="BalloonTextChar">
    <w:name w:val="Balloon Text Char"/>
    <w:link w:val="BalloonText"/>
    <w:uiPriority w:val="99"/>
    <w:semiHidden/>
    <w:rsid w:val="00C32D3E"/>
    <w:rPr>
      <w:rFonts w:ascii="Tahoma" w:hAnsi="Tahoma" w:cs="Tahoma"/>
      <w:sz w:val="16"/>
      <w:szCs w:val="16"/>
    </w:rPr>
  </w:style>
  <w:style w:type="paragraph" w:styleId="PlainText">
    <w:name w:val="Plain Text"/>
    <w:basedOn w:val="Normal"/>
    <w:link w:val="PlainTextChar"/>
    <w:uiPriority w:val="99"/>
    <w:unhideWhenUsed/>
    <w:rsid w:val="00810B76"/>
    <w:pPr>
      <w:widowControl/>
      <w:autoSpaceDE/>
      <w:autoSpaceDN/>
      <w:adjustRightInd/>
    </w:pPr>
    <w:rPr>
      <w:rFonts w:ascii="Consolas" w:hAnsi="Consolas" w:cs="Times New Roman"/>
      <w:sz w:val="21"/>
      <w:szCs w:val="21"/>
    </w:rPr>
  </w:style>
  <w:style w:type="character" w:customStyle="1" w:styleId="PlainTextChar">
    <w:name w:val="Plain Text Char"/>
    <w:link w:val="PlainText"/>
    <w:uiPriority w:val="99"/>
    <w:rsid w:val="00810B76"/>
    <w:rPr>
      <w:rFonts w:ascii="Consolas" w:hAnsi="Consolas"/>
      <w:sz w:val="21"/>
      <w:szCs w:val="21"/>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lov-lex.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lpdesk@slov-lex.s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5E15CF-80B8-44F3-A4C4-97AF3C84E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14</Pages>
  <Words>6218</Words>
  <Characters>34200</Characters>
  <Application>Microsoft Office Word</Application>
  <DocSecurity>0</DocSecurity>
  <Lines>285</Lines>
  <Paragraphs>80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40338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Blaho</dc:creator>
  <cp:keywords/>
  <dc:description/>
  <cp:lastModifiedBy>MEGNET, Chantal</cp:lastModifiedBy>
  <cp:revision>10</cp:revision>
  <cp:lastPrinted>2018-11-09T07:19:00Z</cp:lastPrinted>
  <dcterms:created xsi:type="dcterms:W3CDTF">2018-04-05T12:44:00Z</dcterms:created>
  <dcterms:modified xsi:type="dcterms:W3CDTF">2019-04-16T15:32:00Z</dcterms:modified>
</cp:coreProperties>
</file>