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8"/>
        <w:gridCol w:w="3019"/>
      </w:tblGrid>
      <w:tr w:rsidR="00FC6D0F" w:rsidRPr="00EE4F56" w:rsidTr="00F16937">
        <w:tc>
          <w:tcPr>
            <w:tcW w:w="3018" w:type="dxa"/>
          </w:tcPr>
          <w:p w:rsidR="00FC6D0F" w:rsidRPr="00EE4F56" w:rsidRDefault="00FC6D0F" w:rsidP="002C4FD9">
            <w:pPr>
              <w:spacing w:after="60" w:line="240" w:lineRule="auto"/>
              <w:rPr>
                <w:rFonts w:ascii="Arial" w:hAnsi="Arial" w:cs="Arial"/>
                <w:b/>
                <w:sz w:val="18"/>
                <w:szCs w:val="18"/>
              </w:rPr>
            </w:pPr>
          </w:p>
        </w:tc>
        <w:tc>
          <w:tcPr>
            <w:tcW w:w="3018" w:type="dxa"/>
          </w:tcPr>
          <w:p w:rsidR="002C4FD9" w:rsidRPr="00EE4F56" w:rsidRDefault="00FC6D0F" w:rsidP="002C4FD9">
            <w:pPr>
              <w:spacing w:after="60" w:line="240" w:lineRule="auto"/>
              <w:rPr>
                <w:rFonts w:ascii="Arial" w:hAnsi="Arial" w:cs="Arial"/>
                <w:b/>
                <w:sz w:val="18"/>
                <w:szCs w:val="18"/>
              </w:rPr>
            </w:pPr>
            <w:r>
              <w:rPr>
                <w:rFonts w:ascii="Arial" w:hAnsi="Arial"/>
                <w:b/>
                <w:sz w:val="18"/>
              </w:rPr>
              <w:t>Vydavatel: Vláda</w:t>
            </w:r>
          </w:p>
          <w:p w:rsidR="002C4FD9" w:rsidRPr="00EE4F56" w:rsidRDefault="002C4FD9" w:rsidP="002C4FD9">
            <w:pPr>
              <w:spacing w:after="60" w:line="240" w:lineRule="auto"/>
              <w:rPr>
                <w:rFonts w:ascii="Arial" w:hAnsi="Arial" w:cs="Arial"/>
                <w:b/>
                <w:sz w:val="18"/>
                <w:szCs w:val="18"/>
              </w:rPr>
            </w:pPr>
            <w:r>
              <w:rPr>
                <w:rFonts w:ascii="Arial" w:hAnsi="Arial"/>
                <w:b/>
                <w:sz w:val="18"/>
              </w:rPr>
              <w:t>Forma: nařízení</w:t>
            </w:r>
          </w:p>
          <w:p w:rsidR="00FC6D0F" w:rsidRPr="00EE4F56" w:rsidRDefault="00FC6D0F" w:rsidP="002C4FD9">
            <w:pPr>
              <w:spacing w:after="60" w:line="240" w:lineRule="auto"/>
              <w:rPr>
                <w:rFonts w:ascii="Arial" w:hAnsi="Arial" w:cs="Arial"/>
                <w:b/>
                <w:sz w:val="18"/>
                <w:szCs w:val="18"/>
              </w:rPr>
            </w:pPr>
            <w:r>
              <w:rPr>
                <w:rFonts w:ascii="Arial" w:hAnsi="Arial"/>
                <w:b/>
                <w:sz w:val="18"/>
              </w:rPr>
              <w:t>Číslo: 682</w:t>
            </w:r>
          </w:p>
          <w:p w:rsidR="002C4FD9" w:rsidRPr="00EE4F56" w:rsidRDefault="002C4FD9" w:rsidP="002C4FD9">
            <w:pPr>
              <w:spacing w:after="60" w:line="240" w:lineRule="auto"/>
              <w:rPr>
                <w:rFonts w:ascii="Arial" w:hAnsi="Arial" w:cs="Arial"/>
                <w:b/>
                <w:sz w:val="18"/>
                <w:szCs w:val="18"/>
              </w:rPr>
            </w:pPr>
            <w:r>
              <w:rPr>
                <w:rFonts w:ascii="Arial" w:hAnsi="Arial"/>
                <w:b/>
                <w:sz w:val="18"/>
              </w:rPr>
              <w:t>Přijato: 13. 11. 2018</w:t>
            </w:r>
          </w:p>
          <w:p w:rsidR="00FC6D0F" w:rsidRPr="00EE4F56" w:rsidRDefault="00FC6D0F" w:rsidP="002C4FD9">
            <w:pPr>
              <w:spacing w:after="60" w:line="240" w:lineRule="auto"/>
              <w:rPr>
                <w:rFonts w:ascii="Arial" w:hAnsi="Arial" w:cs="Arial"/>
                <w:b/>
                <w:sz w:val="18"/>
                <w:szCs w:val="18"/>
              </w:rPr>
            </w:pPr>
            <w:r>
              <w:rPr>
                <w:rFonts w:ascii="Arial" w:hAnsi="Arial"/>
                <w:b/>
                <w:sz w:val="18"/>
              </w:rPr>
              <w:t>Vstoupilo v platnost: 16. 11. 2018</w:t>
            </w:r>
          </w:p>
        </w:tc>
        <w:tc>
          <w:tcPr>
            <w:tcW w:w="3019" w:type="dxa"/>
          </w:tcPr>
          <w:p w:rsidR="00FC6D0F" w:rsidRPr="00EE4F56" w:rsidRDefault="00FC6D0F" w:rsidP="002C4FD9">
            <w:pPr>
              <w:spacing w:after="60" w:line="240" w:lineRule="auto"/>
              <w:rPr>
                <w:rFonts w:ascii="Arial" w:hAnsi="Arial" w:cs="Arial"/>
                <w:b/>
                <w:sz w:val="18"/>
                <w:szCs w:val="18"/>
              </w:rPr>
            </w:pPr>
            <w:r>
              <w:rPr>
                <w:rFonts w:ascii="Arial" w:hAnsi="Arial"/>
                <w:b/>
                <w:sz w:val="18"/>
              </w:rPr>
              <w:t>Zveřejněno:</w:t>
            </w:r>
          </w:p>
          <w:p w:rsidR="002C4FD9" w:rsidRPr="00EE4F56" w:rsidRDefault="002C4FD9" w:rsidP="002C4FD9">
            <w:pPr>
              <w:spacing w:after="60" w:line="240" w:lineRule="auto"/>
              <w:rPr>
                <w:rFonts w:ascii="Arial" w:hAnsi="Arial" w:cs="Arial"/>
                <w:b/>
                <w:sz w:val="18"/>
                <w:szCs w:val="18"/>
              </w:rPr>
            </w:pPr>
            <w:r>
              <w:rPr>
                <w:rFonts w:ascii="Arial" w:hAnsi="Arial"/>
                <w:b/>
                <w:sz w:val="18"/>
              </w:rPr>
              <w:t>Latvijas Vēstnesis [Úřední věstník Lotyšské republiky], 226/6312,</w:t>
            </w:r>
          </w:p>
          <w:p w:rsidR="00FC6D0F" w:rsidRPr="00EE4F56" w:rsidRDefault="00FC6D0F" w:rsidP="002C4FD9">
            <w:pPr>
              <w:spacing w:after="60" w:line="240" w:lineRule="auto"/>
              <w:rPr>
                <w:rFonts w:ascii="Arial" w:hAnsi="Arial" w:cs="Arial"/>
                <w:b/>
                <w:sz w:val="18"/>
                <w:szCs w:val="18"/>
              </w:rPr>
            </w:pPr>
            <w:r>
              <w:rPr>
                <w:rFonts w:ascii="Arial" w:hAnsi="Arial"/>
                <w:b/>
                <w:sz w:val="18"/>
              </w:rPr>
              <w:t>15. 11. 2018</w:t>
            </w:r>
          </w:p>
          <w:p w:rsidR="002C4FD9" w:rsidRPr="00EE4F56" w:rsidRDefault="002C4FD9" w:rsidP="002C4FD9">
            <w:pPr>
              <w:spacing w:after="60" w:line="240" w:lineRule="auto"/>
              <w:rPr>
                <w:rFonts w:ascii="Arial" w:hAnsi="Arial" w:cs="Arial"/>
                <w:b/>
                <w:sz w:val="18"/>
                <w:szCs w:val="18"/>
              </w:rPr>
            </w:pPr>
          </w:p>
          <w:p w:rsidR="00FC6D0F" w:rsidRPr="00EE4F56" w:rsidRDefault="00FC6D0F" w:rsidP="002C4FD9">
            <w:pPr>
              <w:spacing w:after="60" w:line="240" w:lineRule="auto"/>
              <w:rPr>
                <w:rFonts w:ascii="Arial" w:hAnsi="Arial" w:cs="Arial"/>
                <w:b/>
                <w:sz w:val="18"/>
                <w:szCs w:val="18"/>
              </w:rPr>
            </w:pPr>
            <w:r>
              <w:rPr>
                <w:rFonts w:ascii="Arial" w:hAnsi="Arial"/>
                <w:b/>
                <w:sz w:val="18"/>
              </w:rPr>
              <w:t>Číslo OP: 2018/226.2</w:t>
            </w:r>
          </w:p>
        </w:tc>
      </w:tr>
      <w:tr w:rsidR="002C4FD9" w:rsidRPr="00EE4F56" w:rsidTr="00F16937">
        <w:tc>
          <w:tcPr>
            <w:tcW w:w="3018" w:type="dxa"/>
            <w:tcBorders>
              <w:bottom w:val="single" w:sz="12" w:space="0" w:color="A6A6A6"/>
            </w:tcBorders>
          </w:tcPr>
          <w:p w:rsidR="002C4FD9" w:rsidRPr="00EE4F56" w:rsidRDefault="002C4FD9" w:rsidP="002C4FD9">
            <w:pPr>
              <w:spacing w:after="60" w:line="240" w:lineRule="auto"/>
              <w:rPr>
                <w:rFonts w:ascii="Arial" w:hAnsi="Arial" w:cs="Arial"/>
                <w:noProof/>
                <w:sz w:val="18"/>
                <w:szCs w:val="18"/>
              </w:rPr>
            </w:pPr>
          </w:p>
        </w:tc>
        <w:tc>
          <w:tcPr>
            <w:tcW w:w="3018" w:type="dxa"/>
            <w:tcBorders>
              <w:bottom w:val="single" w:sz="12" w:space="0" w:color="A6A6A6"/>
            </w:tcBorders>
          </w:tcPr>
          <w:p w:rsidR="002C4FD9" w:rsidRPr="00EE4F5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rsidR="002C4FD9" w:rsidRPr="00EE4F56" w:rsidRDefault="002C4FD9" w:rsidP="002C4FD9">
            <w:pPr>
              <w:spacing w:after="60" w:line="240" w:lineRule="auto"/>
              <w:rPr>
                <w:rFonts w:ascii="Arial" w:hAnsi="Arial" w:cs="Arial"/>
                <w:b/>
                <w:sz w:val="18"/>
                <w:szCs w:val="18"/>
              </w:rPr>
            </w:pPr>
          </w:p>
        </w:tc>
      </w:tr>
    </w:tbl>
    <w:p w:rsidR="00C05723" w:rsidRPr="00EE4F56" w:rsidRDefault="00C05723" w:rsidP="002C4FD9">
      <w:pPr>
        <w:spacing w:before="120" w:after="120" w:line="240" w:lineRule="auto"/>
        <w:rPr>
          <w:rFonts w:ascii="Arial" w:hAnsi="Arial" w:cs="Arial"/>
          <w:b/>
          <w:sz w:val="18"/>
          <w:szCs w:val="18"/>
        </w:rPr>
      </w:pPr>
    </w:p>
    <w:p w:rsidR="00344F8E" w:rsidRDefault="00344F8E" w:rsidP="00344F8E">
      <w:pPr>
        <w:pStyle w:val="PlainText"/>
        <w:rPr>
          <w:rFonts w:ascii="Courier New" w:hAnsi="Courier New" w:cs="Courier New"/>
          <w:sz w:val="20"/>
          <w:szCs w:val="20"/>
        </w:rPr>
      </w:pPr>
      <w:r>
        <w:rPr>
          <w:rFonts w:ascii="Courier New" w:hAnsi="Courier New"/>
          <w:sz w:val="20"/>
        </w:rPr>
        <w:t>1. ------IND- 2018 0211 LV-- CS- ------ 20191218 --- --- FINAL</w:t>
      </w:r>
    </w:p>
    <w:p w:rsidR="00FC6D0F" w:rsidRPr="00EE4F56" w:rsidRDefault="00FC6D0F" w:rsidP="00154E01">
      <w:pPr>
        <w:spacing w:before="120" w:after="120" w:line="240" w:lineRule="auto"/>
        <w:jc w:val="right"/>
        <w:rPr>
          <w:rFonts w:ascii="Arial" w:hAnsi="Arial" w:cs="Arial"/>
          <w:b/>
          <w:sz w:val="18"/>
          <w:szCs w:val="18"/>
        </w:rPr>
      </w:pPr>
      <w:r>
        <w:rPr>
          <w:rFonts w:ascii="Arial" w:hAnsi="Arial"/>
          <w:b/>
          <w:sz w:val="18"/>
        </w:rPr>
        <w:t>Nařízení vlády č. 682</w:t>
      </w:r>
    </w:p>
    <w:p w:rsidR="00451295" w:rsidRPr="00EE4F56" w:rsidRDefault="00FC6D0F" w:rsidP="00154E01">
      <w:pPr>
        <w:spacing w:before="120" w:after="120" w:line="240" w:lineRule="auto"/>
        <w:jc w:val="right"/>
        <w:rPr>
          <w:rFonts w:ascii="Arial" w:hAnsi="Arial" w:cs="Arial"/>
          <w:sz w:val="18"/>
          <w:szCs w:val="18"/>
        </w:rPr>
      </w:pPr>
      <w:r>
        <w:rPr>
          <w:rFonts w:ascii="Arial" w:hAnsi="Arial"/>
          <w:sz w:val="18"/>
        </w:rPr>
        <w:t>Riga, 13. listopadu 2018 (Ref. č. 52 odstavec 34)</w:t>
      </w:r>
    </w:p>
    <w:p w:rsidR="00FC6D0F" w:rsidRPr="00EE4F56" w:rsidRDefault="00FC6D0F" w:rsidP="002C4FD9">
      <w:pPr>
        <w:spacing w:before="120" w:after="120" w:line="240" w:lineRule="auto"/>
        <w:rPr>
          <w:rFonts w:ascii="Arial" w:hAnsi="Arial" w:cs="Arial"/>
          <w:b/>
          <w:sz w:val="18"/>
          <w:szCs w:val="18"/>
        </w:rPr>
      </w:pPr>
    </w:p>
    <w:p w:rsidR="00FC6D0F" w:rsidRPr="00EE4F56" w:rsidRDefault="00FC6D0F" w:rsidP="002C4FD9">
      <w:pPr>
        <w:spacing w:before="120" w:after="120" w:line="240" w:lineRule="auto"/>
        <w:rPr>
          <w:rFonts w:ascii="Arial" w:hAnsi="Arial" w:cs="Arial"/>
          <w:b/>
          <w:sz w:val="18"/>
          <w:szCs w:val="18"/>
        </w:rPr>
      </w:pPr>
    </w:p>
    <w:p w:rsidR="00BA59B3" w:rsidRPr="00EE4F56" w:rsidRDefault="00FC6D0F" w:rsidP="002C4FD9">
      <w:pPr>
        <w:spacing w:before="120" w:after="120" w:line="240" w:lineRule="auto"/>
        <w:jc w:val="center"/>
        <w:rPr>
          <w:rFonts w:ascii="Arial" w:eastAsia="Times New Roman" w:hAnsi="Arial" w:cs="Arial"/>
          <w:b/>
          <w:sz w:val="28"/>
          <w:szCs w:val="28"/>
        </w:rPr>
      </w:pPr>
      <w:r>
        <w:rPr>
          <w:rFonts w:ascii="Arial" w:hAnsi="Arial"/>
          <w:b/>
          <w:sz w:val="28"/>
        </w:rPr>
        <w:t>Postup, podle něhož přestává platit stav odpadu u pryžových materiálů získaných z pneumatik s ukončenou životností</w:t>
      </w:r>
    </w:p>
    <w:p w:rsidR="00451295" w:rsidRPr="00EE4F56" w:rsidRDefault="00451295" w:rsidP="002C4FD9">
      <w:pPr>
        <w:spacing w:before="120" w:after="120" w:line="240" w:lineRule="auto"/>
        <w:jc w:val="right"/>
        <w:rPr>
          <w:rFonts w:ascii="Arial" w:eastAsia="Times New Roman" w:hAnsi="Arial" w:cs="Arial"/>
          <w:sz w:val="18"/>
          <w:szCs w:val="18"/>
        </w:rPr>
      </w:pPr>
    </w:p>
    <w:p w:rsidR="00FB0141" w:rsidRPr="00EE4F56" w:rsidRDefault="00154E01" w:rsidP="00EE4F56">
      <w:pPr>
        <w:keepNext/>
        <w:keepLines/>
        <w:spacing w:before="120" w:after="120" w:line="240" w:lineRule="auto"/>
        <w:jc w:val="right"/>
        <w:rPr>
          <w:rFonts w:ascii="Arial" w:eastAsia="Times New Roman" w:hAnsi="Arial" w:cs="Arial"/>
          <w:i/>
          <w:sz w:val="18"/>
          <w:szCs w:val="18"/>
        </w:rPr>
      </w:pPr>
      <w:r>
        <w:rPr>
          <w:rFonts w:ascii="Arial" w:hAnsi="Arial"/>
          <w:i/>
          <w:sz w:val="18"/>
        </w:rPr>
        <w:t xml:space="preserve">Vydané v souladu s </w:t>
      </w:r>
      <w:r>
        <w:rPr>
          <w:rFonts w:ascii="Arial" w:hAnsi="Arial"/>
          <w:i/>
          <w:sz w:val="18"/>
          <w:szCs w:val="18"/>
        </w:rPr>
        <w:br/>
      </w:r>
      <w:r>
        <w:rPr>
          <w:rFonts w:ascii="Arial" w:hAnsi="Arial"/>
          <w:i/>
          <w:sz w:val="18"/>
        </w:rPr>
        <w:t>čl. 6 odst.1 bodem 1</w:t>
      </w:r>
      <w:r>
        <w:rPr>
          <w:rFonts w:ascii="Arial" w:hAnsi="Arial"/>
          <w:i/>
          <w:sz w:val="18"/>
          <w:szCs w:val="18"/>
        </w:rPr>
        <w:br/>
      </w:r>
      <w:r>
        <w:rPr>
          <w:rFonts w:ascii="Arial" w:hAnsi="Arial"/>
          <w:i/>
          <w:sz w:val="18"/>
        </w:rPr>
        <w:t>zákona o nakládání s odpady</w:t>
      </w:r>
    </w:p>
    <w:p w:rsidR="00BA59B3" w:rsidRPr="00EE4F56" w:rsidRDefault="00565BE4" w:rsidP="00565BE4">
      <w:pPr>
        <w:pStyle w:val="ListParagraph"/>
        <w:numPr>
          <w:ilvl w:val="0"/>
          <w:numId w:val="1"/>
        </w:numPr>
        <w:spacing w:before="120" w:after="120" w:line="240" w:lineRule="auto"/>
        <w:contextualSpacing w:val="0"/>
        <w:jc w:val="both"/>
        <w:rPr>
          <w:rFonts w:ascii="Arial" w:hAnsi="Arial" w:cs="Arial"/>
          <w:sz w:val="18"/>
          <w:szCs w:val="18"/>
        </w:rPr>
      </w:pPr>
      <w:r>
        <w:rPr>
          <w:rFonts w:ascii="Arial" w:hAnsi="Arial"/>
          <w:sz w:val="18"/>
        </w:rPr>
        <w:t>Toto nařízení stanoví postup, podle něhož přestává platit stav odpadu u pryžových materiálů získaných z pneumatik s ukončenou životností.</w:t>
      </w:r>
    </w:p>
    <w:p w:rsidR="005F5128" w:rsidRPr="00EE4F56" w:rsidRDefault="00565BE4" w:rsidP="00565BE4">
      <w:pPr>
        <w:pStyle w:val="NumPar1"/>
        <w:numPr>
          <w:ilvl w:val="0"/>
          <w:numId w:val="1"/>
        </w:numPr>
        <w:rPr>
          <w:rFonts w:ascii="Arial" w:hAnsi="Arial" w:cs="Arial"/>
          <w:sz w:val="18"/>
          <w:szCs w:val="18"/>
        </w:rPr>
      </w:pPr>
      <w:r>
        <w:rPr>
          <w:rFonts w:ascii="Arial" w:hAnsi="Arial"/>
          <w:sz w:val="18"/>
        </w:rPr>
        <w:t>Pro účely tohoto nařízení se druhotnými surovinami rozumí pryžové materiály získané z pneumatik s ukončenou životností trháním, drcením, rozřezáním, nařezáním nebo peletizací, pokud jsou po zpracování pneumatik tyto materiály určeny k prodeji na trhu k dalšímu použití, a to s pojivy nebo bez nich, a splňují všechna kritéria uvedená v příloze 1 tohoto nařízení.</w:t>
      </w:r>
    </w:p>
    <w:p w:rsidR="00B25D4C" w:rsidRPr="00EE4F56" w:rsidRDefault="005770E0" w:rsidP="002C4FD9">
      <w:pPr>
        <w:pStyle w:val="ListParagraph"/>
        <w:keepNext/>
        <w:keepLines/>
        <w:numPr>
          <w:ilvl w:val="0"/>
          <w:numId w:val="1"/>
        </w:numPr>
        <w:spacing w:before="120" w:after="120" w:line="240" w:lineRule="auto"/>
        <w:contextualSpacing w:val="0"/>
        <w:jc w:val="both"/>
        <w:rPr>
          <w:rFonts w:ascii="Arial" w:hAnsi="Arial" w:cs="Arial"/>
          <w:sz w:val="18"/>
          <w:szCs w:val="18"/>
        </w:rPr>
      </w:pPr>
      <w:r>
        <w:rPr>
          <w:rFonts w:ascii="Arial" w:hAnsi="Arial"/>
          <w:sz w:val="18"/>
        </w:rPr>
        <w:t>Z pneumatik s ukončenou životností lze získávat tyto druhotné suroviny:</w:t>
      </w:r>
    </w:p>
    <w:p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prášek z pryže: pryžový materiál získaný rozdrcením pneumatik s ukončenou životností na částice o velikosti až 0,8 mm;</w:t>
      </w:r>
    </w:p>
    <w:p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pryžové pelety: pryžový materiál získaný peletizací pneumatik s ukončenou životností na částice o velikosti 0,9–20 mm; </w:t>
      </w:r>
    </w:p>
    <w:p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pryžový mulč: pryžový materiál získaný strouháním, drcením nebo rozřezáním pneumatik s ukončenou životností na částice nepravidelného tvaru o velikosti 10–50 mm. Příměs textilií je povolena; </w:t>
      </w:r>
    </w:p>
    <w:p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rozdrcená pryž: pryžový materiál získaný strouháním, drcením nebo rozřezáním pneumatik s ukončenou životností na částice nepravidelného tvaru o velikosti převážně od 50 do 300 mm. Příměs kovových drátů a textilií je povolena;</w:t>
      </w:r>
    </w:p>
    <w:p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pryžové odřezky: pryžový materiál získaný strouháním, drcením nebo rozřezáním pneumatik s ukončenou životností na částice nepravidelného tvaru o velikosti převážně od 300 do 500 mm. Příměs kovových drátů a textilií je povolena.</w:t>
      </w:r>
    </w:p>
    <w:p w:rsidR="00BB0531" w:rsidRPr="00EE4F56" w:rsidRDefault="00565BE4" w:rsidP="00565BE4">
      <w:pPr>
        <w:pStyle w:val="NumPar1"/>
        <w:keepNext/>
        <w:keepLines/>
        <w:numPr>
          <w:ilvl w:val="0"/>
          <w:numId w:val="1"/>
        </w:numPr>
        <w:rPr>
          <w:rFonts w:ascii="Arial" w:hAnsi="Arial" w:cs="Arial"/>
          <w:sz w:val="18"/>
          <w:szCs w:val="18"/>
        </w:rPr>
      </w:pPr>
      <w:r>
        <w:rPr>
          <w:rFonts w:ascii="Arial" w:hAnsi="Arial"/>
          <w:sz w:val="18"/>
        </w:rPr>
        <w:t>Pryžové materiály se nepovažují za druhotné materiály, ale za odpad, pokud jsou použity pro tyto účely:</w:t>
      </w:r>
    </w:p>
    <w:p w:rsidR="00BB0531" w:rsidRPr="00EE4F56" w:rsidRDefault="005770E0" w:rsidP="002C4FD9">
      <w:pPr>
        <w:pStyle w:val="NumPar1"/>
        <w:numPr>
          <w:ilvl w:val="1"/>
          <w:numId w:val="1"/>
        </w:numPr>
        <w:rPr>
          <w:rFonts w:ascii="Arial" w:hAnsi="Arial" w:cs="Arial"/>
          <w:sz w:val="18"/>
          <w:szCs w:val="18"/>
        </w:rPr>
      </w:pPr>
      <w:r>
        <w:rPr>
          <w:rFonts w:ascii="Arial" w:hAnsi="Arial"/>
          <w:sz w:val="18"/>
        </w:rPr>
        <w:t>spalování s energetickým využitím nebo bez něj;</w:t>
      </w:r>
    </w:p>
    <w:p w:rsidR="00BB0531" w:rsidRPr="00EE4F56" w:rsidRDefault="005770E0" w:rsidP="002C4FD9">
      <w:pPr>
        <w:pStyle w:val="NumPar1"/>
        <w:numPr>
          <w:ilvl w:val="1"/>
          <w:numId w:val="1"/>
        </w:numPr>
        <w:rPr>
          <w:rFonts w:ascii="Arial" w:hAnsi="Arial" w:cs="Arial"/>
          <w:sz w:val="18"/>
          <w:szCs w:val="18"/>
        </w:rPr>
      </w:pPr>
      <w:r>
        <w:rPr>
          <w:rFonts w:ascii="Arial" w:hAnsi="Arial"/>
          <w:sz w:val="18"/>
        </w:rPr>
        <w:t>pyrolýza, plazmolýza, zplynování a podobné technologické postupy, kdy se upravují fyzikální nebo chemické vlastnosti pryžových materiálů;</w:t>
      </w:r>
    </w:p>
    <w:p w:rsidR="00BB0531" w:rsidRPr="00EE4F56" w:rsidRDefault="00565BE4" w:rsidP="00565BE4">
      <w:pPr>
        <w:pStyle w:val="NumPar1"/>
        <w:numPr>
          <w:ilvl w:val="1"/>
          <w:numId w:val="1"/>
        </w:numPr>
        <w:rPr>
          <w:rFonts w:ascii="Arial" w:hAnsi="Arial" w:cs="Arial"/>
          <w:sz w:val="18"/>
          <w:szCs w:val="18"/>
        </w:rPr>
      </w:pPr>
      <w:r>
        <w:rPr>
          <w:rFonts w:ascii="Arial" w:hAnsi="Arial"/>
          <w:sz w:val="18"/>
        </w:rPr>
        <w:t>uložení na skládkách nebo skladování po delší dobu než 1 rok.</w:t>
      </w:r>
    </w:p>
    <w:p w:rsidR="00F43F5D" w:rsidRPr="00EE4F56" w:rsidRDefault="00565BE4" w:rsidP="00565BE4">
      <w:pPr>
        <w:pStyle w:val="NumPar1"/>
        <w:keepNext/>
        <w:keepLines/>
        <w:numPr>
          <w:ilvl w:val="0"/>
          <w:numId w:val="1"/>
        </w:numPr>
        <w:rPr>
          <w:rFonts w:ascii="Arial" w:hAnsi="Arial" w:cs="Arial"/>
          <w:sz w:val="18"/>
          <w:szCs w:val="18"/>
        </w:rPr>
      </w:pPr>
      <w:r>
        <w:rPr>
          <w:rFonts w:ascii="Arial" w:hAnsi="Arial"/>
          <w:sz w:val="18"/>
        </w:rPr>
        <w:t>Zpracovatel pneumatik s ukončenou životností musí zajistit tyto činnosti:</w:t>
      </w:r>
    </w:p>
    <w:p w:rsidR="009653E2" w:rsidRPr="00EE4F56" w:rsidRDefault="00565BE4" w:rsidP="00565BE4">
      <w:pPr>
        <w:pStyle w:val="NumPar1"/>
        <w:numPr>
          <w:ilvl w:val="1"/>
          <w:numId w:val="1"/>
        </w:numPr>
        <w:rPr>
          <w:rFonts w:ascii="Arial" w:eastAsia="SimSun" w:hAnsi="Arial" w:cs="Arial"/>
          <w:snapToGrid/>
          <w:sz w:val="18"/>
          <w:szCs w:val="18"/>
        </w:rPr>
      </w:pPr>
      <w:r>
        <w:rPr>
          <w:rFonts w:ascii="Arial" w:hAnsi="Arial"/>
          <w:snapToGrid/>
          <w:sz w:val="18"/>
        </w:rPr>
        <w:t>v případě každé šarže druhotných surovin musí být vyplněno prohlášení prokazující, že druhotné suroviny splňují platná kritéria vymezující, kdy odpad přestává být odpadem, stanovená v příloze 1 tohoto nařízení, v souladu s přílohou 2 tohoto nařízení (dále jen „prohlášení o shodě“);</w:t>
      </w:r>
    </w:p>
    <w:p w:rsidR="00AF72FA" w:rsidRPr="00EE4F56" w:rsidRDefault="005770E0" w:rsidP="002C4FD9">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evidence recyklovatelných pneumatik s ukončenou životností se provádí v souladu s pravidly a předpisy, které se týkají úředních formulářů statistiky životního prostředí; </w:t>
      </w:r>
    </w:p>
    <w:p w:rsidR="009653E2" w:rsidRPr="00EE4F56" w:rsidRDefault="00565BE4" w:rsidP="00565BE4">
      <w:pPr>
        <w:pStyle w:val="NumPar1"/>
        <w:numPr>
          <w:ilvl w:val="1"/>
          <w:numId w:val="1"/>
        </w:numPr>
        <w:rPr>
          <w:rFonts w:ascii="Arial" w:hAnsi="Arial" w:cs="Arial"/>
          <w:sz w:val="18"/>
          <w:szCs w:val="18"/>
        </w:rPr>
      </w:pPr>
      <w:r>
        <w:rPr>
          <w:rFonts w:ascii="Arial" w:hAnsi="Arial"/>
          <w:sz w:val="18"/>
        </w:rPr>
        <w:t xml:space="preserve">během přepravy každou šarži druhotných surovin doprovází kopie prohlášení o shodě v tištěné podobě, přičemž musí být umožněno, aby si státní správa ochrany životního prostředí Lotyšské </w:t>
      </w:r>
      <w:r>
        <w:rPr>
          <w:rFonts w:ascii="Arial" w:hAnsi="Arial"/>
          <w:sz w:val="18"/>
        </w:rPr>
        <w:lastRenderedPageBreak/>
        <w:t>republiky mohla o od zpracovatele pneumatik s ukončenou životností vyžádat originál prohlášení o shodě.</w:t>
      </w:r>
    </w:p>
    <w:p w:rsidR="00380381" w:rsidRPr="00EE4F56" w:rsidRDefault="00565BE4" w:rsidP="00565BE4">
      <w:pPr>
        <w:pStyle w:val="NumPar1"/>
        <w:numPr>
          <w:ilvl w:val="0"/>
          <w:numId w:val="1"/>
        </w:numPr>
        <w:rPr>
          <w:rFonts w:ascii="Arial" w:hAnsi="Arial" w:cs="Arial"/>
          <w:sz w:val="18"/>
          <w:szCs w:val="18"/>
        </w:rPr>
      </w:pPr>
      <w:r>
        <w:rPr>
          <w:rFonts w:ascii="Arial" w:hAnsi="Arial"/>
          <w:sz w:val="18"/>
        </w:rPr>
        <w:t>Prohlášení o shodě musí být vypracováno elektronicky v souladu s pravidly a předpisy, které se týkají elektronických dokumentů.</w:t>
      </w:r>
    </w:p>
    <w:p w:rsidR="00565BE4" w:rsidRPr="00EE4F56" w:rsidRDefault="00565BE4" w:rsidP="00565BE4">
      <w:pPr>
        <w:pStyle w:val="NumPar1"/>
        <w:numPr>
          <w:ilvl w:val="0"/>
          <w:numId w:val="1"/>
        </w:numPr>
        <w:rPr>
          <w:rFonts w:ascii="Arial" w:hAnsi="Arial" w:cs="Arial"/>
          <w:sz w:val="18"/>
          <w:szCs w:val="18"/>
        </w:rPr>
      </w:pPr>
      <w:r>
        <w:rPr>
          <w:rFonts w:ascii="Arial" w:hAnsi="Arial"/>
          <w:sz w:val="18"/>
        </w:rPr>
        <w:t>Zpracovatel pneumatik s ukončenou životností uchovává prohlášení o shodě po dobu 5 let od data vydání a předkládá jej na požádání příslušných orgánů odpovědných za nakládání s odpady do deseti pracovních dnů.</w:t>
      </w:r>
    </w:p>
    <w:p w:rsidR="009653E2" w:rsidRPr="00EE4F56" w:rsidRDefault="00565BE4" w:rsidP="00565BE4">
      <w:pPr>
        <w:pStyle w:val="NumPar1"/>
        <w:numPr>
          <w:ilvl w:val="0"/>
          <w:numId w:val="1"/>
        </w:numPr>
        <w:rPr>
          <w:rFonts w:ascii="Arial" w:hAnsi="Arial" w:cs="Arial"/>
          <w:sz w:val="18"/>
          <w:szCs w:val="18"/>
        </w:rPr>
      </w:pPr>
      <w:r>
        <w:rPr>
          <w:rFonts w:ascii="Arial" w:hAnsi="Arial"/>
          <w:sz w:val="18"/>
        </w:rPr>
        <w:t>Zpracovatel pneumatik s ukončenou životností připojuje ke každé šarži druhotných surovin technickou specifikaci výrobku.</w:t>
      </w:r>
    </w:p>
    <w:p w:rsidR="00E40F3E" w:rsidRPr="00EE4F56" w:rsidRDefault="005770E0" w:rsidP="00565BE4">
      <w:pPr>
        <w:pStyle w:val="NumPar1"/>
        <w:numPr>
          <w:ilvl w:val="0"/>
          <w:numId w:val="1"/>
        </w:numPr>
        <w:rPr>
          <w:rFonts w:ascii="Arial" w:hAnsi="Arial" w:cs="Arial"/>
          <w:sz w:val="18"/>
          <w:szCs w:val="18"/>
        </w:rPr>
      </w:pPr>
      <w:r>
        <w:rPr>
          <w:rFonts w:ascii="Arial" w:hAnsi="Arial"/>
          <w:sz w:val="18"/>
        </w:rPr>
        <w:t>Osoba odpovědná za dovoz druhotných surovin do Lotyšska zajišťuje, aby zpracovatel pneumatik s ukončenou životností připojil ke každé šarži druhotných surovin prohlášení s informacemi o fyzikálních a chemických vlastnostech zásilky a údaji o zpracovateli pneumatik s ukončenou životností.</w:t>
      </w:r>
    </w:p>
    <w:p w:rsidR="00E40F3E" w:rsidRPr="00EE4F56" w:rsidRDefault="00565BE4" w:rsidP="00565BE4">
      <w:pPr>
        <w:pStyle w:val="NumPar1"/>
        <w:numPr>
          <w:ilvl w:val="0"/>
          <w:numId w:val="1"/>
        </w:numPr>
        <w:rPr>
          <w:rFonts w:ascii="Arial" w:hAnsi="Arial" w:cs="Arial"/>
          <w:sz w:val="18"/>
          <w:szCs w:val="18"/>
        </w:rPr>
      </w:pPr>
      <w:r>
        <w:rPr>
          <w:rFonts w:ascii="Arial" w:hAnsi="Arial"/>
          <w:sz w:val="18"/>
        </w:rPr>
        <w:t>Osoba odpovědná za dovoz druhotných surovin do Lotyšska musí prohlášení uvedené v odstavci 9 tohoto nařízení uchovávat po dobu 5 let od data jeho vystavení a musí jej předložit na požádání příslušných orgánů odpovědných za nakládání s odpady do 10 pracovních dnů.</w:t>
      </w:r>
    </w:p>
    <w:p w:rsidR="007F3ACF" w:rsidRPr="00EE4F56" w:rsidRDefault="00565BE4" w:rsidP="00565BE4">
      <w:pPr>
        <w:pStyle w:val="NumPar1"/>
        <w:numPr>
          <w:ilvl w:val="0"/>
          <w:numId w:val="1"/>
        </w:numPr>
        <w:rPr>
          <w:rFonts w:ascii="Arial" w:hAnsi="Arial" w:cs="Arial"/>
          <w:sz w:val="18"/>
          <w:szCs w:val="18"/>
        </w:rPr>
      </w:pPr>
      <w:r>
        <w:rPr>
          <w:rFonts w:ascii="Arial" w:hAnsi="Arial"/>
          <w:sz w:val="18"/>
        </w:rPr>
        <w:t>Zpracovatel pneumatik s ukončenou dobou životnosti musí zavést systém řízení jakosti s cílem zajistit sledovatelnost zpracování odpadních pneumatik. Zpracovatel pneumatik s ukončenou dobou životnosti musí dodržovat požadavky na kvalitu a fyzikální a chemické vlastnosti druhotných surovin stanovené v technických specifikacích kupujícího druhotných surovin.</w:t>
      </w:r>
    </w:p>
    <w:p w:rsidR="007F3ACF" w:rsidRPr="00EE4F56" w:rsidRDefault="00565BE4" w:rsidP="00565BE4">
      <w:pPr>
        <w:pStyle w:val="NumPar1"/>
        <w:keepNext/>
        <w:keepLines/>
        <w:numPr>
          <w:ilvl w:val="0"/>
          <w:numId w:val="1"/>
        </w:numPr>
        <w:rPr>
          <w:rFonts w:ascii="Arial" w:hAnsi="Arial" w:cs="Arial"/>
          <w:sz w:val="18"/>
          <w:szCs w:val="18"/>
        </w:rPr>
      </w:pPr>
      <w:r>
        <w:rPr>
          <w:rFonts w:ascii="Arial" w:hAnsi="Arial"/>
          <w:sz w:val="18"/>
        </w:rPr>
        <w:t>Systém řízení jakosti musí zahrnovat podrobný popis zpracování pneumatik s ukončenou životností, který obsahuje tyto informace:</w:t>
      </w:r>
    </w:p>
    <w:p w:rsidR="007F3ACF" w:rsidRPr="00EE4F56" w:rsidRDefault="00565BE4" w:rsidP="00565BE4">
      <w:pPr>
        <w:pStyle w:val="NumPar1"/>
        <w:numPr>
          <w:ilvl w:val="1"/>
          <w:numId w:val="1"/>
        </w:numPr>
        <w:rPr>
          <w:rFonts w:ascii="Arial" w:hAnsi="Arial" w:cs="Arial"/>
          <w:sz w:val="18"/>
          <w:szCs w:val="18"/>
        </w:rPr>
      </w:pPr>
      <w:r>
        <w:rPr>
          <w:rFonts w:ascii="Arial" w:hAnsi="Arial"/>
          <w:sz w:val="18"/>
        </w:rPr>
        <w:t>popis monitorování kvality zpracování pneumatik s ukončenou životností podle přílohy 1 tohoto nařízení;</w:t>
      </w:r>
    </w:p>
    <w:p w:rsidR="007F3ACF" w:rsidRPr="00EE4F56" w:rsidRDefault="00565BE4" w:rsidP="00565BE4">
      <w:pPr>
        <w:pStyle w:val="NumPar1"/>
        <w:numPr>
          <w:ilvl w:val="1"/>
          <w:numId w:val="1"/>
        </w:numPr>
        <w:rPr>
          <w:rFonts w:ascii="Arial" w:hAnsi="Arial" w:cs="Arial"/>
          <w:sz w:val="18"/>
          <w:szCs w:val="18"/>
        </w:rPr>
      </w:pPr>
      <w:r>
        <w:rPr>
          <w:rFonts w:ascii="Arial" w:hAnsi="Arial"/>
          <w:sz w:val="18"/>
        </w:rPr>
        <w:t>použité metody odběru vzorků, fyzikální a chemické zkoušky vzorků, označování druhotných surovin, popis postupů balení a skladování;</w:t>
      </w:r>
    </w:p>
    <w:p w:rsidR="007F3ACF" w:rsidRPr="00EE4F56" w:rsidRDefault="00565BE4" w:rsidP="00565BE4">
      <w:pPr>
        <w:pStyle w:val="NumPar1"/>
        <w:numPr>
          <w:ilvl w:val="1"/>
          <w:numId w:val="1"/>
        </w:numPr>
        <w:rPr>
          <w:rFonts w:ascii="Arial" w:hAnsi="Arial" w:cs="Arial"/>
          <w:sz w:val="18"/>
          <w:szCs w:val="18"/>
        </w:rPr>
      </w:pPr>
      <w:r>
        <w:rPr>
          <w:rFonts w:ascii="Arial" w:hAnsi="Arial"/>
          <w:sz w:val="18"/>
        </w:rPr>
        <w:t>kritéria shody pro pneumatiky s ukončenou životností, typy kontrolních opatření s cílem posoudit shodu v případě pneumatik s ukončenou životností a způsoby, kterými jsou výsledky dokumentovány;</w:t>
      </w:r>
    </w:p>
    <w:p w:rsidR="00480951" w:rsidRPr="00EE4F56" w:rsidRDefault="00565BE4" w:rsidP="00565BE4">
      <w:pPr>
        <w:pStyle w:val="NumPar1"/>
        <w:numPr>
          <w:ilvl w:val="1"/>
          <w:numId w:val="1"/>
        </w:numPr>
        <w:rPr>
          <w:rFonts w:ascii="Arial" w:hAnsi="Arial" w:cs="Arial"/>
          <w:sz w:val="18"/>
          <w:szCs w:val="18"/>
        </w:rPr>
      </w:pPr>
      <w:r>
        <w:rPr>
          <w:rFonts w:ascii="Arial" w:hAnsi="Arial"/>
          <w:sz w:val="18"/>
        </w:rPr>
        <w:t>popis celého cyklu zpracování pneumatik s ukončenou životností, včetně následného nakládání s odpadem produkovaným v procesu zpracování a jeho skladování, a informace o potenciálním prodeji druhotných surovin;</w:t>
      </w:r>
    </w:p>
    <w:p w:rsidR="00480951" w:rsidRPr="00EE4F56" w:rsidRDefault="00565BE4" w:rsidP="00565BE4">
      <w:pPr>
        <w:pStyle w:val="NumPar1"/>
        <w:numPr>
          <w:ilvl w:val="1"/>
          <w:numId w:val="1"/>
        </w:numPr>
        <w:rPr>
          <w:rFonts w:ascii="Arial" w:hAnsi="Arial" w:cs="Arial"/>
          <w:sz w:val="18"/>
          <w:szCs w:val="18"/>
        </w:rPr>
      </w:pPr>
      <w:r>
        <w:rPr>
          <w:rFonts w:ascii="Arial" w:hAnsi="Arial"/>
          <w:sz w:val="18"/>
        </w:rPr>
        <w:t>kritéria shody, pokud jde o kvalitu druhotných surovin, a kritéria vlastní kontroly podle přílohy 1 tohoto nařízení;</w:t>
      </w:r>
    </w:p>
    <w:p w:rsidR="00480951" w:rsidRPr="00EE4F56" w:rsidRDefault="00565BE4" w:rsidP="00565BE4">
      <w:pPr>
        <w:pStyle w:val="NumPar1"/>
        <w:numPr>
          <w:ilvl w:val="1"/>
          <w:numId w:val="1"/>
        </w:numPr>
        <w:rPr>
          <w:rFonts w:ascii="Arial" w:hAnsi="Arial" w:cs="Arial"/>
          <w:sz w:val="18"/>
          <w:szCs w:val="18"/>
        </w:rPr>
      </w:pPr>
      <w:r>
        <w:rPr>
          <w:rFonts w:ascii="Arial" w:hAnsi="Arial"/>
          <w:sz w:val="18"/>
        </w:rPr>
        <w:t>pracovníci zpracovatele odpadních pneumatik, kteří jsou odpovědní za jednotlivé fáze v rámci zpracování pneumatik s ukončenou životností;</w:t>
      </w:r>
    </w:p>
    <w:p w:rsidR="007F3ACF" w:rsidRPr="00EE4F56" w:rsidRDefault="00565BE4" w:rsidP="00565BE4">
      <w:pPr>
        <w:pStyle w:val="NumPar1"/>
        <w:numPr>
          <w:ilvl w:val="1"/>
          <w:numId w:val="1"/>
        </w:numPr>
        <w:rPr>
          <w:rFonts w:ascii="Arial" w:hAnsi="Arial" w:cs="Arial"/>
          <w:sz w:val="18"/>
          <w:szCs w:val="18"/>
        </w:rPr>
      </w:pPr>
      <w:r>
        <w:rPr>
          <w:rFonts w:ascii="Arial" w:hAnsi="Arial"/>
          <w:sz w:val="18"/>
        </w:rPr>
        <w:t>potenciální objem zpracování pneumatik s ukončenou životností.</w:t>
      </w:r>
    </w:p>
    <w:p w:rsidR="00A31DB8" w:rsidRPr="00EE4F56" w:rsidRDefault="00565BE4" w:rsidP="00565BE4">
      <w:pPr>
        <w:pStyle w:val="NumPar1"/>
        <w:numPr>
          <w:ilvl w:val="0"/>
          <w:numId w:val="1"/>
        </w:numPr>
        <w:snapToGrid w:val="0"/>
        <w:rPr>
          <w:rFonts w:ascii="Arial" w:hAnsi="Arial" w:cs="Arial"/>
          <w:sz w:val="18"/>
          <w:szCs w:val="18"/>
        </w:rPr>
      </w:pPr>
      <w:r>
        <w:rPr>
          <w:rFonts w:ascii="Arial" w:hAnsi="Arial"/>
          <w:sz w:val="18"/>
        </w:rPr>
        <w:t>Zpracovatel pneumatik s ukončenou životností uchovává informace uvedené v odstavci 12 tohoto nařízení po dobu 5 let po přijetí příslušné šarže druhotných surovin.</w:t>
      </w:r>
    </w:p>
    <w:p w:rsidR="007F3ACF" w:rsidRPr="00EE4F56" w:rsidRDefault="00565BE4" w:rsidP="00565BE4">
      <w:pPr>
        <w:pStyle w:val="NumPar1"/>
        <w:numPr>
          <w:ilvl w:val="0"/>
          <w:numId w:val="1"/>
        </w:numPr>
        <w:snapToGrid w:val="0"/>
        <w:rPr>
          <w:rFonts w:ascii="Arial" w:hAnsi="Arial" w:cs="Arial"/>
          <w:sz w:val="18"/>
          <w:szCs w:val="18"/>
        </w:rPr>
      </w:pPr>
      <w:r>
        <w:rPr>
          <w:rFonts w:ascii="Arial" w:hAnsi="Arial"/>
          <w:sz w:val="18"/>
        </w:rPr>
        <w:t>Zpracovatel pneumatik s ukončenou životností přezkoumá systém řízení jakosti každý rok a také při provedení důležitých změn technologických procesů za účelem získání druhotných surovin nebo při změně fyzikálních nebo chemických vlastností druhotných surovin.</w:t>
      </w:r>
    </w:p>
    <w:p w:rsidR="00361744" w:rsidRPr="00EE4F56" w:rsidRDefault="00565BE4" w:rsidP="00565BE4">
      <w:pPr>
        <w:pStyle w:val="NumPar1"/>
        <w:numPr>
          <w:ilvl w:val="0"/>
          <w:numId w:val="1"/>
        </w:numPr>
        <w:rPr>
          <w:rFonts w:ascii="Arial" w:hAnsi="Arial" w:cs="Arial"/>
          <w:sz w:val="18"/>
          <w:szCs w:val="18"/>
        </w:rPr>
      </w:pPr>
      <w:r>
        <w:rPr>
          <w:rFonts w:ascii="Arial" w:hAnsi="Arial"/>
          <w:sz w:val="18"/>
        </w:rPr>
        <w:t>Na písemnou žádost příslušných orgánů odpovědných za nakládání s odpady musí zpracovatel pneumatik s ukončenou životností nebo osob odpovědná za dovoz druhotných surovin do Lotyšska poskytnout přístup do všech prostor a ke všem dokumentům souvisejícím se zpracováním a skladováním pneumatik s ukončenou životností za účelem posouzení toho, zda jsou souladu s požadavky stanovenými v tomto nařízení.</w:t>
      </w:r>
    </w:p>
    <w:p w:rsidR="00E83F91" w:rsidRPr="00EE4F56" w:rsidRDefault="00565BE4" w:rsidP="00565BE4">
      <w:pPr>
        <w:pStyle w:val="NumPar1"/>
        <w:numPr>
          <w:ilvl w:val="0"/>
          <w:numId w:val="1"/>
        </w:numPr>
        <w:rPr>
          <w:rFonts w:ascii="Arial" w:hAnsi="Arial" w:cs="Arial"/>
          <w:sz w:val="18"/>
          <w:szCs w:val="18"/>
        </w:rPr>
      </w:pPr>
      <w:r>
        <w:rPr>
          <w:rFonts w:ascii="Arial" w:hAnsi="Arial"/>
          <w:sz w:val="18"/>
        </w:rPr>
        <w:t>Zpracovatel pneumatik s ukončenou životností informuje kupujícího druhotných surovin, že pneumatiky s ukončenou životností jsou zpracovány v souladu se systémem řízení jakosti.</w:t>
      </w:r>
    </w:p>
    <w:p w:rsidR="00E83F91" w:rsidRPr="00EE4F56" w:rsidRDefault="00565BE4" w:rsidP="00565BE4">
      <w:pPr>
        <w:pStyle w:val="NumPar1"/>
        <w:numPr>
          <w:ilvl w:val="0"/>
          <w:numId w:val="1"/>
        </w:numPr>
        <w:snapToGrid w:val="0"/>
        <w:rPr>
          <w:rFonts w:ascii="Arial" w:hAnsi="Arial" w:cs="Arial"/>
          <w:sz w:val="18"/>
          <w:szCs w:val="18"/>
        </w:rPr>
      </w:pPr>
      <w:r>
        <w:rPr>
          <w:rFonts w:ascii="Arial" w:hAnsi="Arial"/>
          <w:sz w:val="18"/>
        </w:rPr>
        <w:t>Pokud je pryžový materiál získaný z pneumatik s ukončenou životností dovezen z jiných zemí a příslušné orgány země odeslání a země určení se nemohou dohodnout na jeho zařazení, uplatňují se ustanovení čl. 28 odst. 1 nařízení Evropského parlamentu a Rady (ES) č. 1013/2006 ze dne 14. června 2006 o přepravě odpadů.</w:t>
      </w:r>
    </w:p>
    <w:p w:rsidR="00565BE4" w:rsidRPr="00EE4F56" w:rsidRDefault="00565BE4" w:rsidP="00EE4F56">
      <w:pPr>
        <w:keepNext/>
        <w:spacing w:before="120" w:after="120" w:line="240" w:lineRule="auto"/>
        <w:jc w:val="center"/>
        <w:rPr>
          <w:rFonts w:ascii="Arial" w:hAnsi="Arial" w:cs="Arial"/>
          <w:b/>
          <w:sz w:val="18"/>
          <w:szCs w:val="18"/>
        </w:rPr>
      </w:pPr>
      <w:r>
        <w:rPr>
          <w:rFonts w:ascii="Arial" w:hAnsi="Arial"/>
          <w:b/>
          <w:sz w:val="18"/>
        </w:rPr>
        <w:t>Odkaz na směrnici Evropské unie</w:t>
      </w:r>
    </w:p>
    <w:p w:rsidR="00565BE4" w:rsidRPr="00EE4F56" w:rsidRDefault="00565BE4" w:rsidP="00565BE4">
      <w:pPr>
        <w:spacing w:before="120" w:after="120" w:line="240" w:lineRule="auto"/>
        <w:ind w:firstLine="360"/>
        <w:rPr>
          <w:rFonts w:ascii="Arial" w:hAnsi="Arial" w:cs="Arial"/>
          <w:sz w:val="18"/>
          <w:szCs w:val="18"/>
        </w:rPr>
      </w:pPr>
      <w:r>
        <w:rPr>
          <w:rFonts w:ascii="Arial" w:hAnsi="Arial"/>
          <w:sz w:val="18"/>
        </w:rPr>
        <w:t>Právní ustanovení je nutné dohodnout s Evropskou komisí a členskými státy Evropské unie v souladu se směrnicí Evropského parlamentu a Rady (EU) 2015/1535 ze dne 9. září 2015 o postupu při poskytování informací v oblasti technických předpisů a předpisů pro služby informační společnosti.</w:t>
      </w:r>
    </w:p>
    <w:p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t>Předseda vlády Māris Kučinskis</w:t>
      </w:r>
    </w:p>
    <w:p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t>Ministr pro ochranu životního</w:t>
      </w:r>
      <w:r>
        <w:rPr>
          <w:rFonts w:ascii="Arial" w:hAnsi="Arial"/>
          <w:i/>
          <w:sz w:val="18"/>
          <w:szCs w:val="18"/>
        </w:rPr>
        <w:br/>
      </w:r>
      <w:r>
        <w:rPr>
          <w:rFonts w:ascii="Arial" w:hAnsi="Arial"/>
          <w:i/>
          <w:sz w:val="18"/>
        </w:rPr>
        <w:t>prostředí a regionální rozvoj Kaspars Gerhards</w:t>
      </w:r>
    </w:p>
    <w:p w:rsidR="00220D38" w:rsidRPr="00EE4F56" w:rsidRDefault="00220D38" w:rsidP="00F37A47">
      <w:pPr>
        <w:keepNext/>
        <w:keepLines/>
        <w:spacing w:before="120" w:after="120" w:line="240" w:lineRule="auto"/>
        <w:jc w:val="right"/>
        <w:rPr>
          <w:rFonts w:ascii="Arial" w:hAnsi="Arial" w:cs="Arial"/>
          <w:sz w:val="18"/>
          <w:szCs w:val="18"/>
        </w:rPr>
      </w:pPr>
      <w:r>
        <w:rPr>
          <w:rFonts w:ascii="Arial" w:hAnsi="Arial"/>
          <w:sz w:val="18"/>
        </w:rPr>
        <w:lastRenderedPageBreak/>
        <w:t>Příloha 1</w:t>
      </w:r>
      <w:r>
        <w:rPr>
          <w:rFonts w:ascii="Arial" w:hAnsi="Arial"/>
          <w:sz w:val="18"/>
        </w:rPr>
        <w:br/>
        <w:t>vládního</w:t>
      </w:r>
      <w:r>
        <w:rPr>
          <w:rFonts w:ascii="Arial" w:hAnsi="Arial"/>
          <w:sz w:val="18"/>
        </w:rPr>
        <w:br/>
        <w:t>nařízení č. 682</w:t>
      </w:r>
      <w:r>
        <w:rPr>
          <w:rFonts w:ascii="Arial" w:hAnsi="Arial"/>
          <w:sz w:val="18"/>
        </w:rPr>
        <w:br/>
        <w:t>ze dne 13. listopadu 2018</w:t>
      </w:r>
    </w:p>
    <w:p w:rsidR="00220D38" w:rsidRPr="00EE4F56" w:rsidRDefault="00220D38" w:rsidP="002C4FD9">
      <w:pPr>
        <w:keepNext/>
        <w:keepLines/>
        <w:spacing w:before="120" w:after="120" w:line="240" w:lineRule="auto"/>
        <w:jc w:val="center"/>
        <w:rPr>
          <w:rFonts w:ascii="Arial" w:hAnsi="Arial" w:cs="Arial"/>
          <w:b/>
          <w:sz w:val="18"/>
          <w:szCs w:val="18"/>
        </w:rPr>
      </w:pPr>
    </w:p>
    <w:p w:rsidR="00220D38" w:rsidRPr="00EE4F56" w:rsidRDefault="00811273" w:rsidP="00926EC8">
      <w:pPr>
        <w:keepNext/>
        <w:keepLines/>
        <w:spacing w:before="120" w:after="120" w:line="240" w:lineRule="auto"/>
        <w:jc w:val="center"/>
        <w:rPr>
          <w:rFonts w:ascii="Arial" w:hAnsi="Arial" w:cs="Arial"/>
          <w:b/>
          <w:sz w:val="24"/>
          <w:szCs w:val="24"/>
        </w:rPr>
      </w:pPr>
      <w:r>
        <w:rPr>
          <w:rFonts w:ascii="Arial" w:hAnsi="Arial"/>
          <w:b/>
          <w:sz w:val="24"/>
        </w:rPr>
        <w:t>Kritéria vymezující, kdy pryžové materiály získané z pneumatik s ukončenou životností přestávají být odpadem</w:t>
      </w:r>
    </w:p>
    <w:p w:rsidR="00926EC8" w:rsidRPr="00EE4F56" w:rsidRDefault="00926EC8" w:rsidP="00926EC8">
      <w:pPr>
        <w:keepNext/>
        <w:keepLines/>
        <w:spacing w:before="120" w:after="120" w:line="240" w:lineRule="auto"/>
        <w:jc w:val="center"/>
        <w:rPr>
          <w:rFonts w:ascii="Arial" w:hAnsi="Arial" w:cs="Arial"/>
          <w:b/>
          <w:sz w:val="18"/>
          <w:szCs w:val="18"/>
        </w:rPr>
      </w:pPr>
    </w:p>
    <w:tbl>
      <w:tblPr>
        <w:tblStyle w:val="TableGrid"/>
        <w:tblW w:w="0" w:type="auto"/>
        <w:tblLook w:val="04A0" w:firstRow="1" w:lastRow="0" w:firstColumn="1" w:lastColumn="0" w:noHBand="0" w:noVBand="1"/>
      </w:tblPr>
      <w:tblGrid>
        <w:gridCol w:w="895"/>
        <w:gridCol w:w="4500"/>
        <w:gridCol w:w="3660"/>
      </w:tblGrid>
      <w:tr w:rsidR="00C073D2" w:rsidRPr="00EE4F56" w:rsidTr="00457E36">
        <w:tc>
          <w:tcPr>
            <w:tcW w:w="895" w:type="dxa"/>
          </w:tcPr>
          <w:p w:rsidR="00C073D2" w:rsidRPr="00EE4F56" w:rsidRDefault="00C073D2" w:rsidP="00EE4F56">
            <w:pPr>
              <w:keepNext/>
              <w:spacing w:after="0" w:line="240" w:lineRule="auto"/>
              <w:rPr>
                <w:rFonts w:ascii="Arial" w:hAnsi="Arial" w:cs="Arial"/>
                <w:sz w:val="18"/>
                <w:szCs w:val="18"/>
              </w:rPr>
            </w:pPr>
            <w:r>
              <w:rPr>
                <w:rFonts w:ascii="Arial" w:hAnsi="Arial"/>
                <w:sz w:val="18"/>
              </w:rPr>
              <w:t>Výrobní číslo</w:t>
            </w:r>
          </w:p>
        </w:tc>
        <w:tc>
          <w:tcPr>
            <w:tcW w:w="4500" w:type="dxa"/>
          </w:tcPr>
          <w:p w:rsidR="00C073D2" w:rsidRPr="00EE4F56" w:rsidRDefault="00C073D2" w:rsidP="00EE4F56">
            <w:pPr>
              <w:keepNext/>
              <w:spacing w:after="0" w:line="240" w:lineRule="auto"/>
              <w:rPr>
                <w:rFonts w:ascii="Arial" w:hAnsi="Arial" w:cs="Arial"/>
                <w:sz w:val="18"/>
                <w:szCs w:val="18"/>
              </w:rPr>
            </w:pPr>
            <w:r>
              <w:rPr>
                <w:rFonts w:ascii="Arial" w:hAnsi="Arial"/>
                <w:sz w:val="18"/>
              </w:rPr>
              <w:t>Kritéria vymezující, kdy odpad přestává být odpadem</w:t>
            </w:r>
          </w:p>
        </w:tc>
        <w:tc>
          <w:tcPr>
            <w:tcW w:w="3660" w:type="dxa"/>
          </w:tcPr>
          <w:p w:rsidR="00C073D2" w:rsidRPr="00EE4F56" w:rsidRDefault="00457E36" w:rsidP="00EE4F56">
            <w:pPr>
              <w:keepNext/>
              <w:spacing w:after="0" w:line="240" w:lineRule="auto"/>
              <w:rPr>
                <w:rFonts w:ascii="Arial" w:hAnsi="Arial" w:cs="Arial"/>
                <w:sz w:val="18"/>
                <w:szCs w:val="18"/>
              </w:rPr>
            </w:pPr>
            <w:r>
              <w:rPr>
                <w:rFonts w:ascii="Arial" w:hAnsi="Arial"/>
                <w:sz w:val="18"/>
              </w:rPr>
              <w:t>Kritéria pro vlastní kontrolu</w:t>
            </w:r>
          </w:p>
        </w:tc>
      </w:tr>
      <w:tr w:rsidR="0092066C" w:rsidRPr="00EE4F56" w:rsidTr="00457E36">
        <w:tc>
          <w:tcPr>
            <w:tcW w:w="895" w:type="dxa"/>
          </w:tcPr>
          <w:p w:rsidR="0092066C" w:rsidRPr="00EE4F56" w:rsidRDefault="0092066C" w:rsidP="00457E36">
            <w:pPr>
              <w:spacing w:after="0" w:line="240" w:lineRule="auto"/>
              <w:rPr>
                <w:rFonts w:ascii="Arial" w:hAnsi="Arial" w:cs="Arial"/>
                <w:sz w:val="18"/>
                <w:szCs w:val="18"/>
              </w:rPr>
            </w:pPr>
            <w:r>
              <w:rPr>
                <w:rFonts w:ascii="Arial" w:hAnsi="Arial"/>
                <w:sz w:val="18"/>
              </w:rPr>
              <w:t>1.</w:t>
            </w:r>
          </w:p>
        </w:tc>
        <w:tc>
          <w:tcPr>
            <w:tcW w:w="4500" w:type="dxa"/>
          </w:tcPr>
          <w:p w:rsidR="0092066C" w:rsidRPr="00EE4F56" w:rsidRDefault="0092066C" w:rsidP="00457E36">
            <w:pPr>
              <w:spacing w:after="0" w:line="240" w:lineRule="auto"/>
              <w:rPr>
                <w:rFonts w:ascii="Arial" w:hAnsi="Arial" w:cs="Arial"/>
                <w:sz w:val="18"/>
                <w:szCs w:val="18"/>
              </w:rPr>
            </w:pPr>
            <w:r>
              <w:rPr>
                <w:rFonts w:ascii="Arial" w:hAnsi="Arial"/>
                <w:sz w:val="18"/>
              </w:rPr>
              <w:t>Požadavky na kvalitu pryžových materiálů získaných z pneumatik s ukončenou životností pomocí mechanického zpracování:</w:t>
            </w:r>
          </w:p>
        </w:tc>
        <w:tc>
          <w:tcPr>
            <w:tcW w:w="3660" w:type="dxa"/>
            <w:vMerge w:val="restart"/>
          </w:tcPr>
          <w:p w:rsidR="0092066C" w:rsidRPr="00EE4F56" w:rsidRDefault="00457E36" w:rsidP="00457E36">
            <w:pPr>
              <w:spacing w:after="0" w:line="240" w:lineRule="auto"/>
              <w:rPr>
                <w:rFonts w:ascii="Arial" w:hAnsi="Arial" w:cs="Arial"/>
                <w:sz w:val="18"/>
                <w:szCs w:val="18"/>
              </w:rPr>
            </w:pPr>
            <w:r>
              <w:rPr>
                <w:rFonts w:ascii="Arial" w:hAnsi="Arial"/>
                <w:sz w:val="18"/>
              </w:rPr>
              <w:t>Kvalita pryžových materiálů se posuzuje:</w:t>
            </w:r>
          </w:p>
          <w:p w:rsidR="00457E36" w:rsidRPr="00EE4F56" w:rsidRDefault="00457E36" w:rsidP="00457E36">
            <w:pPr>
              <w:spacing w:after="0" w:line="240" w:lineRule="auto"/>
              <w:rPr>
                <w:rFonts w:ascii="Arial" w:hAnsi="Arial" w:cs="Arial"/>
                <w:sz w:val="18"/>
                <w:szCs w:val="18"/>
              </w:rPr>
            </w:pPr>
            <w:r>
              <w:rPr>
                <w:rFonts w:ascii="Arial" w:hAnsi="Arial"/>
                <w:sz w:val="18"/>
              </w:rPr>
              <w:t>- vizuálně;</w:t>
            </w:r>
          </w:p>
          <w:p w:rsidR="00457E36" w:rsidRPr="00EE4F56" w:rsidRDefault="00457E36" w:rsidP="00457E36">
            <w:pPr>
              <w:spacing w:after="0" w:line="240" w:lineRule="auto"/>
              <w:rPr>
                <w:rFonts w:ascii="Arial" w:hAnsi="Arial" w:cs="Arial"/>
                <w:sz w:val="18"/>
                <w:szCs w:val="18"/>
              </w:rPr>
            </w:pPr>
            <w:r>
              <w:rPr>
                <w:rFonts w:ascii="Arial" w:hAnsi="Arial"/>
                <w:sz w:val="18"/>
              </w:rPr>
              <w:t>- z hlediska fyzikálních a chemických vlastností, které jsou získány prostřednictvím laboratorních zkoušek, včetně těch, které jsou součástí technických specifikací kupujících druhotných surovin. Na žádost kupujícího druhotných surovin mohou být provedeny jiné laboratorní zkoušky podle dodatečných specifikací kupujícího druhotných materiálů.</w:t>
            </w:r>
          </w:p>
          <w:p w:rsidR="00457E36" w:rsidRPr="00EE4F56" w:rsidRDefault="00457E36" w:rsidP="00457E36">
            <w:pPr>
              <w:spacing w:after="0" w:line="240" w:lineRule="auto"/>
              <w:rPr>
                <w:rFonts w:ascii="Arial" w:hAnsi="Arial" w:cs="Arial"/>
                <w:sz w:val="18"/>
                <w:szCs w:val="18"/>
              </w:rPr>
            </w:pPr>
            <w:r>
              <w:rPr>
                <w:rFonts w:ascii="Arial" w:hAnsi="Arial"/>
                <w:sz w:val="18"/>
              </w:rPr>
              <w:t>Pro každý typ druhotné suroviny získané z pneumatik s ukončenou životností se provádí zkoušení reprezentativních vzorků.</w:t>
            </w:r>
          </w:p>
          <w:p w:rsidR="00457E36" w:rsidRPr="00EE4F56" w:rsidRDefault="00457E36" w:rsidP="00457E36">
            <w:pPr>
              <w:spacing w:after="0" w:line="240" w:lineRule="auto"/>
              <w:rPr>
                <w:rFonts w:ascii="Arial" w:hAnsi="Arial" w:cs="Arial"/>
                <w:sz w:val="18"/>
                <w:szCs w:val="18"/>
              </w:rPr>
            </w:pPr>
            <w:r>
              <w:rPr>
                <w:rFonts w:ascii="Arial" w:hAnsi="Arial"/>
                <w:sz w:val="18"/>
              </w:rPr>
              <w:t>Reprezentativní vzorky se získávají v souladu s postupem pro odběr vzorků, který je součástí systému řízení jakosti a který je podrobně popsán jako součást tohoto systému (například použité metody odběru vzorků, četnost odběru vzorků, velikosti, typy vzorků a počet, statistická analýza atd.). Fyzikální a chemické vlastnosti se zkoušejí v laboratoři.</w:t>
            </w:r>
          </w:p>
          <w:p w:rsidR="00457E36" w:rsidRPr="00EE4F56" w:rsidRDefault="00457E36" w:rsidP="00457E36">
            <w:pPr>
              <w:spacing w:after="0" w:line="240" w:lineRule="auto"/>
              <w:rPr>
                <w:rFonts w:ascii="Arial" w:hAnsi="Arial" w:cs="Arial"/>
                <w:sz w:val="18"/>
                <w:szCs w:val="18"/>
              </w:rPr>
            </w:pPr>
            <w:r>
              <w:rPr>
                <w:rFonts w:ascii="Arial" w:hAnsi="Arial"/>
                <w:sz w:val="18"/>
              </w:rPr>
              <w:t>Kritéria shody druhotných surovin uvedená v odstavci 1 této přílohy se zavádí a jsou popsána v rámci provozovaného systému řízení jakosti.</w:t>
            </w:r>
          </w:p>
        </w:tc>
      </w:tr>
      <w:tr w:rsidR="0092066C" w:rsidRPr="00EE4F56" w:rsidTr="00457E36">
        <w:tc>
          <w:tcPr>
            <w:tcW w:w="895" w:type="dxa"/>
          </w:tcPr>
          <w:p w:rsidR="0092066C" w:rsidRPr="00EE4F56" w:rsidRDefault="0092066C" w:rsidP="00457E36">
            <w:pPr>
              <w:spacing w:after="0" w:line="240" w:lineRule="auto"/>
              <w:rPr>
                <w:rFonts w:ascii="Arial" w:hAnsi="Arial" w:cs="Arial"/>
                <w:sz w:val="18"/>
                <w:szCs w:val="18"/>
              </w:rPr>
            </w:pPr>
            <w:r>
              <w:rPr>
                <w:rFonts w:ascii="Arial" w:hAnsi="Arial"/>
                <w:sz w:val="18"/>
              </w:rPr>
              <w:t>1.1</w:t>
            </w:r>
          </w:p>
        </w:tc>
        <w:tc>
          <w:tcPr>
            <w:tcW w:w="4500" w:type="dxa"/>
          </w:tcPr>
          <w:p w:rsidR="0092066C" w:rsidRPr="00EE4F56" w:rsidRDefault="0092066C" w:rsidP="00B7715F">
            <w:pPr>
              <w:spacing w:after="0" w:line="240" w:lineRule="auto"/>
              <w:rPr>
                <w:rFonts w:ascii="Arial" w:hAnsi="Arial" w:cs="Arial"/>
                <w:sz w:val="18"/>
                <w:szCs w:val="18"/>
              </w:rPr>
            </w:pPr>
            <w:r>
              <w:rPr>
                <w:rFonts w:ascii="Arial" w:hAnsi="Arial"/>
                <w:sz w:val="18"/>
              </w:rPr>
              <w:t>nemají nebezpečné vlastnosti uvedené v nařízení Komise (EU) č. 1357/2014 ze dne 18. prosince 2014, kterým se nahrazuje příloha III směrnice Evropského parlamentu a Rady 2008/98/ES o odpadech a o zrušení některých směrnic, a nepřesahují koncentrační limity uvedené v příloze IV nařízení Evropského parlamentu a Rady (ES) č. 850/2004 ze dne 29. dubna 2004 o perzistentních organických znečišťujících látkách a o změně směrnice 79/117/EHS;</w:t>
            </w:r>
            <w:bookmarkStart w:id="0" w:name="_GoBack"/>
            <w:bookmarkEnd w:id="0"/>
          </w:p>
        </w:tc>
        <w:tc>
          <w:tcPr>
            <w:tcW w:w="3660" w:type="dxa"/>
            <w:vMerge/>
          </w:tcPr>
          <w:p w:rsidR="0092066C" w:rsidRPr="00EE4F56" w:rsidRDefault="0092066C" w:rsidP="00457E36">
            <w:pPr>
              <w:spacing w:after="0" w:line="240" w:lineRule="auto"/>
              <w:rPr>
                <w:rFonts w:ascii="Arial" w:hAnsi="Arial" w:cs="Arial"/>
                <w:sz w:val="18"/>
                <w:szCs w:val="18"/>
              </w:rPr>
            </w:pPr>
          </w:p>
        </w:tc>
      </w:tr>
      <w:tr w:rsidR="0092066C" w:rsidRPr="00EE4F56" w:rsidTr="00457E36">
        <w:tc>
          <w:tcPr>
            <w:tcW w:w="895" w:type="dxa"/>
          </w:tcPr>
          <w:p w:rsidR="0092066C" w:rsidRPr="00EE4F56" w:rsidRDefault="0092066C" w:rsidP="00457E36">
            <w:pPr>
              <w:spacing w:after="0" w:line="240" w:lineRule="auto"/>
              <w:rPr>
                <w:rFonts w:ascii="Arial" w:hAnsi="Arial" w:cs="Arial"/>
                <w:sz w:val="18"/>
                <w:szCs w:val="18"/>
              </w:rPr>
            </w:pPr>
            <w:r>
              <w:rPr>
                <w:rFonts w:ascii="Arial" w:hAnsi="Arial"/>
                <w:sz w:val="18"/>
              </w:rPr>
              <w:t>1.2</w:t>
            </w:r>
          </w:p>
        </w:tc>
        <w:tc>
          <w:tcPr>
            <w:tcW w:w="4500" w:type="dxa"/>
          </w:tcPr>
          <w:p w:rsidR="0092066C" w:rsidRPr="00EE4F56" w:rsidRDefault="0092066C" w:rsidP="00457E36">
            <w:pPr>
              <w:spacing w:after="0" w:line="240" w:lineRule="auto"/>
              <w:rPr>
                <w:rFonts w:ascii="Arial" w:hAnsi="Arial" w:cs="Arial"/>
                <w:sz w:val="18"/>
                <w:szCs w:val="18"/>
              </w:rPr>
            </w:pPr>
            <w:r>
              <w:rPr>
                <w:rFonts w:ascii="Arial" w:hAnsi="Arial"/>
                <w:sz w:val="18"/>
              </w:rPr>
              <w:t>splňují omezení článku 50 přílohy XVII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p>
        </w:tc>
        <w:tc>
          <w:tcPr>
            <w:tcW w:w="3660" w:type="dxa"/>
            <w:vMerge/>
          </w:tcPr>
          <w:p w:rsidR="0092066C" w:rsidRPr="00EE4F56" w:rsidRDefault="0092066C" w:rsidP="00457E36">
            <w:pPr>
              <w:spacing w:after="0" w:line="240" w:lineRule="auto"/>
              <w:rPr>
                <w:rFonts w:ascii="Arial" w:hAnsi="Arial" w:cs="Arial"/>
                <w:sz w:val="18"/>
                <w:szCs w:val="18"/>
              </w:rPr>
            </w:pPr>
          </w:p>
        </w:tc>
      </w:tr>
      <w:tr w:rsidR="0092066C" w:rsidRPr="00EE4F56" w:rsidTr="00457E36">
        <w:tc>
          <w:tcPr>
            <w:tcW w:w="895" w:type="dxa"/>
          </w:tcPr>
          <w:p w:rsidR="0092066C" w:rsidRPr="00EE4F56" w:rsidRDefault="0092066C" w:rsidP="00457E36">
            <w:pPr>
              <w:spacing w:after="0" w:line="240" w:lineRule="auto"/>
              <w:rPr>
                <w:rFonts w:ascii="Arial" w:hAnsi="Arial" w:cs="Arial"/>
                <w:sz w:val="18"/>
                <w:szCs w:val="18"/>
              </w:rPr>
            </w:pPr>
            <w:r>
              <w:rPr>
                <w:rFonts w:ascii="Arial" w:hAnsi="Arial"/>
                <w:sz w:val="18"/>
              </w:rPr>
              <w:t>1.3</w:t>
            </w:r>
          </w:p>
        </w:tc>
        <w:tc>
          <w:tcPr>
            <w:tcW w:w="4500" w:type="dxa"/>
          </w:tcPr>
          <w:p w:rsidR="0092066C" w:rsidRPr="00EE4F56" w:rsidRDefault="0092066C" w:rsidP="00457E36">
            <w:pPr>
              <w:spacing w:after="0" w:line="240" w:lineRule="auto"/>
              <w:rPr>
                <w:rFonts w:ascii="Arial" w:hAnsi="Arial" w:cs="Arial"/>
                <w:sz w:val="18"/>
                <w:szCs w:val="18"/>
              </w:rPr>
            </w:pPr>
            <w:r>
              <w:rPr>
                <w:rFonts w:ascii="Arial" w:hAnsi="Arial"/>
                <w:sz w:val="18"/>
              </w:rPr>
              <w:t>neobsahují znatelná množství oleje a maziv;</w:t>
            </w:r>
          </w:p>
        </w:tc>
        <w:tc>
          <w:tcPr>
            <w:tcW w:w="3660" w:type="dxa"/>
            <w:vMerge/>
          </w:tcPr>
          <w:p w:rsidR="0092066C" w:rsidRPr="00EE4F56" w:rsidRDefault="0092066C" w:rsidP="00457E36">
            <w:pPr>
              <w:spacing w:after="0" w:line="240" w:lineRule="auto"/>
              <w:rPr>
                <w:rFonts w:ascii="Arial" w:hAnsi="Arial" w:cs="Arial"/>
                <w:sz w:val="18"/>
                <w:szCs w:val="18"/>
              </w:rPr>
            </w:pPr>
          </w:p>
        </w:tc>
      </w:tr>
      <w:tr w:rsidR="0092066C" w:rsidRPr="00EE4F56" w:rsidTr="00457E36">
        <w:tc>
          <w:tcPr>
            <w:tcW w:w="895" w:type="dxa"/>
          </w:tcPr>
          <w:p w:rsidR="0092066C" w:rsidRPr="00EE4F56" w:rsidRDefault="0092066C" w:rsidP="00457E36">
            <w:pPr>
              <w:spacing w:after="0" w:line="240" w:lineRule="auto"/>
              <w:rPr>
                <w:rFonts w:ascii="Arial" w:hAnsi="Arial" w:cs="Arial"/>
                <w:sz w:val="18"/>
                <w:szCs w:val="18"/>
              </w:rPr>
            </w:pPr>
            <w:r>
              <w:rPr>
                <w:rFonts w:ascii="Arial" w:hAnsi="Arial"/>
                <w:sz w:val="18"/>
              </w:rPr>
              <w:t>1.4</w:t>
            </w:r>
          </w:p>
        </w:tc>
        <w:tc>
          <w:tcPr>
            <w:tcW w:w="4500" w:type="dxa"/>
          </w:tcPr>
          <w:p w:rsidR="0092066C" w:rsidRPr="00EE4F56" w:rsidRDefault="0092066C" w:rsidP="00457E36">
            <w:pPr>
              <w:spacing w:after="0" w:line="240" w:lineRule="auto"/>
              <w:rPr>
                <w:rFonts w:ascii="Arial" w:hAnsi="Arial" w:cs="Arial"/>
                <w:sz w:val="18"/>
                <w:szCs w:val="18"/>
              </w:rPr>
            </w:pPr>
            <w:r>
              <w:rPr>
                <w:rFonts w:ascii="Arial" w:hAnsi="Arial"/>
                <w:sz w:val="18"/>
              </w:rPr>
              <w:t>oddělení a určení množství se provádí podle typu/velikosti.</w:t>
            </w:r>
          </w:p>
        </w:tc>
        <w:tc>
          <w:tcPr>
            <w:tcW w:w="3660" w:type="dxa"/>
            <w:vMerge/>
          </w:tcPr>
          <w:p w:rsidR="0092066C" w:rsidRPr="00EE4F56" w:rsidRDefault="0092066C" w:rsidP="00457E36">
            <w:pPr>
              <w:spacing w:after="0" w:line="240" w:lineRule="auto"/>
              <w:rPr>
                <w:rFonts w:ascii="Arial" w:hAnsi="Arial" w:cs="Arial"/>
                <w:sz w:val="18"/>
                <w:szCs w:val="18"/>
              </w:rPr>
            </w:pPr>
          </w:p>
        </w:tc>
      </w:tr>
      <w:tr w:rsidR="00457E36" w:rsidRPr="00EE4F56" w:rsidTr="00457E36">
        <w:tc>
          <w:tcPr>
            <w:tcW w:w="895" w:type="dxa"/>
          </w:tcPr>
          <w:p w:rsidR="00457E36" w:rsidRPr="00EE4F56" w:rsidRDefault="00457E36" w:rsidP="00457E36">
            <w:pPr>
              <w:spacing w:after="0" w:line="240" w:lineRule="auto"/>
              <w:rPr>
                <w:rFonts w:ascii="Arial" w:hAnsi="Arial" w:cs="Arial"/>
                <w:sz w:val="18"/>
                <w:szCs w:val="18"/>
              </w:rPr>
            </w:pPr>
            <w:r>
              <w:rPr>
                <w:rFonts w:ascii="Arial" w:hAnsi="Arial"/>
                <w:sz w:val="18"/>
              </w:rPr>
              <w:t>2.</w:t>
            </w:r>
          </w:p>
        </w:tc>
        <w:tc>
          <w:tcPr>
            <w:tcW w:w="4500" w:type="dxa"/>
          </w:tcPr>
          <w:p w:rsidR="00457E36" w:rsidRPr="00EE4F56" w:rsidRDefault="00457E36" w:rsidP="00457E36">
            <w:pPr>
              <w:spacing w:after="0" w:line="240" w:lineRule="auto"/>
              <w:rPr>
                <w:rFonts w:ascii="Arial" w:hAnsi="Arial" w:cs="Arial"/>
                <w:sz w:val="18"/>
                <w:szCs w:val="18"/>
              </w:rPr>
            </w:pPr>
            <w:r>
              <w:rPr>
                <w:rFonts w:ascii="Arial" w:hAnsi="Arial"/>
                <w:sz w:val="18"/>
              </w:rPr>
              <w:t>Požadavky na odpad, který má být recyklován na druhotné suroviny:</w:t>
            </w:r>
          </w:p>
        </w:tc>
        <w:tc>
          <w:tcPr>
            <w:tcW w:w="3660" w:type="dxa"/>
            <w:vMerge w:val="restart"/>
          </w:tcPr>
          <w:p w:rsidR="00457E36" w:rsidRPr="00EE4F56" w:rsidRDefault="00457E36" w:rsidP="00457E36">
            <w:pPr>
              <w:spacing w:after="0" w:line="240" w:lineRule="auto"/>
              <w:rPr>
                <w:rFonts w:ascii="Arial" w:hAnsi="Arial" w:cs="Arial"/>
                <w:sz w:val="18"/>
                <w:szCs w:val="18"/>
              </w:rPr>
            </w:pPr>
            <w:r>
              <w:rPr>
                <w:rFonts w:ascii="Arial" w:hAnsi="Arial"/>
                <w:sz w:val="18"/>
              </w:rPr>
              <w:t>Kvalita pryžových materiálů se posuzuje vizuálně. Uchovávání záznamů o množství přijatých a zpracovaných pneumatik s ukončenou životností se provádí v souladu s pravidly a předpisy, které se týkají úředních formulářů statistiky životního prostředí;</w:t>
            </w:r>
          </w:p>
        </w:tc>
      </w:tr>
      <w:tr w:rsidR="00457E36" w:rsidRPr="00EE4F56" w:rsidTr="00457E36">
        <w:tc>
          <w:tcPr>
            <w:tcW w:w="895" w:type="dxa"/>
          </w:tcPr>
          <w:p w:rsidR="00457E36" w:rsidRPr="00EE4F56" w:rsidRDefault="00457E36" w:rsidP="00457E36">
            <w:pPr>
              <w:spacing w:after="0" w:line="240" w:lineRule="auto"/>
              <w:rPr>
                <w:rFonts w:ascii="Arial" w:hAnsi="Arial" w:cs="Arial"/>
                <w:sz w:val="18"/>
                <w:szCs w:val="18"/>
              </w:rPr>
            </w:pPr>
            <w:r>
              <w:rPr>
                <w:rFonts w:ascii="Arial" w:hAnsi="Arial"/>
                <w:sz w:val="18"/>
              </w:rPr>
              <w:t>2.1</w:t>
            </w:r>
          </w:p>
        </w:tc>
        <w:tc>
          <w:tcPr>
            <w:tcW w:w="4500" w:type="dxa"/>
          </w:tcPr>
          <w:p w:rsidR="00457E36" w:rsidRPr="00EE4F56" w:rsidRDefault="00457E36" w:rsidP="00457E36">
            <w:pPr>
              <w:spacing w:after="0" w:line="240" w:lineRule="auto"/>
              <w:rPr>
                <w:rFonts w:ascii="Arial" w:hAnsi="Arial" w:cs="Arial"/>
                <w:sz w:val="18"/>
                <w:szCs w:val="18"/>
              </w:rPr>
            </w:pPr>
            <w:r>
              <w:rPr>
                <w:rFonts w:ascii="Arial" w:hAnsi="Arial"/>
                <w:sz w:val="18"/>
              </w:rPr>
              <w:t>mohou se používat pouze pneumatiky s ukončenou životností odpovídající klasifikaci odpadu a vlastnostem nebezpečného odpadu podle specifikací v pravidlech a předpisech;</w:t>
            </w:r>
          </w:p>
        </w:tc>
        <w:tc>
          <w:tcPr>
            <w:tcW w:w="3660" w:type="dxa"/>
            <w:vMerge/>
          </w:tcPr>
          <w:p w:rsidR="00457E36" w:rsidRPr="00EE4F56" w:rsidRDefault="00457E36" w:rsidP="00457E36">
            <w:pPr>
              <w:spacing w:after="0" w:line="240" w:lineRule="auto"/>
              <w:rPr>
                <w:rFonts w:ascii="Arial" w:hAnsi="Arial" w:cs="Arial"/>
                <w:sz w:val="18"/>
                <w:szCs w:val="18"/>
              </w:rPr>
            </w:pPr>
          </w:p>
        </w:tc>
      </w:tr>
      <w:tr w:rsidR="00457E36" w:rsidRPr="00EE4F56" w:rsidTr="00457E36">
        <w:tc>
          <w:tcPr>
            <w:tcW w:w="895" w:type="dxa"/>
          </w:tcPr>
          <w:p w:rsidR="00457E36" w:rsidRPr="00EE4F56" w:rsidRDefault="00457E36" w:rsidP="00457E36">
            <w:pPr>
              <w:spacing w:after="0" w:line="240" w:lineRule="auto"/>
              <w:rPr>
                <w:rFonts w:ascii="Arial" w:hAnsi="Arial" w:cs="Arial"/>
                <w:sz w:val="18"/>
                <w:szCs w:val="18"/>
              </w:rPr>
            </w:pPr>
            <w:r>
              <w:rPr>
                <w:rFonts w:ascii="Arial" w:hAnsi="Arial"/>
                <w:sz w:val="18"/>
              </w:rPr>
              <w:t>2.2</w:t>
            </w:r>
          </w:p>
        </w:tc>
        <w:tc>
          <w:tcPr>
            <w:tcW w:w="4500" w:type="dxa"/>
          </w:tcPr>
          <w:p w:rsidR="00457E36" w:rsidRPr="00EE4F56" w:rsidRDefault="00457E36" w:rsidP="00457E36">
            <w:pPr>
              <w:spacing w:after="0" w:line="240" w:lineRule="auto"/>
              <w:rPr>
                <w:rFonts w:ascii="Arial" w:hAnsi="Arial" w:cs="Arial"/>
                <w:sz w:val="18"/>
                <w:szCs w:val="18"/>
              </w:rPr>
            </w:pPr>
            <w:r>
              <w:rPr>
                <w:rFonts w:ascii="Arial" w:hAnsi="Arial"/>
                <w:sz w:val="18"/>
              </w:rPr>
              <w:t>nesmějí se používat pneumatiky s ukončenou životností s nebezpečnými látkami nebo nebezpečným odpadem;</w:t>
            </w:r>
          </w:p>
        </w:tc>
        <w:tc>
          <w:tcPr>
            <w:tcW w:w="3660" w:type="dxa"/>
            <w:vMerge/>
          </w:tcPr>
          <w:p w:rsidR="00457E36" w:rsidRPr="00EE4F56" w:rsidRDefault="00457E36" w:rsidP="00457E36">
            <w:pPr>
              <w:spacing w:after="0" w:line="240" w:lineRule="auto"/>
              <w:rPr>
                <w:rFonts w:ascii="Arial" w:hAnsi="Arial" w:cs="Arial"/>
                <w:sz w:val="18"/>
                <w:szCs w:val="18"/>
              </w:rPr>
            </w:pPr>
          </w:p>
        </w:tc>
      </w:tr>
      <w:tr w:rsidR="00457E36" w:rsidRPr="00EE4F56" w:rsidTr="00457E36">
        <w:tc>
          <w:tcPr>
            <w:tcW w:w="895" w:type="dxa"/>
          </w:tcPr>
          <w:p w:rsidR="00457E36" w:rsidRPr="00EE4F56" w:rsidRDefault="00457E36" w:rsidP="00457E36">
            <w:pPr>
              <w:spacing w:after="0" w:line="240" w:lineRule="auto"/>
              <w:rPr>
                <w:rFonts w:ascii="Arial" w:hAnsi="Arial" w:cs="Arial"/>
                <w:sz w:val="18"/>
                <w:szCs w:val="18"/>
              </w:rPr>
            </w:pPr>
            <w:r>
              <w:rPr>
                <w:rFonts w:ascii="Arial" w:hAnsi="Arial"/>
                <w:sz w:val="18"/>
              </w:rPr>
              <w:t>3.</w:t>
            </w:r>
          </w:p>
        </w:tc>
        <w:tc>
          <w:tcPr>
            <w:tcW w:w="4500" w:type="dxa"/>
          </w:tcPr>
          <w:p w:rsidR="00457E36" w:rsidRPr="00EE4F56" w:rsidRDefault="00457E36" w:rsidP="00457E36">
            <w:pPr>
              <w:spacing w:after="0" w:line="240" w:lineRule="auto"/>
              <w:rPr>
                <w:rFonts w:ascii="Arial" w:hAnsi="Arial" w:cs="Arial"/>
                <w:sz w:val="18"/>
                <w:szCs w:val="18"/>
              </w:rPr>
            </w:pPr>
            <w:r>
              <w:rPr>
                <w:rFonts w:ascii="Arial" w:hAnsi="Arial"/>
                <w:sz w:val="18"/>
              </w:rPr>
              <w:t>Pneumatiky s ukončenou životností se zpracovávají takto:</w:t>
            </w:r>
          </w:p>
        </w:tc>
        <w:tc>
          <w:tcPr>
            <w:tcW w:w="3660" w:type="dxa"/>
            <w:vMerge w:val="restart"/>
          </w:tcPr>
          <w:p w:rsidR="00457E36" w:rsidRPr="00EE4F56" w:rsidRDefault="00457E36" w:rsidP="00457E36">
            <w:pPr>
              <w:spacing w:after="0" w:line="240" w:lineRule="auto"/>
              <w:rPr>
                <w:rFonts w:ascii="Arial" w:hAnsi="Arial" w:cs="Arial"/>
                <w:sz w:val="18"/>
                <w:szCs w:val="18"/>
              </w:rPr>
            </w:pPr>
            <w:r>
              <w:rPr>
                <w:rFonts w:ascii="Arial" w:hAnsi="Arial"/>
                <w:sz w:val="18"/>
              </w:rPr>
              <w:t>pneumatiky musí být čištěny mechanicky nebo ručně;</w:t>
            </w:r>
          </w:p>
        </w:tc>
      </w:tr>
      <w:tr w:rsidR="00457E36" w:rsidRPr="00EE4F56" w:rsidTr="00457E36">
        <w:tc>
          <w:tcPr>
            <w:tcW w:w="895" w:type="dxa"/>
          </w:tcPr>
          <w:p w:rsidR="00457E36" w:rsidRPr="00EE4F56" w:rsidRDefault="00457E36" w:rsidP="00457E36">
            <w:pPr>
              <w:spacing w:after="0" w:line="240" w:lineRule="auto"/>
              <w:rPr>
                <w:rFonts w:ascii="Arial" w:hAnsi="Arial" w:cs="Arial"/>
                <w:sz w:val="18"/>
                <w:szCs w:val="18"/>
              </w:rPr>
            </w:pPr>
            <w:r>
              <w:rPr>
                <w:rFonts w:ascii="Arial" w:hAnsi="Arial"/>
                <w:sz w:val="18"/>
              </w:rPr>
              <w:t>3.1</w:t>
            </w:r>
          </w:p>
        </w:tc>
        <w:tc>
          <w:tcPr>
            <w:tcW w:w="4500" w:type="dxa"/>
          </w:tcPr>
          <w:p w:rsidR="00457E36" w:rsidRPr="00EE4F56" w:rsidRDefault="00457E36" w:rsidP="00457E36">
            <w:pPr>
              <w:spacing w:after="0" w:line="240" w:lineRule="auto"/>
              <w:rPr>
                <w:rFonts w:ascii="Arial" w:hAnsi="Arial" w:cs="Arial"/>
                <w:sz w:val="18"/>
                <w:szCs w:val="18"/>
              </w:rPr>
            </w:pPr>
            <w:r>
              <w:rPr>
                <w:rFonts w:ascii="Arial" w:hAnsi="Arial"/>
                <w:sz w:val="18"/>
              </w:rPr>
              <w:t>cizí předměty (jako jsou kameny, kusy kovu a úlomky) musí být odstraněny;</w:t>
            </w:r>
          </w:p>
        </w:tc>
        <w:tc>
          <w:tcPr>
            <w:tcW w:w="3660" w:type="dxa"/>
            <w:vMerge/>
          </w:tcPr>
          <w:p w:rsidR="00457E36" w:rsidRPr="00EE4F56" w:rsidRDefault="00457E36" w:rsidP="00457E36">
            <w:pPr>
              <w:spacing w:after="0" w:line="240" w:lineRule="auto"/>
              <w:rPr>
                <w:rFonts w:ascii="Arial" w:hAnsi="Arial" w:cs="Arial"/>
                <w:sz w:val="18"/>
                <w:szCs w:val="18"/>
              </w:rPr>
            </w:pPr>
          </w:p>
        </w:tc>
      </w:tr>
      <w:tr w:rsidR="00457E36" w:rsidRPr="00EE4F56" w:rsidTr="00457E36">
        <w:tc>
          <w:tcPr>
            <w:tcW w:w="895" w:type="dxa"/>
          </w:tcPr>
          <w:p w:rsidR="00457E36" w:rsidRPr="00EE4F56" w:rsidRDefault="00457E36" w:rsidP="00457E36">
            <w:pPr>
              <w:spacing w:after="0" w:line="240" w:lineRule="auto"/>
              <w:rPr>
                <w:rFonts w:ascii="Arial" w:hAnsi="Arial" w:cs="Arial"/>
                <w:sz w:val="18"/>
                <w:szCs w:val="18"/>
              </w:rPr>
            </w:pPr>
            <w:r>
              <w:rPr>
                <w:rFonts w:ascii="Arial" w:hAnsi="Arial"/>
                <w:sz w:val="18"/>
              </w:rPr>
              <w:t>3.2</w:t>
            </w:r>
          </w:p>
        </w:tc>
        <w:tc>
          <w:tcPr>
            <w:tcW w:w="4500" w:type="dxa"/>
          </w:tcPr>
          <w:p w:rsidR="00457E36" w:rsidRPr="00EE4F56" w:rsidRDefault="00457E36" w:rsidP="00457E36">
            <w:pPr>
              <w:spacing w:after="0" w:line="240" w:lineRule="auto"/>
              <w:rPr>
                <w:rFonts w:ascii="Arial" w:hAnsi="Arial" w:cs="Arial"/>
                <w:sz w:val="18"/>
                <w:szCs w:val="18"/>
              </w:rPr>
            </w:pPr>
            <w:r>
              <w:rPr>
                <w:rFonts w:ascii="Arial" w:hAnsi="Arial"/>
                <w:sz w:val="18"/>
              </w:rPr>
              <w:t>použité metody a postupy nesmí mít nepříznivý dopad na životní prostředí;</w:t>
            </w:r>
          </w:p>
        </w:tc>
        <w:tc>
          <w:tcPr>
            <w:tcW w:w="3660" w:type="dxa"/>
            <w:vMerge/>
          </w:tcPr>
          <w:p w:rsidR="00457E36" w:rsidRPr="00EE4F56" w:rsidRDefault="00457E36" w:rsidP="00457E36">
            <w:pPr>
              <w:spacing w:after="0" w:line="240" w:lineRule="auto"/>
              <w:rPr>
                <w:rFonts w:ascii="Arial" w:hAnsi="Arial" w:cs="Arial"/>
                <w:sz w:val="18"/>
                <w:szCs w:val="18"/>
              </w:rPr>
            </w:pPr>
          </w:p>
        </w:tc>
      </w:tr>
      <w:tr w:rsidR="00457E36" w:rsidRPr="00EE4F56" w:rsidTr="00457E36">
        <w:tc>
          <w:tcPr>
            <w:tcW w:w="895" w:type="dxa"/>
          </w:tcPr>
          <w:p w:rsidR="00457E36" w:rsidRPr="00EE4F56" w:rsidRDefault="00457E36" w:rsidP="00457E36">
            <w:pPr>
              <w:spacing w:after="0" w:line="240" w:lineRule="auto"/>
              <w:rPr>
                <w:rFonts w:ascii="Arial" w:hAnsi="Arial" w:cs="Arial"/>
                <w:sz w:val="18"/>
                <w:szCs w:val="18"/>
              </w:rPr>
            </w:pPr>
            <w:r>
              <w:rPr>
                <w:rFonts w:ascii="Arial" w:hAnsi="Arial"/>
                <w:sz w:val="18"/>
              </w:rPr>
              <w:t>3.3</w:t>
            </w:r>
          </w:p>
        </w:tc>
        <w:tc>
          <w:tcPr>
            <w:tcW w:w="4500" w:type="dxa"/>
          </w:tcPr>
          <w:p w:rsidR="00457E36" w:rsidRPr="00EE4F56" w:rsidRDefault="00457E36" w:rsidP="00457E36">
            <w:pPr>
              <w:spacing w:after="0" w:line="240" w:lineRule="auto"/>
              <w:rPr>
                <w:rFonts w:ascii="Arial" w:hAnsi="Arial" w:cs="Arial"/>
                <w:sz w:val="18"/>
                <w:szCs w:val="18"/>
              </w:rPr>
            </w:pPr>
            <w:r>
              <w:rPr>
                <w:rFonts w:ascii="Arial" w:hAnsi="Arial"/>
                <w:sz w:val="18"/>
              </w:rPr>
              <w:t>musí být dodržována pravidla a předpisy, kterými se řídí nakládání a manipulace s odpady.</w:t>
            </w:r>
          </w:p>
        </w:tc>
        <w:tc>
          <w:tcPr>
            <w:tcW w:w="3660" w:type="dxa"/>
            <w:vMerge/>
          </w:tcPr>
          <w:p w:rsidR="00457E36" w:rsidRPr="00EE4F56" w:rsidRDefault="00457E36" w:rsidP="00457E36">
            <w:pPr>
              <w:spacing w:after="0" w:line="240" w:lineRule="auto"/>
              <w:rPr>
                <w:rFonts w:ascii="Arial" w:hAnsi="Arial" w:cs="Arial"/>
                <w:sz w:val="18"/>
                <w:szCs w:val="18"/>
              </w:rPr>
            </w:pPr>
          </w:p>
        </w:tc>
      </w:tr>
    </w:tbl>
    <w:p w:rsidR="00926EC8" w:rsidRPr="00EE4F56" w:rsidRDefault="00926EC8" w:rsidP="00C073D2">
      <w:pPr>
        <w:spacing w:before="120" w:after="120" w:line="240" w:lineRule="auto"/>
        <w:rPr>
          <w:rFonts w:ascii="Arial" w:hAnsi="Arial" w:cs="Arial"/>
          <w:b/>
          <w:sz w:val="18"/>
          <w:szCs w:val="18"/>
        </w:rPr>
      </w:pPr>
    </w:p>
    <w:p w:rsidR="00B7715F" w:rsidRPr="00EE4F56" w:rsidRDefault="00B7715F" w:rsidP="00F37A47">
      <w:pPr>
        <w:spacing w:before="120" w:after="120" w:line="240" w:lineRule="auto"/>
        <w:jc w:val="right"/>
        <w:rPr>
          <w:rFonts w:ascii="Arial" w:hAnsi="Arial" w:cs="Arial"/>
          <w:sz w:val="18"/>
          <w:szCs w:val="18"/>
        </w:rPr>
      </w:pPr>
      <w:r>
        <w:rPr>
          <w:rFonts w:ascii="Arial" w:hAnsi="Arial"/>
          <w:sz w:val="18"/>
        </w:rPr>
        <w:t>Ministr pro ochranu životního</w:t>
      </w:r>
      <w:r>
        <w:rPr>
          <w:rFonts w:ascii="Arial" w:hAnsi="Arial"/>
          <w:sz w:val="18"/>
          <w:szCs w:val="18"/>
        </w:rPr>
        <w:br/>
      </w:r>
      <w:r>
        <w:rPr>
          <w:rFonts w:ascii="Arial" w:hAnsi="Arial"/>
          <w:sz w:val="18"/>
        </w:rPr>
        <w:t>prostředí a regionální rozvoj Kaspars Gerhards</w:t>
      </w:r>
    </w:p>
    <w:p w:rsidR="00B7715F" w:rsidRPr="00EE4F56" w:rsidRDefault="00B7715F" w:rsidP="00C073D2">
      <w:pPr>
        <w:spacing w:before="120" w:after="120" w:line="240" w:lineRule="auto"/>
        <w:rPr>
          <w:rFonts w:ascii="Arial" w:hAnsi="Arial" w:cs="Arial"/>
          <w:sz w:val="18"/>
          <w:szCs w:val="18"/>
        </w:rPr>
      </w:pPr>
    </w:p>
    <w:p w:rsidR="00B7715F" w:rsidRPr="00EE4F56" w:rsidRDefault="00B7715F" w:rsidP="00EE4F56">
      <w:pPr>
        <w:keepNext/>
        <w:keepLines/>
        <w:spacing w:before="120" w:after="120" w:line="240" w:lineRule="auto"/>
        <w:jc w:val="right"/>
        <w:rPr>
          <w:rFonts w:ascii="Arial" w:hAnsi="Arial" w:cs="Arial"/>
          <w:sz w:val="18"/>
          <w:szCs w:val="18"/>
        </w:rPr>
      </w:pPr>
      <w:r>
        <w:rPr>
          <w:rFonts w:ascii="Arial" w:hAnsi="Arial"/>
          <w:sz w:val="18"/>
        </w:rPr>
        <w:t>Příloha 2</w:t>
      </w:r>
      <w:r>
        <w:rPr>
          <w:rFonts w:ascii="Arial" w:hAnsi="Arial"/>
          <w:sz w:val="18"/>
        </w:rPr>
        <w:br/>
        <w:t>vládního</w:t>
      </w:r>
      <w:r>
        <w:rPr>
          <w:rFonts w:ascii="Arial" w:hAnsi="Arial"/>
          <w:sz w:val="18"/>
        </w:rPr>
        <w:br/>
        <w:t>nařízení č. 682</w:t>
      </w:r>
      <w:r>
        <w:rPr>
          <w:rFonts w:ascii="Arial" w:hAnsi="Arial"/>
          <w:sz w:val="18"/>
        </w:rPr>
        <w:br/>
        <w:t>ze dne 13. listopadu 2018</w:t>
      </w:r>
    </w:p>
    <w:p w:rsidR="00B7715F" w:rsidRPr="00EE4F56" w:rsidRDefault="00B7715F" w:rsidP="00EE4F56">
      <w:pPr>
        <w:keepNext/>
        <w:spacing w:before="120" w:after="120" w:line="240" w:lineRule="auto"/>
        <w:rPr>
          <w:rFonts w:ascii="Arial" w:hAnsi="Arial" w:cs="Arial"/>
          <w:sz w:val="18"/>
          <w:szCs w:val="18"/>
        </w:rPr>
      </w:pPr>
    </w:p>
    <w:p w:rsidR="00B7715F" w:rsidRPr="00EE4F56" w:rsidRDefault="00B7715F" w:rsidP="00EE4F56">
      <w:pPr>
        <w:keepNext/>
        <w:spacing w:before="120" w:after="120" w:line="240" w:lineRule="auto"/>
        <w:jc w:val="center"/>
        <w:rPr>
          <w:rFonts w:ascii="Arial" w:hAnsi="Arial" w:cs="Arial"/>
          <w:b/>
          <w:sz w:val="24"/>
          <w:szCs w:val="24"/>
        </w:rPr>
      </w:pPr>
      <w:r>
        <w:rPr>
          <w:rFonts w:ascii="Arial" w:hAnsi="Arial"/>
          <w:b/>
          <w:sz w:val="24"/>
        </w:rPr>
        <w:t>Prohlášení uvádějící, že druhotné suroviny splňují kritéria vymezující, kdy odpad přestává být odpadem</w:t>
      </w:r>
    </w:p>
    <w:p w:rsidR="00B7715F" w:rsidRPr="00EE4F56" w:rsidRDefault="00B7715F" w:rsidP="00EE4F56">
      <w:pPr>
        <w:keepNext/>
        <w:spacing w:after="0" w:line="240" w:lineRule="auto"/>
        <w:rPr>
          <w:rFonts w:ascii="Arial" w:hAnsi="Arial" w:cs="Arial"/>
          <w:sz w:val="18"/>
          <w:szCs w:val="18"/>
        </w:rPr>
      </w:pPr>
    </w:p>
    <w:tbl>
      <w:tblPr>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1. Údaje o zpracovateli pneumatik s ukončenou životností</w:t>
            </w:r>
          </w:p>
        </w:tc>
        <w:tc>
          <w:tcPr>
            <w:tcW w:w="5280" w:type="dxa"/>
          </w:tcPr>
          <w:p w:rsidR="00B7715F" w:rsidRPr="00EE4F56" w:rsidRDefault="00B7715F" w:rsidP="00AE0B47">
            <w:pPr>
              <w:spacing w:after="0" w:line="240" w:lineRule="auto"/>
              <w:rPr>
                <w:rFonts w:ascii="Arial" w:hAnsi="Arial" w:cs="Arial"/>
                <w:sz w:val="18"/>
                <w:szCs w:val="18"/>
              </w:rPr>
            </w:pPr>
          </w:p>
        </w:tc>
      </w:tr>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Název právnické osoby</w:t>
            </w:r>
          </w:p>
        </w:tc>
        <w:tc>
          <w:tcPr>
            <w:tcW w:w="5280" w:type="dxa"/>
            <w:tcBorders>
              <w:bottom w:val="single" w:sz="4" w:space="0" w:color="auto"/>
            </w:tcBorders>
          </w:tcPr>
          <w:p w:rsidR="00B7715F" w:rsidRPr="00EE4F56" w:rsidRDefault="00B7715F" w:rsidP="00AE0B47">
            <w:pPr>
              <w:spacing w:after="0" w:line="240" w:lineRule="auto"/>
              <w:rPr>
                <w:rFonts w:ascii="Arial" w:hAnsi="Arial" w:cs="Arial"/>
                <w:sz w:val="18"/>
                <w:szCs w:val="18"/>
              </w:rPr>
            </w:pPr>
          </w:p>
        </w:tc>
      </w:tr>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Registrační číslo</w:t>
            </w:r>
          </w:p>
        </w:tc>
        <w:tc>
          <w:tcPr>
            <w:tcW w:w="5280" w:type="dxa"/>
            <w:tcBorders>
              <w:top w:val="single" w:sz="4" w:space="0" w:color="auto"/>
              <w:bottom w:val="single" w:sz="4" w:space="0" w:color="auto"/>
            </w:tcBorders>
          </w:tcPr>
          <w:p w:rsidR="00B7715F" w:rsidRPr="00EE4F56" w:rsidRDefault="00B7715F" w:rsidP="00AE0B47">
            <w:pPr>
              <w:spacing w:after="0" w:line="240" w:lineRule="auto"/>
              <w:rPr>
                <w:rFonts w:ascii="Arial" w:hAnsi="Arial" w:cs="Arial"/>
                <w:sz w:val="18"/>
                <w:szCs w:val="18"/>
              </w:rPr>
            </w:pPr>
          </w:p>
        </w:tc>
      </w:tr>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Skutečná adresa</w:t>
            </w:r>
          </w:p>
        </w:tc>
        <w:tc>
          <w:tcPr>
            <w:tcW w:w="5280" w:type="dxa"/>
            <w:tcBorders>
              <w:top w:val="single" w:sz="4" w:space="0" w:color="auto"/>
              <w:bottom w:val="single" w:sz="4" w:space="0" w:color="auto"/>
            </w:tcBorders>
          </w:tcPr>
          <w:p w:rsidR="00B7715F" w:rsidRPr="00EE4F56" w:rsidRDefault="00B7715F" w:rsidP="00AE0B47">
            <w:pPr>
              <w:spacing w:after="0" w:line="240" w:lineRule="auto"/>
              <w:rPr>
                <w:rFonts w:ascii="Arial" w:hAnsi="Arial" w:cs="Arial"/>
                <w:sz w:val="18"/>
                <w:szCs w:val="18"/>
              </w:rPr>
            </w:pPr>
          </w:p>
        </w:tc>
      </w:tr>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Adresa sídla</w:t>
            </w:r>
          </w:p>
        </w:tc>
        <w:tc>
          <w:tcPr>
            <w:tcW w:w="5280" w:type="dxa"/>
            <w:tcBorders>
              <w:top w:val="single" w:sz="4" w:space="0" w:color="auto"/>
              <w:bottom w:val="single" w:sz="4" w:space="0" w:color="auto"/>
            </w:tcBorders>
          </w:tcPr>
          <w:p w:rsidR="00B7715F" w:rsidRPr="00EE4F56" w:rsidRDefault="00B7715F" w:rsidP="00AE0B47">
            <w:pPr>
              <w:spacing w:after="0" w:line="240" w:lineRule="auto"/>
              <w:rPr>
                <w:rFonts w:ascii="Arial" w:hAnsi="Arial" w:cs="Arial"/>
                <w:sz w:val="18"/>
                <w:szCs w:val="18"/>
              </w:rPr>
            </w:pPr>
          </w:p>
        </w:tc>
      </w:tr>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Kontaktní osoba</w:t>
            </w:r>
          </w:p>
        </w:tc>
        <w:tc>
          <w:tcPr>
            <w:tcW w:w="5280" w:type="dxa"/>
            <w:tcBorders>
              <w:top w:val="single" w:sz="4" w:space="0" w:color="auto"/>
              <w:bottom w:val="single" w:sz="4" w:space="0" w:color="auto"/>
            </w:tcBorders>
          </w:tcPr>
          <w:p w:rsidR="00B7715F" w:rsidRPr="00EE4F56" w:rsidRDefault="00B7715F" w:rsidP="00AE0B47">
            <w:pPr>
              <w:spacing w:after="0" w:line="240" w:lineRule="auto"/>
              <w:rPr>
                <w:rFonts w:ascii="Arial" w:hAnsi="Arial" w:cs="Arial"/>
                <w:sz w:val="18"/>
                <w:szCs w:val="18"/>
              </w:rPr>
            </w:pPr>
          </w:p>
        </w:tc>
      </w:tr>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Telefonní číslo</w:t>
            </w:r>
          </w:p>
        </w:tc>
        <w:tc>
          <w:tcPr>
            <w:tcW w:w="5280" w:type="dxa"/>
            <w:tcBorders>
              <w:top w:val="single" w:sz="4" w:space="0" w:color="auto"/>
              <w:bottom w:val="single" w:sz="4" w:space="0" w:color="auto"/>
            </w:tcBorders>
          </w:tcPr>
          <w:p w:rsidR="00B7715F" w:rsidRPr="00EE4F56" w:rsidRDefault="00B7715F" w:rsidP="00AE0B47">
            <w:pPr>
              <w:spacing w:after="0" w:line="240" w:lineRule="auto"/>
              <w:rPr>
                <w:rFonts w:ascii="Arial" w:hAnsi="Arial" w:cs="Arial"/>
                <w:sz w:val="18"/>
                <w:szCs w:val="18"/>
              </w:rPr>
            </w:pPr>
          </w:p>
        </w:tc>
      </w:tr>
      <w:tr w:rsidR="00B7715F" w:rsidRPr="00EE4F56" w:rsidTr="00AE0B47">
        <w:tc>
          <w:tcPr>
            <w:tcW w:w="3775" w:type="dxa"/>
          </w:tcPr>
          <w:p w:rsidR="00B7715F" w:rsidRPr="00EE4F56" w:rsidRDefault="00B7715F" w:rsidP="00AE0B47">
            <w:pPr>
              <w:spacing w:after="0" w:line="240" w:lineRule="auto"/>
              <w:rPr>
                <w:rFonts w:ascii="Arial" w:hAnsi="Arial" w:cs="Arial"/>
                <w:sz w:val="18"/>
                <w:szCs w:val="18"/>
              </w:rPr>
            </w:pPr>
            <w:r>
              <w:rPr>
                <w:rFonts w:ascii="Arial" w:hAnsi="Arial"/>
                <w:sz w:val="18"/>
              </w:rPr>
              <w:t>E-mail</w:t>
            </w:r>
          </w:p>
        </w:tc>
        <w:tc>
          <w:tcPr>
            <w:tcW w:w="5280" w:type="dxa"/>
            <w:tcBorders>
              <w:top w:val="single" w:sz="4" w:space="0" w:color="auto"/>
              <w:bottom w:val="single" w:sz="4" w:space="0" w:color="auto"/>
            </w:tcBorders>
          </w:tcPr>
          <w:p w:rsidR="00B7715F" w:rsidRPr="00EE4F56" w:rsidRDefault="00B7715F" w:rsidP="00AE0B47">
            <w:pPr>
              <w:spacing w:after="0" w:line="240" w:lineRule="auto"/>
              <w:rPr>
                <w:rFonts w:ascii="Arial" w:hAnsi="Arial" w:cs="Arial"/>
                <w:sz w:val="18"/>
                <w:szCs w:val="18"/>
              </w:rPr>
            </w:pPr>
          </w:p>
        </w:tc>
      </w:tr>
    </w:tbl>
    <w:p w:rsidR="00B7715F" w:rsidRPr="00EE4F56" w:rsidRDefault="00B7715F" w:rsidP="00C073D2">
      <w:pPr>
        <w:spacing w:before="120" w:after="120" w:line="240" w:lineRule="auto"/>
        <w:rPr>
          <w:rFonts w:ascii="Arial" w:hAnsi="Arial" w:cs="Arial"/>
          <w:sz w:val="18"/>
          <w:szCs w:val="18"/>
        </w:rPr>
      </w:pPr>
    </w:p>
    <w:p w:rsidR="00B7715F" w:rsidRPr="00EE4F56" w:rsidRDefault="00B7715F" w:rsidP="00C073D2">
      <w:pPr>
        <w:spacing w:before="120" w:after="120" w:line="240" w:lineRule="auto"/>
        <w:rPr>
          <w:rFonts w:ascii="Arial" w:hAnsi="Arial" w:cs="Arial"/>
          <w:sz w:val="18"/>
          <w:szCs w:val="18"/>
        </w:rPr>
      </w:pPr>
      <w:r>
        <w:rPr>
          <w:rFonts w:ascii="Arial" w:hAnsi="Arial"/>
          <w:sz w:val="18"/>
        </w:rPr>
        <w:t>2. Technické požadavky uvedené v technické specifikaci kupujícího druhotných surovin, včetně složení, velkosti, příměsí, fyzikálních a chemických vlastností atd. (uveďte technické požadavky).</w:t>
      </w:r>
    </w:p>
    <w:p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rsidR="00B7715F" w:rsidRPr="00EE4F56" w:rsidRDefault="00B7715F" w:rsidP="00C073D2">
      <w:pPr>
        <w:spacing w:before="120" w:after="120" w:line="240" w:lineRule="auto"/>
        <w:rPr>
          <w:rFonts w:ascii="Arial" w:hAnsi="Arial" w:cs="Arial"/>
          <w:sz w:val="18"/>
          <w:szCs w:val="18"/>
        </w:rPr>
      </w:pPr>
      <w:r>
        <w:rPr>
          <w:rFonts w:ascii="Arial" w:hAnsi="Arial"/>
          <w:sz w:val="18"/>
        </w:rPr>
        <w:t>Druhotné suroviny získané z pneumatik s ukončenou životností splňují požadavky stanovené v technických specifikacích.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rsidTr="00AE0B47">
        <w:tc>
          <w:tcPr>
            <w:tcW w:w="3775" w:type="dxa"/>
          </w:tcPr>
          <w:p w:rsidR="00B7715F" w:rsidRPr="00EE4F56" w:rsidRDefault="00B7715F" w:rsidP="008F09A9">
            <w:pPr>
              <w:spacing w:before="120" w:after="120" w:line="240" w:lineRule="auto"/>
              <w:rPr>
                <w:rFonts w:ascii="Arial" w:hAnsi="Arial" w:cs="Arial"/>
                <w:sz w:val="18"/>
                <w:szCs w:val="18"/>
              </w:rPr>
            </w:pPr>
            <w:r>
              <w:rPr>
                <w:rFonts w:ascii="Arial" w:hAnsi="Arial"/>
                <w:sz w:val="18"/>
              </w:rPr>
              <w:t>3. Velikost zásilky v kg</w:t>
            </w:r>
          </w:p>
        </w:tc>
        <w:tc>
          <w:tcPr>
            <w:tcW w:w="5280" w:type="dxa"/>
            <w:tcBorders>
              <w:bottom w:val="single" w:sz="4" w:space="0" w:color="auto"/>
            </w:tcBorders>
          </w:tcPr>
          <w:p w:rsidR="00B7715F" w:rsidRPr="00EE4F56" w:rsidRDefault="00B7715F" w:rsidP="008F09A9">
            <w:pPr>
              <w:spacing w:before="120" w:after="120" w:line="240" w:lineRule="auto"/>
              <w:rPr>
                <w:rFonts w:ascii="Arial" w:hAnsi="Arial" w:cs="Arial"/>
                <w:sz w:val="18"/>
                <w:szCs w:val="18"/>
              </w:rPr>
            </w:pPr>
          </w:p>
        </w:tc>
      </w:tr>
    </w:tbl>
    <w:p w:rsidR="00B7715F" w:rsidRPr="00EE4F56" w:rsidRDefault="00B7715F" w:rsidP="00C073D2">
      <w:pPr>
        <w:spacing w:before="120" w:after="120" w:line="240" w:lineRule="auto"/>
        <w:rPr>
          <w:rFonts w:ascii="Arial" w:hAnsi="Arial" w:cs="Arial"/>
          <w:sz w:val="18"/>
          <w:szCs w:val="18"/>
        </w:rPr>
      </w:pPr>
      <w:r>
        <w:rPr>
          <w:rFonts w:ascii="Arial" w:hAnsi="Arial"/>
          <w:sz w:val="18"/>
        </w:rPr>
        <w:t>4. Druhotné suroviny získané z pneumatik s ukončenou životností splňují kritéria vymezující, kdy odpad přestává být odpadem.*</w:t>
      </w:r>
    </w:p>
    <w:p w:rsidR="00B7715F" w:rsidRPr="00EE4F56" w:rsidRDefault="00B7715F" w:rsidP="00C073D2">
      <w:pPr>
        <w:spacing w:before="120" w:after="120" w:line="240" w:lineRule="auto"/>
        <w:rPr>
          <w:rFonts w:ascii="Arial" w:hAnsi="Arial" w:cs="Arial"/>
          <w:sz w:val="18"/>
          <w:szCs w:val="18"/>
        </w:rPr>
      </w:pPr>
      <w:r>
        <w:rPr>
          <w:rFonts w:ascii="Arial" w:hAnsi="Arial"/>
          <w:sz w:val="18"/>
        </w:rPr>
        <w:t>5. Zpracovatel pneumatik s ukončenou životností provádí svou činnost v souladu se systémem řízení jakosti.</w:t>
      </w:r>
    </w:p>
    <w:p w:rsidR="00B7715F" w:rsidRPr="00EE4F56" w:rsidRDefault="00B7715F" w:rsidP="00C073D2">
      <w:pPr>
        <w:spacing w:before="120" w:after="120" w:line="240" w:lineRule="auto"/>
        <w:rPr>
          <w:rFonts w:ascii="Arial" w:hAnsi="Arial" w:cs="Arial"/>
          <w:sz w:val="18"/>
          <w:szCs w:val="18"/>
        </w:rPr>
      </w:pPr>
      <w:r>
        <w:rPr>
          <w:rFonts w:ascii="Arial" w:hAnsi="Arial"/>
          <w:sz w:val="18"/>
        </w:rPr>
        <w:t>6. Druhotné suroviny zahrnuté v zásilce jsou určeny pouze pro přímé použití (uveďte určené použití)</w:t>
      </w:r>
    </w:p>
    <w:p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rsidR="00B7715F" w:rsidRPr="00EE4F56" w:rsidRDefault="00B7715F" w:rsidP="00C073D2">
      <w:pPr>
        <w:spacing w:before="120" w:after="120" w:line="240" w:lineRule="auto"/>
        <w:rPr>
          <w:rFonts w:ascii="Arial" w:hAnsi="Arial" w:cs="Arial"/>
          <w:sz w:val="18"/>
          <w:szCs w:val="18"/>
        </w:rPr>
      </w:pPr>
      <w:r>
        <w:rPr>
          <w:rFonts w:ascii="Arial" w:hAnsi="Arial"/>
          <w:sz w:val="18"/>
        </w:rPr>
        <w:t>7. Ostatní informace</w:t>
      </w:r>
    </w:p>
    <w:p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rsidR="00B7715F" w:rsidRPr="00EE4F56" w:rsidRDefault="00B7715F" w:rsidP="00C073D2">
      <w:pPr>
        <w:spacing w:before="120" w:after="120" w:line="240" w:lineRule="auto"/>
        <w:rPr>
          <w:rFonts w:ascii="Arial" w:hAnsi="Arial" w:cs="Arial"/>
          <w:sz w:val="18"/>
          <w:szCs w:val="18"/>
        </w:rPr>
      </w:pPr>
      <w:r>
        <w:rPr>
          <w:rFonts w:ascii="Arial" w:hAnsi="Arial"/>
          <w:sz w:val="18"/>
        </w:rPr>
        <w:t>8. Tímto potvrzuji, že informace uvedené v prohlášení jsou úplné a správné.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EE4F56" w:rsidTr="00AE0B47">
        <w:tc>
          <w:tcPr>
            <w:tcW w:w="1848" w:type="dxa"/>
          </w:tcPr>
          <w:p w:rsidR="00AE0B47" w:rsidRPr="00EE4F56" w:rsidRDefault="00AE0B47" w:rsidP="00C073D2">
            <w:pPr>
              <w:spacing w:before="120" w:after="120" w:line="240" w:lineRule="auto"/>
              <w:rPr>
                <w:rFonts w:ascii="Arial" w:hAnsi="Arial" w:cs="Arial"/>
                <w:sz w:val="18"/>
                <w:szCs w:val="18"/>
              </w:rPr>
            </w:pPr>
            <w:r>
              <w:rPr>
                <w:rFonts w:ascii="Arial" w:hAnsi="Arial"/>
                <w:sz w:val="18"/>
              </w:rPr>
              <w:t>Zástupce hospodářského subjektu</w:t>
            </w:r>
          </w:p>
        </w:tc>
        <w:tc>
          <w:tcPr>
            <w:tcW w:w="2112" w:type="dxa"/>
            <w:tcBorders>
              <w:bottom w:val="single" w:sz="4" w:space="0" w:color="auto"/>
            </w:tcBorders>
          </w:tcPr>
          <w:p w:rsidR="00AE0B47" w:rsidRPr="00EE4F56" w:rsidRDefault="00AE0B47" w:rsidP="00C073D2">
            <w:pPr>
              <w:spacing w:before="120" w:after="120" w:line="240" w:lineRule="auto"/>
              <w:rPr>
                <w:rFonts w:ascii="Arial" w:hAnsi="Arial" w:cs="Arial"/>
                <w:sz w:val="18"/>
                <w:szCs w:val="18"/>
              </w:rPr>
            </w:pPr>
          </w:p>
        </w:tc>
        <w:tc>
          <w:tcPr>
            <w:tcW w:w="270" w:type="dxa"/>
          </w:tcPr>
          <w:p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rsidR="00AE0B47" w:rsidRPr="00EE4F56" w:rsidRDefault="00AE0B47" w:rsidP="00C073D2">
            <w:pPr>
              <w:spacing w:before="120" w:after="120" w:line="240" w:lineRule="auto"/>
              <w:rPr>
                <w:rFonts w:ascii="Arial" w:hAnsi="Arial" w:cs="Arial"/>
                <w:sz w:val="18"/>
                <w:szCs w:val="18"/>
              </w:rPr>
            </w:pPr>
          </w:p>
        </w:tc>
        <w:tc>
          <w:tcPr>
            <w:tcW w:w="270" w:type="dxa"/>
          </w:tcPr>
          <w:p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rsidR="00AE0B47" w:rsidRPr="00EE4F56" w:rsidRDefault="00AE0B47" w:rsidP="00C073D2">
            <w:pPr>
              <w:spacing w:before="120" w:after="120" w:line="240" w:lineRule="auto"/>
              <w:rPr>
                <w:rFonts w:ascii="Arial" w:hAnsi="Arial" w:cs="Arial"/>
                <w:sz w:val="18"/>
                <w:szCs w:val="18"/>
              </w:rPr>
            </w:pPr>
          </w:p>
        </w:tc>
      </w:tr>
      <w:tr w:rsidR="00AE0B47" w:rsidRPr="00EE4F56" w:rsidTr="00AE0B47">
        <w:tc>
          <w:tcPr>
            <w:tcW w:w="1848" w:type="dxa"/>
          </w:tcPr>
          <w:p w:rsidR="00AE0B47" w:rsidRPr="00EE4F5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rsidR="00AE0B47" w:rsidRPr="00EE4F56" w:rsidRDefault="00AE0B47" w:rsidP="00C073D2">
            <w:pPr>
              <w:spacing w:before="120" w:after="120" w:line="240" w:lineRule="auto"/>
              <w:rPr>
                <w:rFonts w:ascii="Arial" w:hAnsi="Arial" w:cs="Arial"/>
                <w:sz w:val="18"/>
                <w:szCs w:val="18"/>
              </w:rPr>
            </w:pPr>
            <w:r>
              <w:rPr>
                <w:rFonts w:ascii="Arial" w:hAnsi="Arial"/>
                <w:sz w:val="18"/>
              </w:rPr>
              <w:t>(jméno, příjmení)</w:t>
            </w:r>
          </w:p>
        </w:tc>
        <w:tc>
          <w:tcPr>
            <w:tcW w:w="270" w:type="dxa"/>
          </w:tcPr>
          <w:p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rsidR="00AE0B47" w:rsidRPr="00EE4F56" w:rsidRDefault="00AE0B47" w:rsidP="00C073D2">
            <w:pPr>
              <w:spacing w:before="120" w:after="120" w:line="240" w:lineRule="auto"/>
              <w:rPr>
                <w:rFonts w:ascii="Arial" w:hAnsi="Arial" w:cs="Arial"/>
                <w:sz w:val="18"/>
                <w:szCs w:val="18"/>
              </w:rPr>
            </w:pPr>
            <w:r>
              <w:rPr>
                <w:rFonts w:ascii="Arial" w:hAnsi="Arial"/>
                <w:sz w:val="18"/>
              </w:rPr>
              <w:t>(pozice)</w:t>
            </w:r>
          </w:p>
        </w:tc>
        <w:tc>
          <w:tcPr>
            <w:tcW w:w="270" w:type="dxa"/>
          </w:tcPr>
          <w:p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rsidR="00AE0B47" w:rsidRPr="00EE4F56" w:rsidRDefault="00AE0B47" w:rsidP="00C073D2">
            <w:pPr>
              <w:spacing w:before="120" w:after="120" w:line="240" w:lineRule="auto"/>
              <w:rPr>
                <w:rFonts w:ascii="Arial" w:hAnsi="Arial" w:cs="Arial"/>
                <w:sz w:val="18"/>
                <w:szCs w:val="18"/>
              </w:rPr>
            </w:pPr>
            <w:r>
              <w:rPr>
                <w:rFonts w:ascii="Arial" w:hAnsi="Arial"/>
                <w:sz w:val="18"/>
              </w:rPr>
              <w:t>(podpis)</w:t>
            </w:r>
          </w:p>
        </w:tc>
      </w:tr>
    </w:tbl>
    <w:p w:rsidR="00B7715F" w:rsidRPr="00EE4F56" w:rsidRDefault="00B7715F" w:rsidP="00B7715F">
      <w:pPr>
        <w:tabs>
          <w:tab w:val="left" w:leader="underscore" w:pos="3600"/>
        </w:tabs>
        <w:spacing w:before="120" w:after="120" w:line="240" w:lineRule="auto"/>
        <w:rPr>
          <w:rFonts w:ascii="Arial" w:hAnsi="Arial" w:cs="Arial"/>
          <w:sz w:val="18"/>
          <w:szCs w:val="18"/>
        </w:rPr>
      </w:pPr>
      <w:r>
        <w:rPr>
          <w:rFonts w:ascii="Arial" w:hAnsi="Arial"/>
          <w:sz w:val="18"/>
        </w:rPr>
        <w:t xml:space="preserve">Datum </w:t>
      </w:r>
      <w:r>
        <w:tab/>
      </w:r>
    </w:p>
    <w:p w:rsidR="00B7715F" w:rsidRPr="00EE4F56" w:rsidRDefault="00B7715F" w:rsidP="00C073D2">
      <w:pPr>
        <w:spacing w:before="120" w:after="120" w:line="240" w:lineRule="auto"/>
        <w:rPr>
          <w:rFonts w:ascii="Arial" w:hAnsi="Arial" w:cs="Arial"/>
          <w:sz w:val="18"/>
          <w:szCs w:val="18"/>
        </w:rPr>
      </w:pPr>
      <w:r>
        <w:rPr>
          <w:rFonts w:ascii="Arial" w:hAnsi="Arial"/>
          <w:sz w:val="18"/>
        </w:rPr>
        <w:t>Poznámka: * Kritéria jsou stanovena v příloze 1 nařízení vlády č. 682 ze dne 13. listopadu 2018 s názvem „Postup, podle něhož přestává platit stav odpadu pryžových materiálů získaných z pneumatik s ukončenou životností“ a jsou zahrnuta v systému řízení jakosti zpracovatele pneumatik s ukončenou životností.</w:t>
      </w:r>
    </w:p>
    <w:p w:rsidR="00B7715F" w:rsidRPr="00EE4F56" w:rsidRDefault="00B7715F" w:rsidP="00AE0B47">
      <w:pPr>
        <w:spacing w:before="120" w:after="120" w:line="240" w:lineRule="auto"/>
        <w:jc w:val="right"/>
        <w:rPr>
          <w:rFonts w:ascii="Arial" w:hAnsi="Arial" w:cs="Arial"/>
          <w:sz w:val="18"/>
          <w:szCs w:val="18"/>
        </w:rPr>
      </w:pPr>
      <w:r>
        <w:rPr>
          <w:rFonts w:ascii="Arial" w:hAnsi="Arial"/>
          <w:sz w:val="18"/>
        </w:rPr>
        <w:t>Ministr pro ochranu životního</w:t>
      </w:r>
      <w:r>
        <w:rPr>
          <w:rFonts w:ascii="Arial" w:hAnsi="Arial"/>
          <w:sz w:val="18"/>
          <w:szCs w:val="18"/>
        </w:rPr>
        <w:br/>
      </w:r>
      <w:r>
        <w:rPr>
          <w:rFonts w:ascii="Arial" w:hAnsi="Arial"/>
          <w:sz w:val="18"/>
        </w:rPr>
        <w:t>prostředí a regionální rozvoj Kaspars Gerhards</w:t>
      </w:r>
    </w:p>
    <w:p w:rsidR="00B7715F" w:rsidRPr="00EE4F56" w:rsidRDefault="00B7715F" w:rsidP="00C073D2">
      <w:pPr>
        <w:spacing w:before="120" w:after="120" w:line="240" w:lineRule="auto"/>
        <w:rPr>
          <w:rFonts w:ascii="Arial" w:hAnsi="Arial" w:cs="Arial"/>
          <w:sz w:val="18"/>
          <w:szCs w:val="18"/>
        </w:rPr>
      </w:pPr>
    </w:p>
    <w:p w:rsidR="00AE0B47" w:rsidRPr="00EE4F56" w:rsidRDefault="00AE0B47" w:rsidP="00AE0B47">
      <w:pPr>
        <w:pBdr>
          <w:bottom w:val="single" w:sz="18" w:space="1" w:color="A6A6A6" w:themeColor="background1" w:themeShade="A6"/>
        </w:pBdr>
        <w:spacing w:before="120" w:after="120" w:line="240" w:lineRule="auto"/>
        <w:rPr>
          <w:rFonts w:ascii="Arial" w:hAnsi="Arial" w:cs="Arial"/>
          <w:sz w:val="18"/>
          <w:szCs w:val="18"/>
        </w:rPr>
      </w:pPr>
    </w:p>
    <w:p w:rsidR="00B7715F" w:rsidRPr="00EE4F56" w:rsidRDefault="00B7715F" w:rsidP="00C073D2">
      <w:pPr>
        <w:spacing w:before="120" w:after="120" w:line="240" w:lineRule="auto"/>
        <w:rPr>
          <w:rFonts w:ascii="Arial" w:hAnsi="Arial" w:cs="Arial"/>
          <w:b/>
          <w:color w:val="A6A6A6"/>
          <w:sz w:val="18"/>
          <w:szCs w:val="18"/>
        </w:rPr>
      </w:pPr>
      <w:r>
        <w:rPr>
          <w:rFonts w:ascii="Arial" w:hAnsi="Arial"/>
          <w:b/>
          <w:color w:val="A6A6A6"/>
          <w:sz w:val="18"/>
        </w:rPr>
        <w:t>© Úřední publikace „Latvijas Vēstnesis“</w:t>
      </w:r>
    </w:p>
    <w:sectPr w:rsidR="00B7715F" w:rsidRPr="00EE4F56" w:rsidSect="000027DE">
      <w:footerReference w:type="default" r:id="rId8"/>
      <w:footerReference w:type="first" r:id="rId9"/>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463" w:rsidRDefault="00716463">
      <w:pPr>
        <w:spacing w:after="0" w:line="240" w:lineRule="auto"/>
      </w:pPr>
      <w:r>
        <w:separator/>
      </w:r>
    </w:p>
  </w:endnote>
  <w:endnote w:type="continuationSeparator" w:id="0">
    <w:p w:rsidR="00716463" w:rsidRDefault="0071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rsidR="00C77626" w:rsidRPr="001919C1" w:rsidRDefault="00C77626" w:rsidP="00C77626">
        <w:pPr>
          <w:pStyle w:val="Footer"/>
          <w:jc w:val="right"/>
          <w:rPr>
            <w:rFonts w:ascii="Arial" w:hAnsi="Arial" w:cs="Arial"/>
            <w:noProof/>
            <w:sz w:val="18"/>
            <w:szCs w:val="18"/>
          </w:rPr>
        </w:pPr>
        <w:r w:rsidRPr="001919C1">
          <w:rPr>
            <w:rFonts w:ascii="Arial" w:hAnsi="Arial" w:cs="Arial"/>
            <w:sz w:val="18"/>
            <w:szCs w:val="18"/>
          </w:rPr>
          <w:fldChar w:fldCharType="begin"/>
        </w:r>
        <w:r w:rsidRPr="001919C1">
          <w:rPr>
            <w:rFonts w:ascii="Arial" w:hAnsi="Arial" w:cs="Arial"/>
            <w:sz w:val="18"/>
            <w:szCs w:val="18"/>
          </w:rPr>
          <w:instrText xml:space="preserve"> PAGE   \* MERGEFORMAT </w:instrText>
        </w:r>
        <w:r w:rsidRPr="001919C1">
          <w:rPr>
            <w:rFonts w:ascii="Arial" w:hAnsi="Arial" w:cs="Arial"/>
            <w:sz w:val="18"/>
            <w:szCs w:val="18"/>
          </w:rPr>
          <w:fldChar w:fldCharType="separate"/>
        </w:r>
        <w:r w:rsidR="0016039D">
          <w:rPr>
            <w:rFonts w:ascii="Arial" w:hAnsi="Arial" w:cs="Arial"/>
            <w:noProof/>
            <w:sz w:val="18"/>
            <w:szCs w:val="18"/>
          </w:rPr>
          <w:t>4</w:t>
        </w:r>
        <w:r w:rsidRPr="001919C1">
          <w:rPr>
            <w:rFonts w:ascii="Arial" w:hAnsi="Arial" w:cs="Arial"/>
            <w:sz w:val="18"/>
            <w:szCs w:val="18"/>
          </w:rPr>
          <w:fldChar w:fldCharType="end"/>
        </w:r>
        <w:r>
          <w:rPr>
            <w:rFonts w:ascii="Arial" w:hAnsi="Arial"/>
            <w:sz w:val="18"/>
          </w:rPr>
          <w:t>/</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rFonts w:ascii="Arial" w:hAnsi="Arial" w:cs="Arial"/>
                <w:sz w:val="18"/>
                <w:szCs w:val="18"/>
              </w:rPr>
              <w:fldChar w:fldCharType="begin"/>
            </w:r>
            <w:r w:rsidRPr="001919C1">
              <w:rPr>
                <w:rFonts w:ascii="Arial" w:hAnsi="Arial" w:cs="Arial"/>
                <w:sz w:val="18"/>
                <w:szCs w:val="18"/>
              </w:rPr>
              <w:instrText xml:space="preserve"> NUMPAGES   \* MERGEFORMAT </w:instrText>
            </w:r>
            <w:r w:rsidRPr="001919C1">
              <w:rPr>
                <w:rFonts w:ascii="Arial" w:hAnsi="Arial" w:cs="Arial"/>
                <w:sz w:val="18"/>
                <w:szCs w:val="18"/>
              </w:rPr>
              <w:fldChar w:fldCharType="separate"/>
            </w:r>
            <w:r w:rsidR="0016039D">
              <w:rPr>
                <w:rFonts w:ascii="Arial" w:hAnsi="Arial" w:cs="Arial"/>
                <w:noProof/>
                <w:sz w:val="18"/>
                <w:szCs w:val="18"/>
              </w:rPr>
              <w:t>4</w:t>
            </w:r>
            <w:r w:rsidRPr="001919C1">
              <w:rPr>
                <w:rFonts w:ascii="Arial" w:hAnsi="Arial" w:cs="Arial"/>
                <w:sz w:val="18"/>
                <w:szCs w:val="18"/>
              </w:rPr>
              <w:fldChar w:fldCharType="end"/>
            </w:r>
          </w:sdtContent>
        </w:sdt>
      </w:p>
      <w:p w:rsidR="00C77626" w:rsidRDefault="0016039D">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F" w:rsidRPr="00BB2301" w:rsidRDefault="0016039D" w:rsidP="00FC6D0F">
    <w:pPr>
      <w:pStyle w:val="Header"/>
      <w:jc w:val="right"/>
      <w:rPr>
        <w:rFonts w:ascii="Times New Roman" w:hAnsi="Times New Roman"/>
        <w:sz w:val="24"/>
        <w:szCs w:val="24"/>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PAGE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1</w:t>
        </w:r>
        <w:r w:rsidR="00FC6D0F" w:rsidRPr="00BB2301">
          <w:rPr>
            <w:rFonts w:ascii="Times New Roman" w:hAnsi="Times New Roman"/>
            <w:sz w:val="24"/>
            <w:szCs w:val="24"/>
          </w:rPr>
          <w:fldChar w:fldCharType="end"/>
        </w:r>
      </w:sdtContent>
    </w:sdt>
    <w:r w:rsidR="00344F8E">
      <w:rPr>
        <w:rFonts w:ascii="Times New Roman" w:hAnsi="Times New Roman"/>
        <w:sz w:val="24"/>
      </w:rPr>
      <w:t>/</w:t>
    </w:r>
    <w:r w:rsidR="00344F8E">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w:instrText>
        </w:r>
        <w:r w:rsidR="00FC6D0F">
          <w:rPr>
            <w:rFonts w:ascii="Times New Roman" w:hAnsi="Times New Roman"/>
            <w:sz w:val="24"/>
            <w:szCs w:val="24"/>
          </w:rPr>
          <w:instrText>NUM</w:instrText>
        </w:r>
        <w:r w:rsidR="00FC6D0F" w:rsidRPr="00BB2301">
          <w:rPr>
            <w:rFonts w:ascii="Times New Roman" w:hAnsi="Times New Roman"/>
            <w:sz w:val="24"/>
            <w:szCs w:val="24"/>
          </w:rPr>
          <w:instrText>PAGE</w:instrText>
        </w:r>
        <w:r w:rsidR="00FC6D0F">
          <w:rPr>
            <w:rFonts w:ascii="Times New Roman" w:hAnsi="Times New Roman"/>
            <w:sz w:val="24"/>
            <w:szCs w:val="24"/>
          </w:rPr>
          <w:instrText>S</w:instrText>
        </w:r>
        <w:r w:rsidR="00FC6D0F" w:rsidRPr="00BB2301">
          <w:rPr>
            <w:rFonts w:ascii="Times New Roman" w:hAnsi="Times New Roman"/>
            <w:sz w:val="24"/>
            <w:szCs w:val="24"/>
          </w:rPr>
          <w:instrText xml:space="preserv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4</w:t>
        </w:r>
        <w:r w:rsidR="00FC6D0F" w:rsidRPr="00BB2301">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463" w:rsidRDefault="00716463">
      <w:pPr>
        <w:spacing w:after="0" w:line="240" w:lineRule="auto"/>
      </w:pPr>
      <w:r>
        <w:separator/>
      </w:r>
    </w:p>
  </w:footnote>
  <w:footnote w:type="continuationSeparator" w:id="0">
    <w:p w:rsidR="00716463" w:rsidRDefault="0071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nsid w:val="7B1F23CE"/>
    <w:multiLevelType w:val="multilevel"/>
    <w:tmpl w:val="2326BFB4"/>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0D43DB"/>
    <w:rsid w:val="00107E24"/>
    <w:rsid w:val="001338A1"/>
    <w:rsid w:val="001422BE"/>
    <w:rsid w:val="00145598"/>
    <w:rsid w:val="00146626"/>
    <w:rsid w:val="00154E01"/>
    <w:rsid w:val="0016039D"/>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44C8D"/>
    <w:rsid w:val="00745050"/>
    <w:rsid w:val="00754262"/>
    <w:rsid w:val="00763CA9"/>
    <w:rsid w:val="00764697"/>
    <w:rsid w:val="00765283"/>
    <w:rsid w:val="00772FC3"/>
    <w:rsid w:val="007969F5"/>
    <w:rsid w:val="007A146F"/>
    <w:rsid w:val="007A660F"/>
    <w:rsid w:val="007B0CDD"/>
    <w:rsid w:val="007B509B"/>
    <w:rsid w:val="007C6158"/>
    <w:rsid w:val="007D2335"/>
    <w:rsid w:val="007E08F9"/>
    <w:rsid w:val="007F3ACF"/>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3753F23E-36E1-4124-A5F5-13E50976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BA59B3"/>
    <w:rPr>
      <w:rFonts w:eastAsiaTheme="minorHAnsi"/>
      <w:sz w:val="20"/>
      <w:szCs w:val="20"/>
      <w:lang w:val="cs-CZ"/>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cs-CZ"/>
    </w:rPr>
  </w:style>
  <w:style w:type="paragraph" w:styleId="ListParagraph">
    <w:name w:val="List Paragraph"/>
    <w:basedOn w:val="Normal"/>
    <w:uiPriority w:val="34"/>
    <w:qFormat/>
    <w:rsid w:val="00BA59B3"/>
    <w:pPr>
      <w:ind w:left="720"/>
      <w:contextualSpacing/>
    </w:pPr>
    <w:rPr>
      <w:rFonts w:ascii="Calibri" w:eastAsia="SimSun" w:hAnsi="Calibri" w:cs="Times New Roman"/>
    </w:rPr>
  </w:style>
  <w:style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cs-CZ" w:eastAsia="en-GB"/>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A59B3"/>
    <w:rPr>
      <w:rFonts w:ascii="Times New Roman" w:eastAsia="Times New Roman" w:hAnsi="Times New Roman" w:cs="Times New Roman"/>
      <w:lang w:val="cs-CZ" w:eastAsia="en-GB"/>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basedOn w:val="CommentTextChar"/>
    <w:link w:val="CommentSubject"/>
    <w:uiPriority w:val="99"/>
    <w:semiHidden/>
    <w:rsid w:val="00380381"/>
    <w:rPr>
      <w:rFonts w:eastAsiaTheme="minorHAnsi"/>
      <w:b/>
      <w:bCs/>
      <w:sz w:val="20"/>
      <w:szCs w:val="20"/>
      <w:lang w:val="cs-CZ"/>
    </w:rPr>
  </w:style>
  <w:style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cs-CZ"/>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HeaderChar">
    <w:name w:val="Header Char"/>
    <w:basedOn w:val="DefaultParagraphFont"/>
    <w:link w:val="Header"/>
    <w:uiPriority w:val="99"/>
    <w:rsid w:val="008D118F"/>
    <w:rPr>
      <w:rFonts w:ascii="Calibri" w:eastAsia="SimSun" w:hAnsi="Calibri" w:cs="Times New Roman"/>
      <w:sz w:val="22"/>
      <w:szCs w:val="22"/>
      <w:lang w:val="cs-CZ" w:eastAsia="en-GB"/>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FooterChar">
    <w:name w:val="Footer Char"/>
    <w:basedOn w:val="DefaultParagraphFont"/>
    <w:link w:val="Footer"/>
    <w:uiPriority w:val="99"/>
    <w:rsid w:val="008D118F"/>
    <w:rPr>
      <w:rFonts w:ascii="Calibri" w:eastAsia="SimSun" w:hAnsi="Calibri" w:cs="Times New Roman"/>
      <w:sz w:val="22"/>
      <w:szCs w:val="22"/>
      <w:lang w:val="cs-CZ" w:eastAsia="en-GB"/>
    </w:rPr>
  </w:style>
  <w:style w:type="character" w:styleId="Hyperlink">
    <w:name w:val="Hyperlink"/>
    <w:basedOn w:val="DefaultParagraphFont"/>
    <w:uiPriority w:val="99"/>
    <w:semiHidden/>
    <w:unhideWhenUsed/>
    <w:rsid w:val="00695329"/>
    <w:rPr>
      <w:color w:val="0000FF"/>
      <w:u w:val="single"/>
    </w:rPr>
  </w:style>
  <w:style w:type="character" w:styleId="Strong">
    <w:name w:val="Strong"/>
    <w:basedOn w:val="DefaultParagraphFont"/>
    <w:uiPriority w:val="22"/>
    <w:qFormat/>
    <w:rsid w:val="00695329"/>
    <w:rPr>
      <w:b/>
      <w:bCs/>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A600B"/>
    <w:rPr>
      <w:rFonts w:eastAsiaTheme="minorHAnsi"/>
      <w:sz w:val="22"/>
      <w:szCs w:val="22"/>
    </w:rPr>
  </w:style>
  <w:style w:type="table" w:styleId="TableGrid">
    <w:name w:val="Table Grid"/>
    <w:basedOn w:val="TableNormal"/>
    <w:uiPriority w:val="59"/>
    <w:rsid w:val="00FC6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F00CB-E1F5-465C-AFF0-207FAAE0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Varga, Eszter</cp:lastModifiedBy>
  <cp:revision>22</cp:revision>
  <cp:lastPrinted>2018-03-14T09:38:00Z</cp:lastPrinted>
  <dcterms:created xsi:type="dcterms:W3CDTF">2018-05-16T10:48:00Z</dcterms:created>
  <dcterms:modified xsi:type="dcterms:W3CDTF">2019-12-18T16:27:00Z</dcterms:modified>
</cp:coreProperties>
</file>