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FE38" w14:textId="77777777" w:rsidR="004C70FD" w:rsidRDefault="00E7537A">
      <w:pPr>
        <w:pStyle w:val="Heading1"/>
        <w:tabs>
          <w:tab w:val="center" w:pos="1992"/>
          <w:tab w:val="center" w:pos="6748"/>
        </w:tabs>
        <w:spacing w:after="106" w:line="259" w:lineRule="auto"/>
        <w:ind w:left="0" w:firstLine="0"/>
        <w:jc w:val="left"/>
      </w:pPr>
      <w:r>
        <w:rPr>
          <w:rFonts w:ascii="Calibri" w:hAnsi="Calibri"/>
          <w:b w:val="0"/>
          <w:sz w:val="22"/>
        </w:rPr>
        <w:tab/>
      </w:r>
      <w:r>
        <w:t xml:space="preserve">IR-REPUBBLIKA FRANĊIŻA </w:t>
      </w:r>
      <w:r>
        <w:tab/>
        <w:t xml:space="preserve"> </w:t>
      </w:r>
    </w:p>
    <w:p w14:paraId="0DF88037" w14:textId="77777777" w:rsidR="004C70FD" w:rsidRDefault="00E7537A">
      <w:pPr>
        <w:tabs>
          <w:tab w:val="center" w:pos="2012"/>
          <w:tab w:val="center" w:pos="2554"/>
        </w:tabs>
        <w:spacing w:after="26" w:line="259" w:lineRule="auto"/>
        <w:ind w:left="0" w:firstLine="0"/>
        <w:jc w:val="left"/>
      </w:pPr>
      <w:r>
        <w:t xml:space="preserve"> </w:t>
      </w:r>
      <w:r>
        <w:tab/>
      </w:r>
      <w:r>
        <w:rPr>
          <w:rFonts w:ascii="Calibri" w:hAnsi="Calibri"/>
          <w:noProof/>
          <w:sz w:val="22"/>
        </w:rPr>
        <mc:AlternateContent>
          <mc:Choice Requires="wpg">
            <w:drawing>
              <wp:inline distT="0" distB="0" distL="0" distR="0" wp14:anchorId="019FCF0C" wp14:editId="6AD69DEE">
                <wp:extent cx="615696" cy="1524"/>
                <wp:effectExtent l="0" t="0" r="0" b="0"/>
                <wp:docPr id="1" name="Group 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2" name="Forme libre 2"/>
                        <wps:cNvSpPr/>
                        <wps:spPr bwMode="auto"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 extrusionOk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mso-wrap-distance-left:0.0pt;mso-wrap-distance-top:0.0pt;mso-wrap-distance-right:0.0pt;mso-wrap-distance-bottom:0.0pt;width:48.5pt;height:0.1pt;" coordorigin="0,0" coordsize="6156,15">
                <v:shape id="shape 1" o:spid="_x0000_s1" style="position:absolute;left:0;top:0;width:6156;height:91;" coordsize="100000,100000" path="m0,0l100000,0l100000,99909l0,99909l0,0e" fillcolor="#000000" strokeweight="0.00pt">
                  <v:path textboxrect="0,0,0,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115B779A" w14:textId="77777777" w:rsidR="004C70FD" w:rsidRDefault="00E7537A">
      <w:pPr>
        <w:spacing w:after="100"/>
      </w:pPr>
      <w:r>
        <w:t>Il-Ministeru għall-Ekonomija, il-Finanzi u l-Irkupru</w:t>
      </w:r>
    </w:p>
    <w:p w14:paraId="7D081C91" w14:textId="77777777" w:rsidR="004C70FD" w:rsidRDefault="00E7537A">
      <w:pPr>
        <w:tabs>
          <w:tab w:val="center" w:pos="2012"/>
          <w:tab w:val="center" w:pos="2554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rFonts w:ascii="Calibri" w:hAnsi="Calibri"/>
          <w:noProof/>
          <w:sz w:val="22"/>
        </w:rPr>
        <mc:AlternateContent>
          <mc:Choice Requires="wpg">
            <w:drawing>
              <wp:inline distT="0" distB="0" distL="0" distR="0" wp14:anchorId="4675917F" wp14:editId="275B9905">
                <wp:extent cx="615696" cy="1524"/>
                <wp:effectExtent l="0" t="0" r="0" b="0"/>
                <wp:docPr id="3" name="Group 7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4" name="Forme libre 4"/>
                        <wps:cNvSpPr/>
                        <wps:spPr bwMode="auto"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 extrusionOk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" o:spid="_x0000_s0000" style="mso-wrap-distance-left:0.0pt;mso-wrap-distance-top:0.0pt;mso-wrap-distance-right:0.0pt;mso-wrap-distance-bottom:0.0pt;width:48.5pt;height:0.1pt;" coordorigin="0,0" coordsize="6156,15">
                <v:shape id="shape 3" o:spid="_x0000_s3" style="position:absolute;left:0;top:0;width:6156;height:91;" coordsize="100000,100000" path="m0,0l100000,0l100000,99909l0,99909l0,0e" fillcolor="#000000" strokeweight="0.00pt">
                  <v:path textboxrect="0,0,0,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3B3CEDC6" w14:textId="77777777" w:rsidR="004C70FD" w:rsidRDefault="00E7537A">
      <w:pPr>
        <w:spacing w:after="0" w:line="259" w:lineRule="auto"/>
        <w:ind w:left="5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B7A8B97" w14:textId="77777777" w:rsidR="004C70FD" w:rsidRDefault="00E7537A">
      <w:pPr>
        <w:pStyle w:val="Heading1"/>
        <w:spacing w:after="174"/>
        <w:ind w:left="128" w:right="120"/>
      </w:pPr>
      <w:r>
        <w:t>Digriet Nru           ta’                 dwar l-użu ta’ ċerti ismijiet użati biex jindikaw oġġetti tal-ikel li fihom proteini tal-pjanti</w:t>
      </w:r>
    </w:p>
    <w:p w14:paraId="1749DE59" w14:textId="77777777" w:rsidR="004C70FD" w:rsidRDefault="00E7537A">
      <w:pPr>
        <w:spacing w:after="223" w:line="259" w:lineRule="auto"/>
        <w:ind w:left="10" w:right="5"/>
        <w:jc w:val="center"/>
      </w:pPr>
      <w:r>
        <w:t xml:space="preserve">NOR: ECO </w:t>
      </w:r>
    </w:p>
    <w:p w14:paraId="07E3C28B" w14:textId="77777777" w:rsidR="004C70FD" w:rsidRDefault="00E7537A">
      <w:pPr>
        <w:spacing w:after="292" w:line="250" w:lineRule="auto"/>
        <w:ind w:left="-5"/>
        <w:jc w:val="left"/>
        <w:rPr>
          <w:sz w:val="22"/>
        </w:rPr>
      </w:pPr>
      <w:r>
        <w:rPr>
          <w:i/>
          <w:sz w:val="22"/>
        </w:rPr>
        <w:t>Persuni kkonċernati</w:t>
      </w:r>
      <w:r>
        <w:rPr>
          <w:sz w:val="22"/>
        </w:rPr>
        <w:t>:</w:t>
      </w:r>
      <w:r>
        <w:rPr>
          <w:color w:val="3C3C3C"/>
          <w:sz w:val="22"/>
          <w:shd w:val="clear" w:color="auto" w:fill="FFFFFF"/>
        </w:rPr>
        <w:t xml:space="preserve"> </w:t>
      </w:r>
      <w:r>
        <w:rPr>
          <w:i/>
          <w:color w:val="auto"/>
          <w:sz w:val="22"/>
          <w:shd w:val="clear" w:color="auto" w:fill="FFFFFF"/>
        </w:rPr>
        <w:t>professjonisti tal-ikel u tal-catering li ma jaħdmux mid-dar; distributuri tal-ikel; konsumaturi</w:t>
      </w:r>
      <w:r>
        <w:rPr>
          <w:color w:val="auto"/>
          <w:sz w:val="22"/>
        </w:rPr>
        <w:t xml:space="preserve">. </w:t>
      </w:r>
    </w:p>
    <w:p w14:paraId="47AB098A" w14:textId="1CD82047" w:rsidR="004C70FD" w:rsidRDefault="00E7537A">
      <w:pPr>
        <w:spacing w:after="292" w:line="250" w:lineRule="auto"/>
        <w:ind w:left="-5"/>
        <w:rPr>
          <w:sz w:val="22"/>
        </w:rPr>
      </w:pPr>
      <w:r>
        <w:rPr>
          <w:i/>
          <w:sz w:val="22"/>
        </w:rPr>
        <w:t xml:space="preserve">Suġġett: l-istabbiliment ta’ regoli dwar l-użu ta’ ismijiet li jindikaw prodotti li joriġinaw mill-annimali u oġġetti tal-ikel derivati minnhom għall-iskop ta’ deskrizzjoni, kummerċjalizzazzjoni jew promozzjoni ta’ oġġetti tal-ikel li fihom il-proteina tal-pjanti. </w:t>
      </w:r>
    </w:p>
    <w:p w14:paraId="0799D212" w14:textId="45238934" w:rsidR="004C70FD" w:rsidRDefault="00E7537A">
      <w:pPr>
        <w:tabs>
          <w:tab w:val="left" w:pos="6495"/>
        </w:tabs>
        <w:spacing w:after="292" w:line="250" w:lineRule="auto"/>
        <w:ind w:left="-5"/>
        <w:rPr>
          <w:sz w:val="22"/>
        </w:rPr>
      </w:pPr>
      <w:r>
        <w:rPr>
          <w:i/>
          <w:sz w:val="22"/>
        </w:rPr>
        <w:t xml:space="preserve">Dħul fis-seħħ: </w:t>
      </w:r>
      <w:r>
        <w:rPr>
          <w:i/>
          <w:color w:val="auto"/>
          <w:sz w:val="22"/>
        </w:rPr>
        <w:t>1 ta’ April 2022.</w:t>
      </w:r>
      <w:r>
        <w:rPr>
          <w:color w:val="auto"/>
          <w:sz w:val="22"/>
        </w:rPr>
        <w:t xml:space="preserve"> </w:t>
      </w:r>
      <w:r>
        <w:rPr>
          <w:color w:val="auto"/>
          <w:sz w:val="22"/>
        </w:rPr>
        <w:tab/>
      </w:r>
    </w:p>
    <w:p w14:paraId="331CB556" w14:textId="2A5AFBEA" w:rsidR="004C70FD" w:rsidRDefault="00E7537A">
      <w:pPr>
        <w:spacing w:after="292" w:line="250" w:lineRule="auto"/>
        <w:ind w:left="-5"/>
        <w:rPr>
          <w:sz w:val="22"/>
        </w:rPr>
      </w:pPr>
      <w:r>
        <w:rPr>
          <w:i/>
          <w:sz w:val="22"/>
        </w:rPr>
        <w:t>Avviż: it-test jirregola l-użu ta’ ismijiet li jindikaw prodotti li joriġinaw mill-annimali u oġġetti tal-ikel li fihom dawn il-prodotti biex jiġu deskritti, ikkummerċjalizzati jew promossi prodotti li jinkorporaw proteini tal-pjanti. Dan ikopri prodotti li jinkorporaw proteini tal-pjanti fformulati b’mod speċjali għal skopijiet teknoloġiċi jew nutrittivi (pereżempju preparazzjonijiet ibbażati fuq il-laħam u l-proteini tal-pjanti, li l-preżentazzjoni tagħhom hija qisha f’forma ta’ steak) u/jew ingredjenti ta’ oriġini mhux mill-annimali b’kontenut sinifikanti ta’ proteini (eż. pastizzott magħmul prinċipalment minn għads agglomerat, li l-preżentazzjoni tiegħu hija qisha f’forma ta’ steak). Għalhekk, mhux se jkun possibbli li tintuża t-terminoloġija speċifika għas-setturi tradizzjonalment assoċjati mal-laħam u l-ħut biex issir referenza għal prodotti li ma jappartjenux għar-renju tal-annimali u li, essenzjalment, mhumiex komparabbli.</w:t>
      </w:r>
    </w:p>
    <w:p w14:paraId="6F6571F1" w14:textId="77777777" w:rsidR="004C70FD" w:rsidRDefault="00E7537A">
      <w:pPr>
        <w:spacing w:after="754" w:line="250" w:lineRule="auto"/>
        <w:ind w:left="-5"/>
        <w:rPr>
          <w:sz w:val="22"/>
        </w:rPr>
      </w:pPr>
      <w:r>
        <w:rPr>
          <w:i/>
          <w:sz w:val="22"/>
        </w:rPr>
        <w:t>Referenzi: dan id-Digriet huwa adottat għall-applikazzjoni tal-Artikolu L. 412-10 tal-Kodiċi tal-Konsumatur fil-formulazzjoni tiegħu li tirriżulta mill-Artikolu 5 tal-Liġi Nru 2020-699 tal-10 ta’ Ġunju 2020 rigward it-trasparenza tal-informazzjoni dwar il-prodotti agrikoli u tal-ikel. It-test jista’ jiġi kkonsultat fuq is-sit web ta’ Légifrance -</w:t>
      </w:r>
      <w:hyperlink r:id="rId8" w:tooltip="http://www.legifrance.gouv.fr/" w:history="1">
        <w:r>
          <w:rPr>
            <w:i/>
            <w:sz w:val="22"/>
          </w:rPr>
          <w:t xml:space="preserve"> </w:t>
        </w:r>
      </w:hyperlink>
      <w:hyperlink r:id="rId9" w:tooltip="http://www.legifrance.gouv.fr/" w:history="1">
        <w:r>
          <w:rPr>
            <w:i/>
            <w:color w:val="0000FF"/>
            <w:sz w:val="22"/>
            <w:u w:val="single"/>
          </w:rPr>
          <w:t>http://www.legifrance.gouv.fr</w:t>
        </w:r>
      </w:hyperlink>
      <w:hyperlink r:id="rId10" w:tooltip="http://www.legifrance.gouv.fr/" w:history="1">
        <w:r>
          <w:rPr>
            <w:i/>
            <w:sz w:val="22"/>
          </w:rPr>
          <w:t>.</w:t>
        </w:r>
      </w:hyperlink>
      <w:r>
        <w:rPr>
          <w:i/>
          <w:sz w:val="22"/>
        </w:rPr>
        <w:t xml:space="preserve"> </w:t>
      </w:r>
    </w:p>
    <w:p w14:paraId="21D11241" w14:textId="77777777" w:rsidR="004C70FD" w:rsidRDefault="00E7537A">
      <w:pPr>
        <w:pStyle w:val="Heading1"/>
        <w:spacing w:after="230" w:line="259" w:lineRule="auto"/>
        <w:ind w:left="-5"/>
        <w:jc w:val="left"/>
        <w:rPr>
          <w:sz w:val="22"/>
        </w:rPr>
      </w:pPr>
      <w:r>
        <w:rPr>
          <w:sz w:val="22"/>
        </w:rPr>
        <w:t xml:space="preserve">Il-Prim Ministru, </w:t>
      </w:r>
    </w:p>
    <w:p w14:paraId="6CB60A13" w14:textId="77777777" w:rsidR="004C70FD" w:rsidRDefault="00E7537A">
      <w:pPr>
        <w:ind w:left="-5"/>
        <w:rPr>
          <w:sz w:val="22"/>
        </w:rPr>
      </w:pPr>
      <w:r>
        <w:rPr>
          <w:sz w:val="22"/>
        </w:rPr>
        <w:t xml:space="preserve">Skont ir-rapport tal-Ministru għall-Ekonomija, il-Finanzi u l-Irkupru, </w:t>
      </w:r>
    </w:p>
    <w:p w14:paraId="1EAD592A" w14:textId="77777777" w:rsidR="004C70FD" w:rsidRDefault="00E7537A">
      <w:pPr>
        <w:spacing w:after="0" w:line="259" w:lineRule="auto"/>
        <w:ind w:left="708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4D7B821A" w14:textId="657DE3AD" w:rsidR="00163BBD" w:rsidRDefault="00163BBD">
      <w:pPr>
        <w:ind w:left="-5"/>
        <w:rPr>
          <w:rFonts w:ascii="TimesNewRomanBold" w:hAnsi="TimesNewRomanBold" w:cs="TimesNewRomanBold"/>
          <w:bCs/>
          <w:sz w:val="22"/>
        </w:rPr>
      </w:pPr>
      <w:r>
        <w:rPr>
          <w:rFonts w:ascii="TimesNewRomanBold" w:hAnsi="TimesNewRomanBold"/>
          <w:sz w:val="22"/>
        </w:rPr>
        <w:t>Wara li kkunsidra r-Regolament (KE) Nru 852/2004 tal-Parlament Ewropew u tal-Kunsill tad-29 ta’ April 2004 dwar l-iġjene tal-oġġetti tal-ikel;</w:t>
      </w:r>
    </w:p>
    <w:p w14:paraId="299443FB" w14:textId="77777777" w:rsidR="00163BBD" w:rsidRDefault="00163BBD">
      <w:pPr>
        <w:ind w:left="-5"/>
        <w:rPr>
          <w:sz w:val="22"/>
        </w:rPr>
      </w:pPr>
    </w:p>
    <w:p w14:paraId="7B426736" w14:textId="77777777" w:rsidR="004C70FD" w:rsidRDefault="00E7537A">
      <w:pPr>
        <w:ind w:left="-5"/>
        <w:rPr>
          <w:sz w:val="22"/>
        </w:rPr>
      </w:pPr>
      <w:r>
        <w:rPr>
          <w:sz w:val="22"/>
        </w:rPr>
        <w:t xml:space="preserve">Wara li kkunsidra l-Artikolu 38 tar-Regolament (UE) Nru 1169/2011 tal-Parlament Ewropew u tal-Kunsill tal-25 ta’ Ottubru 2011 dwar l-għoti ta’ informazzjoni dwar l-ikel lill-konsumaturi, li jemenda r-Regolamenti (KE) Nru 1924/2006 u (KE) Nru 1925/2006 tal-Parlament Ewropew u tal-Kunsill u li jħassar id-Direttiva tal-Kummissjoni 87/250/KEE, id-Direttiva tal-Kunsill 90/496/KEE, id-Direttiva tal-Kummissjoni 1999/10/KE, id-Direttiva 2000/13/KE tal-Parlament Ewropew u tal-Kunsill, id-Direttivi tal-Kummissjoni 2002/67/KE u 2008/5/KE u r-Regolament tal-Kummissjoni (KE) Nru 608/2004; </w:t>
      </w:r>
    </w:p>
    <w:p w14:paraId="3D7E8358" w14:textId="77777777" w:rsidR="004C70FD" w:rsidRDefault="00E7537A">
      <w:pPr>
        <w:spacing w:after="0" w:line="259" w:lineRule="auto"/>
        <w:ind w:left="708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3981A335" w14:textId="77777777" w:rsidR="004C70FD" w:rsidRDefault="00E7537A">
      <w:pPr>
        <w:ind w:left="-5"/>
        <w:rPr>
          <w:sz w:val="22"/>
        </w:rPr>
      </w:pPr>
      <w:r>
        <w:rPr>
          <w:sz w:val="22"/>
        </w:rPr>
        <w:lastRenderedPageBreak/>
        <w:t xml:space="preserve">Wara li kkunsidra d-Direttiva (UE) 2015/1535 tal-Parlament Ewropew u tal-Kunsill tad-9 ta’ Settembru 2015 li tistabbilixxi proċedura għall-għoti ta’ informazzjoni fil-qasam tar-regolamenti tekniċi u tar-regoli dwar is-servizzi tas-Soċjetà tal-Informatika; </w:t>
      </w:r>
    </w:p>
    <w:p w14:paraId="3D5EF2BC" w14:textId="77777777" w:rsidR="004C70FD" w:rsidRDefault="00E7537A">
      <w:pPr>
        <w:spacing w:after="0" w:line="259" w:lineRule="auto"/>
        <w:ind w:left="708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7E92DEE6" w14:textId="4A574845" w:rsidR="004C70FD" w:rsidRDefault="00E7537A">
      <w:pPr>
        <w:ind w:left="-5"/>
        <w:rPr>
          <w:sz w:val="22"/>
        </w:rPr>
      </w:pPr>
      <w:r>
        <w:rPr>
          <w:sz w:val="22"/>
        </w:rPr>
        <w:t>Wara li kkunsidra l-Kodiċi tal-Konsumatur, b’mod partikolari l-Artikoli L. 412-1, L. 412-10 u R. 451-1 tiegħu;</w:t>
      </w:r>
    </w:p>
    <w:p w14:paraId="637E1E21" w14:textId="77777777" w:rsidR="004C70FD" w:rsidRDefault="004C70FD">
      <w:pPr>
        <w:ind w:left="-5"/>
        <w:rPr>
          <w:sz w:val="22"/>
        </w:rPr>
      </w:pPr>
    </w:p>
    <w:p w14:paraId="7856CC80" w14:textId="77777777" w:rsidR="004C70FD" w:rsidRDefault="00E7537A">
      <w:pPr>
        <w:ind w:left="-5"/>
        <w:rPr>
          <w:sz w:val="22"/>
        </w:rPr>
      </w:pPr>
      <w:r>
        <w:rPr>
          <w:sz w:val="22"/>
        </w:rPr>
        <w:t>Wara li kkunsidra n-notifika Nru 2020/XXX/F ta’ XX 2020 indirizzata lill-Kummissjoni Ewropea;</w:t>
      </w:r>
    </w:p>
    <w:p w14:paraId="34F035A6" w14:textId="77777777" w:rsidR="004C70FD" w:rsidRDefault="004C70FD">
      <w:pPr>
        <w:spacing w:after="0" w:line="259" w:lineRule="auto"/>
        <w:ind w:left="708" w:firstLine="0"/>
        <w:jc w:val="left"/>
      </w:pPr>
    </w:p>
    <w:p w14:paraId="7E46F18D" w14:textId="77777777" w:rsidR="004C70FD" w:rsidRDefault="00E7537A">
      <w:pPr>
        <w:pStyle w:val="BodyText3"/>
        <w:spacing w:before="120" w:after="120"/>
        <w:jc w:val="both"/>
        <w:rPr>
          <w:szCs w:val="22"/>
        </w:rPr>
      </w:pPr>
      <w:r>
        <w:t>Wara li sema’ lill-Kunsill tal-Istat (Taqsima tal-Finanzi),</w:t>
      </w:r>
    </w:p>
    <w:p w14:paraId="02AD9CAC" w14:textId="77777777" w:rsidR="004C70FD" w:rsidRDefault="00E7537A">
      <w:pPr>
        <w:spacing w:after="23" w:line="259" w:lineRule="auto"/>
        <w:ind w:left="708" w:firstLine="0"/>
        <w:jc w:val="left"/>
      </w:pPr>
      <w:r>
        <w:t xml:space="preserve"> </w:t>
      </w:r>
    </w:p>
    <w:p w14:paraId="59601C12" w14:textId="77777777" w:rsidR="004C70FD" w:rsidRDefault="00E7537A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5721B11C" w14:textId="77777777" w:rsidR="004C70FD" w:rsidRDefault="00E7537A">
      <w:pPr>
        <w:spacing w:after="1" w:line="258" w:lineRule="auto"/>
        <w:ind w:left="128" w:right="125"/>
        <w:jc w:val="center"/>
        <w:rPr>
          <w:sz w:val="22"/>
        </w:rPr>
      </w:pPr>
      <w:r>
        <w:rPr>
          <w:b/>
          <w:sz w:val="22"/>
        </w:rPr>
        <w:t xml:space="preserve">B’dan jordna: </w:t>
      </w:r>
    </w:p>
    <w:p w14:paraId="42947675" w14:textId="77777777" w:rsidR="004C70FD" w:rsidRDefault="00E7537A">
      <w:pPr>
        <w:spacing w:after="0" w:line="259" w:lineRule="auto"/>
        <w:ind w:left="55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14:paraId="549146F0" w14:textId="77777777" w:rsidR="004C70FD" w:rsidRDefault="00E7537A">
      <w:pPr>
        <w:pStyle w:val="Heading1"/>
        <w:spacing w:after="51"/>
        <w:ind w:left="128" w:right="123"/>
        <w:rPr>
          <w:sz w:val="22"/>
        </w:rPr>
      </w:pPr>
      <w:r>
        <w:rPr>
          <w:sz w:val="22"/>
        </w:rPr>
        <w:t>Artikolu 1</w:t>
      </w:r>
      <w:r>
        <w:rPr>
          <w:sz w:val="22"/>
          <w:vertAlign w:val="superscript"/>
        </w:rPr>
        <w:t xml:space="preserve">  </w:t>
      </w:r>
    </w:p>
    <w:p w14:paraId="645B3642" w14:textId="77777777" w:rsidR="004C70FD" w:rsidRDefault="00E7537A">
      <w:pPr>
        <w:spacing w:after="142" w:line="259" w:lineRule="auto"/>
        <w:ind w:left="0" w:firstLine="0"/>
        <w:jc w:val="center"/>
        <w:rPr>
          <w:i/>
          <w:sz w:val="22"/>
        </w:rPr>
      </w:pPr>
      <w:r>
        <w:rPr>
          <w:i/>
          <w:sz w:val="22"/>
        </w:rPr>
        <w:t>Definizzjonijiet</w:t>
      </w:r>
    </w:p>
    <w:p w14:paraId="1A3D7059" w14:textId="77777777" w:rsidR="004C70FD" w:rsidRDefault="00E7537A">
      <w:pPr>
        <w:spacing w:after="107"/>
        <w:ind w:left="-5"/>
        <w:rPr>
          <w:sz w:val="22"/>
        </w:rPr>
      </w:pPr>
      <w:r>
        <w:rPr>
          <w:sz w:val="22"/>
        </w:rPr>
        <w:t>Id-dispożizzjonijiet ta’ dan id-Digriet għandhom japplikaw għall-oġġetti tal-ikel li fihom proteini tal-pjanti mmanifatturati fit-territorju nazzjonali Franċiż.</w:t>
      </w:r>
    </w:p>
    <w:p w14:paraId="420BCF2A" w14:textId="77777777" w:rsidR="004C70FD" w:rsidRDefault="00E7537A">
      <w:pPr>
        <w:ind w:left="-5"/>
        <w:rPr>
          <w:sz w:val="22"/>
        </w:rPr>
      </w:pPr>
      <w:r>
        <w:rPr>
          <w:sz w:val="22"/>
        </w:rPr>
        <w:t>Fil-kuntest ta’ dan id-Digriet, japplikaw id-definizzjonijiet li ġejjin:</w:t>
      </w:r>
    </w:p>
    <w:p w14:paraId="5A174703" w14:textId="77777777" w:rsidR="004C70FD" w:rsidRDefault="00E7537A">
      <w:pPr>
        <w:ind w:left="-5"/>
        <w:rPr>
          <w:sz w:val="22"/>
        </w:rPr>
      </w:pPr>
      <w:r>
        <w:rPr>
          <w:sz w:val="22"/>
        </w:rPr>
        <w:t>(1) “proteini tal-pjanti”: proteini prodotti jew li joriġinaw minn organiżmi li jappartjenu għar-renji kollha minbarra r-renju tal-annimali;</w:t>
      </w:r>
    </w:p>
    <w:p w14:paraId="4A0C263D" w14:textId="77777777" w:rsidR="004C70FD" w:rsidRDefault="00E7537A">
      <w:pPr>
        <w:ind w:left="-5"/>
        <w:rPr>
          <w:sz w:val="22"/>
        </w:rPr>
      </w:pPr>
      <w:r>
        <w:rPr>
          <w:sz w:val="22"/>
        </w:rPr>
        <w:t>(2) “ikel li joriġina mill-annimali”: prodotti li joriġinaw mill-annimali u oġġetti tal-ikel derivati minnhom;</w:t>
      </w:r>
    </w:p>
    <w:p w14:paraId="4F23DE6E" w14:textId="77777777" w:rsidR="004C70FD" w:rsidRDefault="00E7537A">
      <w:pPr>
        <w:ind w:left="-5"/>
        <w:rPr>
          <w:sz w:val="22"/>
        </w:rPr>
      </w:pPr>
      <w:r>
        <w:rPr>
          <w:sz w:val="22"/>
        </w:rPr>
        <w:t>(3) “isem legali”: l-isem ta’ ikel preskritt mid-dispożizzjonijiet tal-Unjoni Ewropea applikabbli għalih jew, fin-nuqqas ta’ tali dispożizzjonijiet, l-isem previst fil-leġiżlazzjoni nazzjonali tal-Istat Membru li fih jinbiegħ l-ikel lill-konsumatur finali jew lill-awtoritajiet lokali;</w:t>
      </w:r>
    </w:p>
    <w:p w14:paraId="2E190DDC" w14:textId="77777777" w:rsidR="004C70FD" w:rsidRDefault="00E7537A">
      <w:pPr>
        <w:ind w:left="-5"/>
        <w:rPr>
          <w:sz w:val="22"/>
        </w:rPr>
      </w:pPr>
      <w:r>
        <w:rPr>
          <w:sz w:val="22"/>
        </w:rPr>
        <w:t xml:space="preserve">(4) “isem deskrittiv”: isem li jiddeskrivi l-ikel u, jekk meħtieġ, l-użu tiegħu, u li jkun ċar biżżejjed biex il-konsumaturi jkunu jistgħu jiddeterminaw in-natura vera tiegħu u jiddistingwuh minn prodotti oħra li jista’ jiġi konfuż magħhom; </w:t>
      </w:r>
    </w:p>
    <w:p w14:paraId="123579FB" w14:textId="21E707E8" w:rsidR="004C70FD" w:rsidRDefault="00E7537A">
      <w:pPr>
        <w:ind w:left="-5"/>
        <w:rPr>
          <w:sz w:val="22"/>
        </w:rPr>
      </w:pPr>
      <w:r>
        <w:rPr>
          <w:sz w:val="22"/>
        </w:rPr>
        <w:t>(5) “prodotti pproċessati”: prodotti pproċessati kif definiti fl-Artikolu 2 tar-Regolament (KE) Nru 852/2004 tal-Parlament Ewropew u tal-Kunsill tad-29 ta’ April 2004 imsemmi hawn fuq;</w:t>
      </w:r>
    </w:p>
    <w:p w14:paraId="2895497C" w14:textId="08F7A553" w:rsidR="004C70FD" w:rsidRDefault="00E7537A">
      <w:pPr>
        <w:ind w:left="-5"/>
        <w:rPr>
          <w:sz w:val="22"/>
        </w:rPr>
      </w:pPr>
      <w:r>
        <w:rPr>
          <w:sz w:val="22"/>
        </w:rPr>
        <w:t>(6) “ingredjent”: kwalunkwe sustanza jew prodott, inklużi ħwawar, addittivi tal-ikel u enzimi tal-ikel, jew kwalunkwe kostitwent ta’ ingredjent kompost, użat fil-manifattura jew fil-preparazzjoni ta’ oġġett tal-ikel u li għadu preżenti fil-prodott lest, possibbilment f’forma modifikata; ir-residwi ma jitqisux bħala ingredjenti.</w:t>
      </w:r>
    </w:p>
    <w:p w14:paraId="0230CF7A" w14:textId="77777777" w:rsidR="004C70FD" w:rsidRDefault="004C70FD">
      <w:pPr>
        <w:ind w:left="0" w:firstLine="0"/>
        <w:rPr>
          <w:sz w:val="22"/>
        </w:rPr>
      </w:pPr>
    </w:p>
    <w:p w14:paraId="25941BFE" w14:textId="77777777" w:rsidR="004C70FD" w:rsidRDefault="00E7537A">
      <w:pPr>
        <w:pStyle w:val="Heading1"/>
        <w:ind w:left="128" w:right="123"/>
        <w:rPr>
          <w:sz w:val="22"/>
        </w:rPr>
      </w:pPr>
      <w:r>
        <w:rPr>
          <w:sz w:val="22"/>
        </w:rPr>
        <w:t xml:space="preserve">Artikolu 2 </w:t>
      </w:r>
    </w:p>
    <w:p w14:paraId="3E029A3F" w14:textId="77777777" w:rsidR="004C70FD" w:rsidRDefault="00E7537A">
      <w:pPr>
        <w:pStyle w:val="Heading1"/>
        <w:ind w:left="128" w:right="123"/>
        <w:rPr>
          <w:i/>
          <w:sz w:val="22"/>
        </w:rPr>
      </w:pPr>
      <w:r>
        <w:rPr>
          <w:b w:val="0"/>
          <w:i/>
          <w:sz w:val="22"/>
        </w:rPr>
        <w:t>Termini protetti li jirreferu għal ikel li joriġina mill-annimali</w:t>
      </w:r>
      <w:r>
        <w:rPr>
          <w:i/>
          <w:sz w:val="22"/>
        </w:rPr>
        <w:t xml:space="preserve"> </w:t>
      </w:r>
    </w:p>
    <w:p w14:paraId="04E42B7F" w14:textId="77777777" w:rsidR="004C70FD" w:rsidRDefault="004C70FD">
      <w:pPr>
        <w:spacing w:after="0" w:line="259" w:lineRule="auto"/>
        <w:ind w:left="0" w:firstLine="0"/>
        <w:jc w:val="left"/>
        <w:rPr>
          <w:sz w:val="22"/>
        </w:rPr>
      </w:pPr>
    </w:p>
    <w:p w14:paraId="40655AFD" w14:textId="3BF941D5" w:rsidR="004C70FD" w:rsidRDefault="00E7537A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Huwa pprojbit li jintuża u li jiġi deskritt ikel ipproċessat li jkun fih il-proteini tal-pjanti: </w:t>
      </w:r>
    </w:p>
    <w:p w14:paraId="0B606A10" w14:textId="77777777" w:rsidR="004C70FD" w:rsidRDefault="004C70FD">
      <w:pPr>
        <w:ind w:left="-5"/>
        <w:rPr>
          <w:sz w:val="22"/>
        </w:rPr>
      </w:pPr>
    </w:p>
    <w:p w14:paraId="0CD1AC9A" w14:textId="77777777" w:rsidR="004C70FD" w:rsidRDefault="00E7537A">
      <w:pPr>
        <w:ind w:left="-5"/>
        <w:rPr>
          <w:sz w:val="22"/>
        </w:rPr>
      </w:pPr>
      <w:r>
        <w:rPr>
          <w:sz w:val="22"/>
        </w:rPr>
        <w:t>(1) isem legali li għalih ma hemm l-ebda żieda ta’ proteina tal-pjanti prevista mir-regoli li jiddefinixxu l-kompożizzjoni tal-oġġett tal-ikel ikkonċernat;</w:t>
      </w:r>
    </w:p>
    <w:p w14:paraId="62D739AE" w14:textId="6FBD9123" w:rsidR="004C70FD" w:rsidRDefault="00E7537A">
      <w:pPr>
        <w:ind w:left="-5"/>
        <w:rPr>
          <w:sz w:val="22"/>
        </w:rPr>
      </w:pPr>
      <w:r>
        <w:rPr>
          <w:sz w:val="22"/>
        </w:rPr>
        <w:t>(2) isem li jirreferi għall-ismijiet ta’ speċijiet ta’ annimali jew gruppi ta’ speċijiet jew għal</w:t>
      </w:r>
      <w:r>
        <w:rPr>
          <w:color w:val="000000" w:themeColor="text1"/>
          <w:sz w:val="22"/>
        </w:rPr>
        <w:t xml:space="preserve"> </w:t>
      </w:r>
      <w:r>
        <w:rPr>
          <w:sz w:val="22"/>
        </w:rPr>
        <w:t>morfoloġija jew anatomija ta’ annimal</w:t>
      </w:r>
      <w:r>
        <w:rPr>
          <w:color w:val="000000" w:themeColor="text1"/>
          <w:sz w:val="22"/>
        </w:rPr>
        <w:t>;</w:t>
      </w:r>
    </w:p>
    <w:p w14:paraId="75CCA8B7" w14:textId="77777777" w:rsidR="004C70FD" w:rsidRDefault="00E7537A">
      <w:pPr>
        <w:ind w:left="-5"/>
        <w:rPr>
          <w:sz w:val="22"/>
        </w:rPr>
      </w:pPr>
      <w:r>
        <w:rPr>
          <w:sz w:val="22"/>
        </w:rPr>
        <w:t>(3) isem li juża t-terminoloġija speċifika tal-biċċerija, prodotti tal-laħam jew tal-bejjiegħa tal-ħut;</w:t>
      </w:r>
    </w:p>
    <w:p w14:paraId="477172E2" w14:textId="4EEBC659" w:rsidR="004C70FD" w:rsidRDefault="00720CF4">
      <w:pPr>
        <w:ind w:left="-5"/>
        <w:rPr>
          <w:sz w:val="22"/>
        </w:rPr>
      </w:pPr>
      <w:r>
        <w:rPr>
          <w:sz w:val="22"/>
        </w:rPr>
        <w:t xml:space="preserve">(4) isem ta’ ikel li joriġina mill-annimali li jirrappreżenta użi kummerċjali. </w:t>
      </w:r>
    </w:p>
    <w:p w14:paraId="6651326C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54084FC5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5DE9200A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537F19EA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4E1210A1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2614DC89" w14:textId="77777777" w:rsidR="004C70FD" w:rsidRDefault="00E7537A">
      <w:pPr>
        <w:pStyle w:val="Heading1"/>
        <w:ind w:left="128" w:right="123"/>
        <w:rPr>
          <w:sz w:val="22"/>
        </w:rPr>
      </w:pPr>
      <w:r>
        <w:rPr>
          <w:sz w:val="22"/>
        </w:rPr>
        <w:lastRenderedPageBreak/>
        <w:t xml:space="preserve">Artikolu 3 </w:t>
      </w:r>
    </w:p>
    <w:p w14:paraId="095D4AC4" w14:textId="77777777" w:rsidR="004C70FD" w:rsidRDefault="00E7537A">
      <w:pPr>
        <w:spacing w:line="247" w:lineRule="auto"/>
        <w:ind w:left="11" w:hanging="11"/>
        <w:jc w:val="center"/>
        <w:rPr>
          <w:i/>
          <w:sz w:val="22"/>
        </w:rPr>
      </w:pPr>
      <w:r>
        <w:rPr>
          <w:i/>
          <w:sz w:val="22"/>
        </w:rPr>
        <w:t>Żidiet awtorizzati, ħwawar u ingredjenti ta’ taħwir</w:t>
      </w:r>
    </w:p>
    <w:p w14:paraId="5B09F042" w14:textId="77777777" w:rsidR="004C70FD" w:rsidRDefault="004C70FD">
      <w:pPr>
        <w:spacing w:line="247" w:lineRule="auto"/>
        <w:ind w:left="0" w:firstLine="0"/>
        <w:rPr>
          <w:sz w:val="22"/>
        </w:rPr>
      </w:pPr>
    </w:p>
    <w:p w14:paraId="2752F084" w14:textId="77777777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Id-dispożizzjonijiet tal-Artikolu 2 ma għandhomx jipprekludu l-possibbiltà li jintużaw l-ismijiet li jipproteġi:</w:t>
      </w:r>
    </w:p>
    <w:p w14:paraId="33E1B7F1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755A7708" w14:textId="4F7B8A16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(1) fil-każ taż-żieda ta’ proteina tal-pjanti, fi proporzjon speċifikat, ma’ oġġetti tal-ikel li joriġinaw mill-annimali li għalihom żieda bħal din hija prevista mir-regolamenti jew hija rappreżentattiva tal-użi;</w:t>
      </w:r>
    </w:p>
    <w:p w14:paraId="2A956FFC" w14:textId="77777777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(2) biex jiġu deskritti l-ħwawar jew l-ingredjenti tal-ikel bi proprjetajiet ta’ taħwir użati fl-oġġetti tal-ikel.</w:t>
      </w:r>
    </w:p>
    <w:p w14:paraId="690CF97E" w14:textId="77777777" w:rsidR="005772E1" w:rsidRDefault="005772E1">
      <w:pPr>
        <w:spacing w:line="247" w:lineRule="auto"/>
        <w:ind w:left="11" w:hanging="11"/>
        <w:rPr>
          <w:sz w:val="22"/>
        </w:rPr>
      </w:pPr>
    </w:p>
    <w:p w14:paraId="31CC4764" w14:textId="78CB5FE7" w:rsidR="005772E1" w:rsidRPr="005772E1" w:rsidRDefault="005772E1" w:rsidP="005772E1">
      <w:pPr>
        <w:spacing w:line="247" w:lineRule="auto"/>
        <w:ind w:left="11" w:hanging="11"/>
        <w:jc w:val="center"/>
        <w:rPr>
          <w:b/>
          <w:sz w:val="22"/>
        </w:rPr>
      </w:pPr>
      <w:r>
        <w:rPr>
          <w:b/>
          <w:sz w:val="22"/>
        </w:rPr>
        <w:t>Artikolu 4</w:t>
      </w:r>
    </w:p>
    <w:p w14:paraId="41F5D69C" w14:textId="065158B9" w:rsidR="004C70FD" w:rsidRPr="005772E1" w:rsidRDefault="005772E1">
      <w:pPr>
        <w:spacing w:line="247" w:lineRule="auto"/>
        <w:ind w:left="11" w:hanging="11"/>
        <w:jc w:val="center"/>
        <w:rPr>
          <w:i/>
          <w:sz w:val="22"/>
        </w:rPr>
      </w:pPr>
      <w:r>
        <w:rPr>
          <w:i/>
          <w:sz w:val="22"/>
        </w:rPr>
        <w:t>Reklamar ta’ ismijiet ta’ oġġetti tal-ikel li joriġinaw mill-annimali rappreżentattivi ta’ użi kummerċjali</w:t>
      </w:r>
    </w:p>
    <w:p w14:paraId="523119DC" w14:textId="77777777" w:rsidR="005772E1" w:rsidRDefault="005772E1">
      <w:pPr>
        <w:spacing w:line="247" w:lineRule="auto"/>
        <w:ind w:left="11" w:hanging="11"/>
        <w:jc w:val="center"/>
        <w:rPr>
          <w:b/>
          <w:sz w:val="22"/>
        </w:rPr>
      </w:pPr>
    </w:p>
    <w:p w14:paraId="40B9F419" w14:textId="7C2FCE3A" w:rsidR="005772E1" w:rsidRPr="005223A4" w:rsidRDefault="005772E1" w:rsidP="005772E1">
      <w:pPr>
        <w:spacing w:line="247" w:lineRule="auto"/>
        <w:ind w:left="11" w:hanging="11"/>
        <w:rPr>
          <w:sz w:val="22"/>
        </w:rPr>
      </w:pPr>
      <w:r>
        <w:rPr>
          <w:sz w:val="22"/>
        </w:rPr>
        <w:t>L-ismijiet imsemmija fl-Artikolu 2(4) u, fejn applikabbli, il-limiti massimi għall-proteini tal-pjanti awtorizzati għal dawk l-ismijiet għandhom jiġu ppubblikati mill-Ministru responsabbli għall-konsum fuq proposta motivata mill-organizzazzjonijiet professjonali li jirrappreżentaw is-setturi kkonċernati.</w:t>
      </w:r>
    </w:p>
    <w:p w14:paraId="38D6417E" w14:textId="77777777" w:rsidR="005772E1" w:rsidRDefault="005772E1">
      <w:pPr>
        <w:spacing w:line="247" w:lineRule="auto"/>
        <w:ind w:left="11" w:hanging="11"/>
        <w:jc w:val="center"/>
        <w:rPr>
          <w:b/>
          <w:sz w:val="22"/>
        </w:rPr>
      </w:pPr>
    </w:p>
    <w:p w14:paraId="0F370421" w14:textId="37270202" w:rsidR="004C70FD" w:rsidRDefault="00E7537A">
      <w:pPr>
        <w:spacing w:line="247" w:lineRule="auto"/>
        <w:ind w:left="11" w:hanging="11"/>
        <w:jc w:val="center"/>
        <w:rPr>
          <w:b/>
          <w:sz w:val="22"/>
        </w:rPr>
      </w:pPr>
      <w:r>
        <w:rPr>
          <w:b/>
          <w:sz w:val="22"/>
        </w:rPr>
        <w:t>Artikolu 5</w:t>
      </w:r>
    </w:p>
    <w:p w14:paraId="4CA61737" w14:textId="77777777" w:rsidR="004C70FD" w:rsidRDefault="00E7537A">
      <w:pPr>
        <w:spacing w:line="247" w:lineRule="auto"/>
        <w:ind w:left="11" w:hanging="11"/>
        <w:jc w:val="center"/>
        <w:rPr>
          <w:i/>
          <w:sz w:val="22"/>
        </w:rPr>
      </w:pPr>
      <w:r>
        <w:rPr>
          <w:i/>
          <w:sz w:val="22"/>
        </w:rPr>
        <w:t>Platti ppreparati</w:t>
      </w:r>
    </w:p>
    <w:p w14:paraId="1AD57FC9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0B93FD97" w14:textId="77777777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Id-dispożizzjonijiet tal-Artikolu 2 ma għandhomx jipprekludu l-possibbiltà li jintużaw l-ismijiet li huwa jipproteġi fl-ismijiet deskrittivi ta’ kombinamenti ta’ oġġetti tal-ikel li joriġinaw mill-annimali ma’ tipi oħra ta’ oġġetti tal-ikel li mhumiex miżjuda bħala alternattiva għal dawk l-oġġetti tal-ikel li joriġinaw mill-annimali iżda b’żieda magħhom fil-kuntest ta’ tali kombinamenti.</w:t>
      </w:r>
      <w:r>
        <w:t xml:space="preserve"> </w:t>
      </w:r>
    </w:p>
    <w:p w14:paraId="47744CD7" w14:textId="77777777" w:rsidR="004C70FD" w:rsidRDefault="004C70FD">
      <w:pPr>
        <w:spacing w:line="247" w:lineRule="auto"/>
        <w:ind w:left="11" w:hanging="11"/>
        <w:jc w:val="center"/>
        <w:rPr>
          <w:b/>
          <w:sz w:val="22"/>
        </w:rPr>
      </w:pPr>
    </w:p>
    <w:p w14:paraId="53B4BCC8" w14:textId="6E84DF70" w:rsidR="004C70FD" w:rsidRDefault="00E7537A">
      <w:pPr>
        <w:spacing w:line="247" w:lineRule="auto"/>
        <w:ind w:left="11" w:hanging="11"/>
        <w:jc w:val="center"/>
        <w:rPr>
          <w:b/>
          <w:sz w:val="22"/>
        </w:rPr>
      </w:pPr>
      <w:r>
        <w:rPr>
          <w:b/>
          <w:sz w:val="22"/>
        </w:rPr>
        <w:t>Artikolu 6</w:t>
      </w:r>
    </w:p>
    <w:p w14:paraId="57BB14FA" w14:textId="77777777" w:rsidR="004C70FD" w:rsidRDefault="004C70FD">
      <w:pPr>
        <w:spacing w:line="247" w:lineRule="auto"/>
        <w:ind w:left="0" w:firstLine="0"/>
        <w:rPr>
          <w:b/>
          <w:sz w:val="22"/>
        </w:rPr>
      </w:pPr>
    </w:p>
    <w:p w14:paraId="3F20B03C" w14:textId="77777777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Il-prodotti li ġew immanifatturati jew ikkummerċjalizzati legalment fi Stat Membru ieħor tal-UE jew fit-Turkija, jew immanifatturati legalment fi Stat ieħor li huwa parti għall-ftehim dwar iż-Żona Ekonomika Ewropea, ma għandhomx ikunu soġġetti għar-rekwiżiti ta’ dan id-Digriet. Dawn il-prodotti jistgħu jiġu importati u kkummerċjalizzati fi Franza skont waħda mill-formulazzjonijiet previsti f’dan id-digriet, jew formulazzjoni simili.</w:t>
      </w:r>
    </w:p>
    <w:p w14:paraId="6415B979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30794255" w14:textId="77777777" w:rsidR="004C70FD" w:rsidRDefault="004C70FD">
      <w:pPr>
        <w:spacing w:line="247" w:lineRule="auto"/>
        <w:ind w:left="11" w:hanging="11"/>
        <w:jc w:val="center"/>
        <w:rPr>
          <w:b/>
          <w:sz w:val="22"/>
        </w:rPr>
      </w:pPr>
    </w:p>
    <w:p w14:paraId="36F27585" w14:textId="7A7CCE49" w:rsidR="004C70FD" w:rsidRDefault="00E7537A">
      <w:pPr>
        <w:spacing w:after="0" w:line="259" w:lineRule="auto"/>
        <w:ind w:left="0" w:firstLine="0"/>
        <w:jc w:val="center"/>
        <w:rPr>
          <w:b/>
          <w:sz w:val="22"/>
        </w:rPr>
      </w:pPr>
      <w:r>
        <w:rPr>
          <w:b/>
          <w:sz w:val="22"/>
        </w:rPr>
        <w:t>Artikolu 7</w:t>
      </w:r>
    </w:p>
    <w:p w14:paraId="0E934377" w14:textId="77777777" w:rsidR="004C70FD" w:rsidRDefault="004C70FD">
      <w:pPr>
        <w:spacing w:after="0" w:line="259" w:lineRule="auto"/>
        <w:ind w:left="0" w:firstLine="0"/>
        <w:jc w:val="center"/>
        <w:rPr>
          <w:b/>
          <w:sz w:val="22"/>
        </w:rPr>
      </w:pPr>
    </w:p>
    <w:p w14:paraId="428FDF08" w14:textId="77777777" w:rsidR="004C70FD" w:rsidRDefault="00E7537A">
      <w:pPr>
        <w:pStyle w:val="BodyText"/>
        <w:rPr>
          <w:b w:val="0"/>
          <w:sz w:val="22"/>
        </w:rPr>
      </w:pPr>
      <w:r>
        <w:rPr>
          <w:b w:val="0"/>
          <w:sz w:val="22"/>
        </w:rPr>
        <w:t xml:space="preserve">Huwa pprojbit li wieħed iżomm għall-bejgħ jew id-distribuzzjoni mingħajr ħlas, li joffri għall-bejgħ, ibigħ jew iqassam mingħajr ħlas oġġetti tal-ikel li ma jikkonformawx mar-regoli stabbiliti f’dan id-Digriet. </w:t>
      </w:r>
    </w:p>
    <w:p w14:paraId="246C1597" w14:textId="77777777" w:rsidR="004C70FD" w:rsidRDefault="004C70FD">
      <w:pPr>
        <w:pStyle w:val="BodyText"/>
        <w:rPr>
          <w:b w:val="0"/>
          <w:sz w:val="22"/>
        </w:rPr>
      </w:pPr>
    </w:p>
    <w:p w14:paraId="618519F8" w14:textId="2102B770" w:rsidR="004C70FD" w:rsidRDefault="00E7537A">
      <w:pPr>
        <w:pStyle w:val="Heading2"/>
      </w:pPr>
      <w:r>
        <w:t>Artikolu 8</w:t>
      </w:r>
    </w:p>
    <w:p w14:paraId="4A42304F" w14:textId="77777777" w:rsidR="004C70FD" w:rsidRDefault="004C70FD">
      <w:pPr>
        <w:spacing w:after="0" w:line="259" w:lineRule="auto"/>
        <w:ind w:left="0" w:firstLine="0"/>
        <w:jc w:val="center"/>
        <w:rPr>
          <w:b/>
          <w:sz w:val="22"/>
        </w:rPr>
      </w:pPr>
    </w:p>
    <w:p w14:paraId="68443225" w14:textId="00441357" w:rsidR="004C70FD" w:rsidRDefault="00E7537A" w:rsidP="0015526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Il-ksur ta’ dan id-Digriet huwa punibbli f’konformità mal-Artikolu R. 451-1 tal-Kodiċi tal-Konsumatur.</w:t>
      </w:r>
    </w:p>
    <w:p w14:paraId="1B44A16A" w14:textId="77777777" w:rsidR="004C70FD" w:rsidRDefault="004C70FD">
      <w:pPr>
        <w:spacing w:after="0" w:line="259" w:lineRule="auto"/>
        <w:ind w:left="55" w:firstLine="0"/>
        <w:jc w:val="center"/>
        <w:rPr>
          <w:sz w:val="22"/>
        </w:rPr>
      </w:pPr>
    </w:p>
    <w:p w14:paraId="32F12F88" w14:textId="4EA6A74D" w:rsidR="004C70FD" w:rsidRDefault="00E7537A">
      <w:pPr>
        <w:pStyle w:val="Heading1"/>
        <w:ind w:left="128" w:right="123"/>
        <w:rPr>
          <w:sz w:val="22"/>
        </w:rPr>
      </w:pPr>
      <w:r>
        <w:rPr>
          <w:sz w:val="22"/>
        </w:rPr>
        <w:t xml:space="preserve">Artikolu 9  </w:t>
      </w:r>
    </w:p>
    <w:p w14:paraId="69B94DF1" w14:textId="77777777" w:rsidR="004C70FD" w:rsidRDefault="00E7537A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04F01914" w14:textId="784DBA0B" w:rsidR="004C70FD" w:rsidRDefault="00E7537A">
      <w:pPr>
        <w:ind w:left="-5"/>
        <w:rPr>
          <w:color w:val="auto"/>
          <w:sz w:val="22"/>
        </w:rPr>
      </w:pPr>
      <w:r>
        <w:rPr>
          <w:sz w:val="22"/>
        </w:rPr>
        <w:t>Id-dispożizzjonijiet ta’ dan id-Digriet għandhom jidħlu fis-seħħ fl-1 ta’ April 2022.</w:t>
      </w:r>
    </w:p>
    <w:p w14:paraId="09FED7C8" w14:textId="77777777" w:rsidR="004C70FD" w:rsidRDefault="004C70FD">
      <w:pPr>
        <w:spacing w:after="0" w:line="259" w:lineRule="auto"/>
        <w:ind w:left="0" w:firstLine="0"/>
        <w:jc w:val="left"/>
        <w:rPr>
          <w:sz w:val="22"/>
        </w:rPr>
      </w:pPr>
    </w:p>
    <w:p w14:paraId="10A8BA06" w14:textId="54C1C179" w:rsidR="004C70FD" w:rsidRDefault="00E7537A">
      <w:pPr>
        <w:ind w:left="-5"/>
        <w:rPr>
          <w:sz w:val="22"/>
        </w:rPr>
      </w:pPr>
      <w:r>
        <w:rPr>
          <w:sz w:val="22"/>
        </w:rPr>
        <w:t xml:space="preserve">L-ikel immanifatturat jew ittikkettat qabel </w:t>
      </w:r>
      <w:r>
        <w:rPr>
          <w:color w:val="auto"/>
          <w:sz w:val="22"/>
        </w:rPr>
        <w:t>l-1 ta’ April 2022</w:t>
      </w:r>
      <w:r>
        <w:rPr>
          <w:sz w:val="22"/>
        </w:rPr>
        <w:t xml:space="preserve"> u li jikkonforma mar-regolamenti fis-seħħ sa dik id-data jista’ jiġi kkummerċjalizzat sakemm jispiċċaw il-ħażniet iżda fi kwalunkwe każ mhux aktar tard mit-30 ta’ Settembru 2023.</w:t>
      </w:r>
    </w:p>
    <w:p w14:paraId="33F52BA8" w14:textId="79FCD353" w:rsidR="004C70FD" w:rsidRDefault="00E7537A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7344194D" w14:textId="77777777" w:rsidR="00DD1DBA" w:rsidRDefault="00DD1DBA">
      <w:pPr>
        <w:spacing w:after="0" w:line="259" w:lineRule="auto"/>
        <w:ind w:left="0" w:firstLine="0"/>
        <w:jc w:val="left"/>
        <w:rPr>
          <w:sz w:val="22"/>
        </w:rPr>
      </w:pPr>
    </w:p>
    <w:p w14:paraId="5F989DB4" w14:textId="6AA33783" w:rsidR="004C70FD" w:rsidRDefault="00E7537A">
      <w:pPr>
        <w:pStyle w:val="Heading1"/>
        <w:ind w:left="128" w:right="123"/>
        <w:rPr>
          <w:sz w:val="22"/>
        </w:rPr>
      </w:pPr>
      <w:r>
        <w:rPr>
          <w:sz w:val="22"/>
        </w:rPr>
        <w:lastRenderedPageBreak/>
        <w:t xml:space="preserve">Artikolu 10 </w:t>
      </w:r>
    </w:p>
    <w:p w14:paraId="7CE6DBC7" w14:textId="77777777" w:rsidR="004C70FD" w:rsidRDefault="00E7537A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3F8A55E2" w14:textId="77777777" w:rsidR="004C70FD" w:rsidRDefault="00E7537A">
      <w:pPr>
        <w:spacing w:after="0" w:line="240" w:lineRule="auto"/>
        <w:ind w:left="-6" w:hanging="11"/>
        <w:rPr>
          <w:sz w:val="22"/>
        </w:rPr>
      </w:pPr>
      <w:r>
        <w:rPr>
          <w:sz w:val="22"/>
        </w:rPr>
        <w:t>Il-Ministru għall-Ekonomija, il-Finanzi u l-Irkupru, il-Ministru għall-Ġustizzja, il-Ministru għall-Agrikoltura u l-Ikel u l-Ministru Delegat għall-Ministru tal-Ekonomija, il-Finanzi u l-Irkupru, responsabbli għan-negozji żgħar u ta’ daqs medju, huma responsabbli għall-implimentazzjoni ta’ dan id-Digriet, li se jiġi ppubblikat f’</w:t>
      </w:r>
      <w:r>
        <w:rPr>
          <w:i/>
          <w:iCs/>
          <w:sz w:val="22"/>
        </w:rPr>
        <w:t>Il-</w:t>
      </w:r>
      <w:r>
        <w:rPr>
          <w:i/>
          <w:sz w:val="22"/>
        </w:rPr>
        <w:t>Ġurnal Uffiċjali</w:t>
      </w:r>
      <w:r>
        <w:rPr>
          <w:sz w:val="22"/>
        </w:rPr>
        <w:t xml:space="preserve"> tar-Repubblika Franċiża. </w:t>
      </w:r>
    </w:p>
    <w:p w14:paraId="390D8ADB" w14:textId="77777777" w:rsidR="004C70FD" w:rsidRDefault="004C70FD">
      <w:pPr>
        <w:spacing w:line="390" w:lineRule="auto"/>
        <w:ind w:left="-5"/>
        <w:rPr>
          <w:sz w:val="22"/>
        </w:rPr>
      </w:pPr>
    </w:p>
    <w:p w14:paraId="5794BF89" w14:textId="77777777" w:rsidR="004C70FD" w:rsidRDefault="004C70FD">
      <w:pPr>
        <w:spacing w:line="390" w:lineRule="auto"/>
        <w:ind w:left="-5"/>
        <w:rPr>
          <w:sz w:val="22"/>
        </w:rPr>
      </w:pPr>
    </w:p>
    <w:p w14:paraId="0084CBA8" w14:textId="77777777" w:rsidR="004C70FD" w:rsidRDefault="004C70FD">
      <w:pPr>
        <w:spacing w:line="390" w:lineRule="auto"/>
        <w:ind w:left="-5"/>
        <w:rPr>
          <w:sz w:val="22"/>
        </w:rPr>
      </w:pPr>
    </w:p>
    <w:p w14:paraId="01859A31" w14:textId="77777777" w:rsidR="004C70FD" w:rsidRDefault="00E7537A">
      <w:pPr>
        <w:spacing w:line="390" w:lineRule="auto"/>
        <w:ind w:left="-5" w:firstLine="713"/>
        <w:rPr>
          <w:sz w:val="22"/>
        </w:rPr>
      </w:pPr>
      <w:r>
        <w:rPr>
          <w:sz w:val="22"/>
        </w:rPr>
        <w:t xml:space="preserve">Magħmul fi [data]  </w:t>
      </w:r>
    </w:p>
    <w:p w14:paraId="7D78F914" w14:textId="77777777" w:rsidR="004C70FD" w:rsidRDefault="00E7537A">
      <w:pPr>
        <w:spacing w:after="107"/>
        <w:ind w:left="730"/>
        <w:rPr>
          <w:sz w:val="22"/>
        </w:rPr>
      </w:pPr>
      <w:r>
        <w:rPr>
          <w:sz w:val="22"/>
        </w:rPr>
        <w:t xml:space="preserve">Mill-Prim Ministru: </w:t>
      </w:r>
    </w:p>
    <w:p w14:paraId="24F87135" w14:textId="77777777" w:rsidR="004C70FD" w:rsidRDefault="00E7537A">
      <w:pPr>
        <w:spacing w:after="0" w:line="247" w:lineRule="auto"/>
        <w:ind w:left="731" w:hanging="11"/>
        <w:rPr>
          <w:sz w:val="22"/>
        </w:rPr>
      </w:pPr>
      <w:r>
        <w:rPr>
          <w:sz w:val="22"/>
        </w:rPr>
        <w:t xml:space="preserve">Il-Ministru għall-Ekonomija, il-Finanzi </w:t>
      </w:r>
    </w:p>
    <w:p w14:paraId="6A1BD000" w14:textId="77777777" w:rsidR="004C70FD" w:rsidRDefault="00E7537A">
      <w:pPr>
        <w:spacing w:after="0" w:line="247" w:lineRule="auto"/>
        <w:ind w:left="731" w:hanging="11"/>
        <w:rPr>
          <w:sz w:val="22"/>
        </w:rPr>
      </w:pPr>
      <w:r>
        <w:rPr>
          <w:sz w:val="22"/>
        </w:rPr>
        <w:t xml:space="preserve">u l-Irkupru, </w:t>
      </w:r>
    </w:p>
    <w:p w14:paraId="4807705C" w14:textId="77777777" w:rsidR="004C70FD" w:rsidRDefault="004C70FD">
      <w:pPr>
        <w:spacing w:after="0" w:line="247" w:lineRule="auto"/>
        <w:ind w:left="731" w:hanging="11"/>
        <w:rPr>
          <w:sz w:val="22"/>
        </w:rPr>
      </w:pPr>
    </w:p>
    <w:p w14:paraId="606E4386" w14:textId="77777777" w:rsidR="004C70FD" w:rsidRDefault="00E7537A">
      <w:pPr>
        <w:spacing w:after="0"/>
        <w:ind w:left="0" w:firstLine="708"/>
        <w:rPr>
          <w:sz w:val="22"/>
        </w:rPr>
      </w:pPr>
      <w:r>
        <w:rPr>
          <w:sz w:val="22"/>
        </w:rPr>
        <w:t xml:space="preserve">Bruno LE MAIRE </w:t>
      </w:r>
    </w:p>
    <w:p w14:paraId="01215E2D" w14:textId="77777777" w:rsidR="004C70FD" w:rsidRDefault="004C70FD">
      <w:pPr>
        <w:spacing w:after="0" w:line="240" w:lineRule="auto"/>
        <w:ind w:left="6382" w:right="-11" w:firstLine="139"/>
        <w:jc w:val="center"/>
        <w:rPr>
          <w:sz w:val="22"/>
        </w:rPr>
      </w:pPr>
    </w:p>
    <w:p w14:paraId="78268670" w14:textId="77777777" w:rsidR="004C70FD" w:rsidRDefault="004C70FD">
      <w:pPr>
        <w:spacing w:after="0" w:line="240" w:lineRule="auto"/>
        <w:ind w:left="12036" w:right="-11" w:firstLine="139"/>
        <w:jc w:val="center"/>
        <w:rPr>
          <w:sz w:val="22"/>
        </w:rPr>
      </w:pPr>
    </w:p>
    <w:p w14:paraId="79006953" w14:textId="77777777" w:rsidR="004C70FD" w:rsidRDefault="00E7537A">
      <w:pPr>
        <w:tabs>
          <w:tab w:val="left" w:pos="6663"/>
        </w:tabs>
        <w:spacing w:after="0" w:line="240" w:lineRule="auto"/>
        <w:ind w:left="5664" w:right="-11"/>
        <w:rPr>
          <w:sz w:val="22"/>
        </w:rPr>
      </w:pPr>
      <w:r>
        <w:rPr>
          <w:sz w:val="22"/>
        </w:rPr>
        <w:t>Il-Gwardjan tas-Siġilli, Ministru għall-Ġustizzja</w:t>
      </w:r>
    </w:p>
    <w:p w14:paraId="1FD59D73" w14:textId="77777777" w:rsidR="004C70FD" w:rsidRDefault="004C70FD">
      <w:pPr>
        <w:tabs>
          <w:tab w:val="left" w:pos="6663"/>
        </w:tabs>
        <w:spacing w:after="0" w:line="240" w:lineRule="auto"/>
        <w:ind w:left="5664" w:right="-11"/>
        <w:rPr>
          <w:sz w:val="22"/>
        </w:rPr>
      </w:pPr>
    </w:p>
    <w:p w14:paraId="610607D6" w14:textId="77777777" w:rsidR="004C70FD" w:rsidRDefault="004C70FD">
      <w:pPr>
        <w:tabs>
          <w:tab w:val="left" w:pos="6663"/>
        </w:tabs>
        <w:spacing w:after="0" w:line="240" w:lineRule="auto"/>
        <w:ind w:left="5664" w:right="-11"/>
        <w:rPr>
          <w:sz w:val="22"/>
        </w:rPr>
      </w:pPr>
    </w:p>
    <w:p w14:paraId="3F678C63" w14:textId="77777777" w:rsidR="004C70FD" w:rsidRDefault="00E7537A">
      <w:pPr>
        <w:tabs>
          <w:tab w:val="left" w:pos="6663"/>
        </w:tabs>
        <w:spacing w:after="0" w:line="240" w:lineRule="auto"/>
        <w:ind w:left="5664" w:right="-11"/>
        <w:rPr>
          <w:sz w:val="22"/>
        </w:rPr>
      </w:pPr>
      <w:r>
        <w:rPr>
          <w:sz w:val="22"/>
        </w:rPr>
        <w:t>Eric DUPOND-MORETTI</w:t>
      </w:r>
    </w:p>
    <w:p w14:paraId="02817E2C" w14:textId="77777777" w:rsidR="004C70FD" w:rsidRDefault="004C70FD">
      <w:pPr>
        <w:spacing w:after="0" w:line="240" w:lineRule="auto"/>
        <w:ind w:left="6382" w:right="-11" w:firstLine="139"/>
        <w:jc w:val="center"/>
        <w:rPr>
          <w:sz w:val="22"/>
        </w:rPr>
      </w:pPr>
    </w:p>
    <w:p w14:paraId="3CD2070C" w14:textId="77777777" w:rsidR="004C70FD" w:rsidRDefault="004C70FD">
      <w:pPr>
        <w:spacing w:after="0" w:line="240" w:lineRule="auto"/>
        <w:ind w:left="6382" w:right="-11" w:firstLine="139"/>
        <w:jc w:val="center"/>
        <w:rPr>
          <w:sz w:val="22"/>
        </w:rPr>
      </w:pPr>
    </w:p>
    <w:p w14:paraId="60651F84" w14:textId="77777777" w:rsidR="004C70FD" w:rsidRDefault="004C70FD">
      <w:pPr>
        <w:spacing w:after="0" w:line="240" w:lineRule="auto"/>
        <w:ind w:left="6382" w:right="-11" w:firstLine="139"/>
        <w:jc w:val="center"/>
        <w:rPr>
          <w:sz w:val="22"/>
        </w:rPr>
      </w:pPr>
    </w:p>
    <w:p w14:paraId="2276F8BA" w14:textId="77777777" w:rsidR="004C70FD" w:rsidRDefault="00E7537A">
      <w:pPr>
        <w:spacing w:after="0" w:line="240" w:lineRule="auto"/>
        <w:ind w:right="-11" w:firstLine="616"/>
        <w:rPr>
          <w:sz w:val="22"/>
        </w:rPr>
      </w:pPr>
      <w:r>
        <w:rPr>
          <w:sz w:val="22"/>
        </w:rPr>
        <w:t>Il-Ministru għall-Agrikoltura u l-Ikel</w:t>
      </w:r>
    </w:p>
    <w:p w14:paraId="4930AF04" w14:textId="77777777" w:rsidR="004C70FD" w:rsidRDefault="004C70FD">
      <w:pPr>
        <w:spacing w:after="0" w:line="240" w:lineRule="auto"/>
        <w:ind w:left="10" w:right="-11"/>
        <w:rPr>
          <w:sz w:val="22"/>
        </w:rPr>
      </w:pPr>
    </w:p>
    <w:p w14:paraId="6BB7162D" w14:textId="23E6FF59" w:rsidR="004C70FD" w:rsidRDefault="00E7537A" w:rsidP="00B50F12">
      <w:pPr>
        <w:tabs>
          <w:tab w:val="left" w:pos="709"/>
          <w:tab w:val="left" w:pos="6663"/>
        </w:tabs>
        <w:spacing w:after="0" w:line="240" w:lineRule="auto"/>
        <w:ind w:left="10" w:right="-11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Julien DENORMANDIE </w:t>
      </w:r>
    </w:p>
    <w:p w14:paraId="69DAA180" w14:textId="77777777" w:rsidR="004C70FD" w:rsidRDefault="004C70FD">
      <w:pPr>
        <w:tabs>
          <w:tab w:val="left" w:pos="6663"/>
        </w:tabs>
        <w:spacing w:after="0" w:line="240" w:lineRule="auto"/>
        <w:ind w:left="10" w:right="-11"/>
        <w:rPr>
          <w:sz w:val="22"/>
        </w:rPr>
      </w:pPr>
    </w:p>
    <w:p w14:paraId="03728DBC" w14:textId="77777777" w:rsidR="004C70FD" w:rsidRDefault="004C70FD">
      <w:pPr>
        <w:tabs>
          <w:tab w:val="left" w:pos="6663"/>
        </w:tabs>
        <w:spacing w:after="0" w:line="240" w:lineRule="auto"/>
        <w:ind w:left="10" w:right="-11"/>
        <w:rPr>
          <w:sz w:val="22"/>
        </w:rPr>
      </w:pPr>
    </w:p>
    <w:p w14:paraId="5CB41DCB" w14:textId="77777777" w:rsidR="004C70FD" w:rsidRDefault="00E7537A">
      <w:pPr>
        <w:spacing w:after="0" w:line="247" w:lineRule="auto"/>
        <w:ind w:left="5670" w:firstLine="0"/>
        <w:rPr>
          <w:sz w:val="22"/>
        </w:rPr>
      </w:pPr>
      <w:r>
        <w:rPr>
          <w:sz w:val="22"/>
        </w:rPr>
        <w:t xml:space="preserve">Ministru Delegat għall-Ekonomija, il-Finanzi </w:t>
      </w:r>
    </w:p>
    <w:p w14:paraId="04E7CCF1" w14:textId="77777777" w:rsidR="004C70FD" w:rsidRDefault="00E7537A">
      <w:pPr>
        <w:spacing w:after="0" w:line="247" w:lineRule="auto"/>
        <w:ind w:left="5670" w:firstLine="0"/>
        <w:rPr>
          <w:sz w:val="22"/>
        </w:rPr>
      </w:pPr>
      <w:r>
        <w:rPr>
          <w:sz w:val="22"/>
        </w:rPr>
        <w:t>u l-Irkupru, responsabbli għan-negozji żgħar u ta’ daqs medju,</w:t>
      </w:r>
    </w:p>
    <w:p w14:paraId="4BADE502" w14:textId="77777777" w:rsidR="004C70FD" w:rsidRDefault="004C70FD">
      <w:pPr>
        <w:spacing w:after="0" w:line="247" w:lineRule="auto"/>
        <w:ind w:left="5670" w:firstLine="0"/>
        <w:rPr>
          <w:sz w:val="22"/>
        </w:rPr>
      </w:pPr>
    </w:p>
    <w:p w14:paraId="6937650D" w14:textId="77777777" w:rsidR="004C70FD" w:rsidRDefault="004C70FD">
      <w:pPr>
        <w:spacing w:after="0" w:line="247" w:lineRule="auto"/>
        <w:ind w:left="5670" w:firstLine="0"/>
        <w:rPr>
          <w:sz w:val="22"/>
        </w:rPr>
      </w:pPr>
    </w:p>
    <w:p w14:paraId="0D2C9013" w14:textId="77777777" w:rsidR="004C70FD" w:rsidRDefault="00E7537A">
      <w:pPr>
        <w:spacing w:after="0"/>
        <w:ind w:left="5670" w:firstLine="0"/>
        <w:rPr>
          <w:sz w:val="22"/>
        </w:rPr>
      </w:pPr>
      <w:r>
        <w:rPr>
          <w:sz w:val="22"/>
        </w:rPr>
        <w:t xml:space="preserve">Alain GRISET </w:t>
      </w:r>
    </w:p>
    <w:sectPr w:rsidR="004C70FD">
      <w:pgSz w:w="11906" w:h="16838"/>
      <w:pgMar w:top="1135" w:right="1416" w:bottom="1468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9BA7" w14:textId="77777777" w:rsidR="00B5394E" w:rsidRDefault="00B5394E">
      <w:pPr>
        <w:spacing w:after="0" w:line="240" w:lineRule="auto"/>
      </w:pPr>
      <w:r>
        <w:separator/>
      </w:r>
    </w:p>
  </w:endnote>
  <w:endnote w:type="continuationSeparator" w:id="0">
    <w:p w14:paraId="3C2C07CA" w14:textId="77777777" w:rsidR="00B5394E" w:rsidRDefault="00B5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BC5E" w14:textId="77777777" w:rsidR="00B5394E" w:rsidRDefault="00B5394E">
      <w:pPr>
        <w:spacing w:after="0" w:line="240" w:lineRule="auto"/>
      </w:pPr>
      <w:r>
        <w:separator/>
      </w:r>
    </w:p>
  </w:footnote>
  <w:footnote w:type="continuationSeparator" w:id="0">
    <w:p w14:paraId="27066179" w14:textId="77777777" w:rsidR="00B5394E" w:rsidRDefault="00B5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42C9"/>
    <w:multiLevelType w:val="hybridMultilevel"/>
    <w:tmpl w:val="B720E0BE"/>
    <w:lvl w:ilvl="0" w:tplc="7C763AB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35201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39203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60F8A9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ED2D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BAEA6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77EE3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E2E0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B74B6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18B76D8"/>
    <w:multiLevelType w:val="hybridMultilevel"/>
    <w:tmpl w:val="107A8D80"/>
    <w:lvl w:ilvl="0" w:tplc="DD50DB8C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278CB0D0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89DAE4B8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E7C2A4E8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CC5096A6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A8A975C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1068E076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888260CC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D08C37E4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2988012A"/>
    <w:multiLevelType w:val="hybridMultilevel"/>
    <w:tmpl w:val="9E6878BE"/>
    <w:lvl w:ilvl="0" w:tplc="7FBE2702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CDAE3BB0">
      <w:start w:val="1"/>
      <w:numFmt w:val="lowerLetter"/>
      <w:lvlText w:val="%2."/>
      <w:lvlJc w:val="left"/>
      <w:pPr>
        <w:ind w:left="1800" w:hanging="360"/>
      </w:pPr>
    </w:lvl>
    <w:lvl w:ilvl="2" w:tplc="3E8A9AA6">
      <w:start w:val="1"/>
      <w:numFmt w:val="lowerRoman"/>
      <w:lvlText w:val="%3."/>
      <w:lvlJc w:val="right"/>
      <w:pPr>
        <w:ind w:left="2520" w:hanging="180"/>
      </w:pPr>
    </w:lvl>
    <w:lvl w:ilvl="3" w:tplc="3DF8B29C">
      <w:start w:val="1"/>
      <w:numFmt w:val="decimal"/>
      <w:lvlText w:val="%4."/>
      <w:lvlJc w:val="left"/>
      <w:pPr>
        <w:ind w:left="3240" w:hanging="360"/>
      </w:pPr>
    </w:lvl>
    <w:lvl w:ilvl="4" w:tplc="B4664D74">
      <w:start w:val="1"/>
      <w:numFmt w:val="lowerLetter"/>
      <w:lvlText w:val="%5."/>
      <w:lvlJc w:val="left"/>
      <w:pPr>
        <w:ind w:left="3960" w:hanging="360"/>
      </w:pPr>
    </w:lvl>
    <w:lvl w:ilvl="5" w:tplc="B6E63E9C">
      <w:start w:val="1"/>
      <w:numFmt w:val="lowerRoman"/>
      <w:lvlText w:val="%6."/>
      <w:lvlJc w:val="right"/>
      <w:pPr>
        <w:ind w:left="4680" w:hanging="180"/>
      </w:pPr>
    </w:lvl>
    <w:lvl w:ilvl="6" w:tplc="418E5D12">
      <w:start w:val="1"/>
      <w:numFmt w:val="decimal"/>
      <w:lvlText w:val="%7."/>
      <w:lvlJc w:val="left"/>
      <w:pPr>
        <w:ind w:left="5400" w:hanging="360"/>
      </w:pPr>
    </w:lvl>
    <w:lvl w:ilvl="7" w:tplc="E23CDCC6">
      <w:start w:val="1"/>
      <w:numFmt w:val="lowerLetter"/>
      <w:lvlText w:val="%8."/>
      <w:lvlJc w:val="left"/>
      <w:pPr>
        <w:ind w:left="6120" w:hanging="360"/>
      </w:pPr>
    </w:lvl>
    <w:lvl w:ilvl="8" w:tplc="178498E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E7E24"/>
    <w:multiLevelType w:val="hybridMultilevel"/>
    <w:tmpl w:val="131C9812"/>
    <w:lvl w:ilvl="0" w:tplc="85EE6B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EAA8B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6F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8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8EE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ED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7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EE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2C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4DE9"/>
    <w:multiLevelType w:val="hybridMultilevel"/>
    <w:tmpl w:val="56F2F39A"/>
    <w:lvl w:ilvl="0" w:tplc="08F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A5C9036">
      <w:start w:val="1"/>
      <w:numFmt w:val="lowerLetter"/>
      <w:lvlText w:val="%2."/>
      <w:lvlJc w:val="left"/>
      <w:pPr>
        <w:ind w:left="1440" w:hanging="360"/>
      </w:pPr>
    </w:lvl>
    <w:lvl w:ilvl="2" w:tplc="F154ADA8">
      <w:start w:val="1"/>
      <w:numFmt w:val="lowerRoman"/>
      <w:lvlText w:val="%3."/>
      <w:lvlJc w:val="right"/>
      <w:pPr>
        <w:ind w:left="2160" w:hanging="180"/>
      </w:pPr>
    </w:lvl>
    <w:lvl w:ilvl="3" w:tplc="AEDA6412">
      <w:start w:val="1"/>
      <w:numFmt w:val="decimal"/>
      <w:lvlText w:val="%4."/>
      <w:lvlJc w:val="left"/>
      <w:pPr>
        <w:ind w:left="2880" w:hanging="360"/>
      </w:pPr>
    </w:lvl>
    <w:lvl w:ilvl="4" w:tplc="A5C64764">
      <w:start w:val="1"/>
      <w:numFmt w:val="lowerLetter"/>
      <w:lvlText w:val="%5."/>
      <w:lvlJc w:val="left"/>
      <w:pPr>
        <w:ind w:left="3600" w:hanging="360"/>
      </w:pPr>
    </w:lvl>
    <w:lvl w:ilvl="5" w:tplc="4C282FF4">
      <w:start w:val="1"/>
      <w:numFmt w:val="lowerRoman"/>
      <w:lvlText w:val="%6."/>
      <w:lvlJc w:val="right"/>
      <w:pPr>
        <w:ind w:left="4320" w:hanging="180"/>
      </w:pPr>
    </w:lvl>
    <w:lvl w:ilvl="6" w:tplc="2F2E7676">
      <w:start w:val="1"/>
      <w:numFmt w:val="decimal"/>
      <w:lvlText w:val="%7."/>
      <w:lvlJc w:val="left"/>
      <w:pPr>
        <w:ind w:left="5040" w:hanging="360"/>
      </w:pPr>
    </w:lvl>
    <w:lvl w:ilvl="7" w:tplc="FC060256">
      <w:start w:val="1"/>
      <w:numFmt w:val="lowerLetter"/>
      <w:lvlText w:val="%8."/>
      <w:lvlJc w:val="left"/>
      <w:pPr>
        <w:ind w:left="5760" w:hanging="360"/>
      </w:pPr>
    </w:lvl>
    <w:lvl w:ilvl="8" w:tplc="04B036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1865"/>
    <w:multiLevelType w:val="hybridMultilevel"/>
    <w:tmpl w:val="0F78BE2A"/>
    <w:lvl w:ilvl="0" w:tplc="D292BB5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BE42E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9821F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649409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E23462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E56E2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C0A0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D5889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79251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50022162"/>
    <w:multiLevelType w:val="hybridMultilevel"/>
    <w:tmpl w:val="A6B26FEA"/>
    <w:lvl w:ilvl="0" w:tplc="CED440D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436DA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7F8BD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5D483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BBE9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7E67D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8EACC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7607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6BAD2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51601241"/>
    <w:multiLevelType w:val="hybridMultilevel"/>
    <w:tmpl w:val="10562AE8"/>
    <w:lvl w:ilvl="0" w:tplc="7488F8A6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56857A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2E0458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7526ED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5D881A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94C2AC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7247A2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65ECC5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7B2228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5217007A"/>
    <w:multiLevelType w:val="hybridMultilevel"/>
    <w:tmpl w:val="CBBC6558"/>
    <w:lvl w:ilvl="0" w:tplc="7AAC8330">
      <w:start w:val="1"/>
      <w:numFmt w:val="bullet"/>
      <w:lvlText w:val="-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6EF0898A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EFA89BEC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522A9756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6526B744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31169AC6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2182C3AC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5502BC9A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D1AEA298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9" w15:restartNumberingAfterBreak="0">
    <w:nsid w:val="70ED1433"/>
    <w:multiLevelType w:val="hybridMultilevel"/>
    <w:tmpl w:val="45B4601C"/>
    <w:lvl w:ilvl="0" w:tplc="9B5C894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86462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07698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034E9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28E23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E90EA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13AEF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63A67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CFEE5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764C19B4"/>
    <w:multiLevelType w:val="hybridMultilevel"/>
    <w:tmpl w:val="9684CF86"/>
    <w:lvl w:ilvl="0" w:tplc="07629F6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41AC668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33E8A1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02D6265C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F16B0C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C526E00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99AF876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F14966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278CCA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FD"/>
    <w:rsid w:val="00000001"/>
    <w:rsid w:val="000138FA"/>
    <w:rsid w:val="00021FF5"/>
    <w:rsid w:val="000A0616"/>
    <w:rsid w:val="000A2849"/>
    <w:rsid w:val="000B71AC"/>
    <w:rsid w:val="000E0895"/>
    <w:rsid w:val="0015526F"/>
    <w:rsid w:val="00163BBD"/>
    <w:rsid w:val="001A064D"/>
    <w:rsid w:val="00213F77"/>
    <w:rsid w:val="00215BCB"/>
    <w:rsid w:val="00221B51"/>
    <w:rsid w:val="0022345C"/>
    <w:rsid w:val="00303E2D"/>
    <w:rsid w:val="003A308B"/>
    <w:rsid w:val="003D2CD6"/>
    <w:rsid w:val="00405A44"/>
    <w:rsid w:val="00492870"/>
    <w:rsid w:val="004938FC"/>
    <w:rsid w:val="00496D53"/>
    <w:rsid w:val="004C1C2E"/>
    <w:rsid w:val="004C6888"/>
    <w:rsid w:val="004C70FD"/>
    <w:rsid w:val="005223A4"/>
    <w:rsid w:val="00532EB8"/>
    <w:rsid w:val="00575193"/>
    <w:rsid w:val="005772E1"/>
    <w:rsid w:val="00590BF4"/>
    <w:rsid w:val="00653A45"/>
    <w:rsid w:val="0069021A"/>
    <w:rsid w:val="00696D1F"/>
    <w:rsid w:val="006A10B7"/>
    <w:rsid w:val="006A556F"/>
    <w:rsid w:val="00720CF4"/>
    <w:rsid w:val="00760B24"/>
    <w:rsid w:val="0096155D"/>
    <w:rsid w:val="00986943"/>
    <w:rsid w:val="009F2D0E"/>
    <w:rsid w:val="00A30E6D"/>
    <w:rsid w:val="00AE483C"/>
    <w:rsid w:val="00AF7659"/>
    <w:rsid w:val="00B2446C"/>
    <w:rsid w:val="00B50F12"/>
    <w:rsid w:val="00B5394E"/>
    <w:rsid w:val="00B83E67"/>
    <w:rsid w:val="00BE54CA"/>
    <w:rsid w:val="00C11BFE"/>
    <w:rsid w:val="00D23C68"/>
    <w:rsid w:val="00D87D65"/>
    <w:rsid w:val="00DD1DBA"/>
    <w:rsid w:val="00E02B39"/>
    <w:rsid w:val="00E7499F"/>
    <w:rsid w:val="00E7537A"/>
    <w:rsid w:val="00E85215"/>
    <w:rsid w:val="00EB279F"/>
    <w:rsid w:val="00F5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C21F"/>
  <w15:docId w15:val="{8B7DFF5C-62B0-4313-85C0-829B236C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t-MT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1"/>
    <w:uiPriority w:val="9"/>
    <w:unhideWhenUsed/>
    <w:qFormat/>
    <w:pPr>
      <w:keepNext/>
      <w:keepLines/>
      <w:spacing w:after="1" w:line="258" w:lineRule="auto"/>
      <w:ind w:left="4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spacing w:after="0" w:line="259" w:lineRule="auto"/>
      <w:ind w:left="0" w:firstLine="0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character" w:customStyle="1" w:styleId="Heading1Char1">
    <w:name w:val="Heading 1 Char1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sz w:val="24"/>
    </w:rPr>
  </w:style>
  <w:style w:type="paragraph" w:styleId="BodyText3">
    <w:name w:val="Body Text 3"/>
    <w:basedOn w:val="Normal"/>
    <w:link w:val="BodyText3Char"/>
    <w:semiHidden/>
    <w:pPr>
      <w:spacing w:after="0" w:line="240" w:lineRule="auto"/>
      <w:ind w:left="0" w:firstLine="0"/>
      <w:jc w:val="left"/>
    </w:pPr>
    <w:rPr>
      <w:color w:val="auto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0" w:line="259" w:lineRule="auto"/>
      <w:ind w:left="0" w:firstLine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b/>
      <w:color w:val="000000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1">
    <w:name w:val="Heading 2 Char1"/>
    <w:basedOn w:val="DefaultParagraphFont"/>
    <w:link w:val="Heading2"/>
    <w:uiPriority w:val="9"/>
    <w:rPr>
      <w:rFonts w:ascii="Times New Roman" w:eastAsia="Times New Roman" w:hAnsi="Times New Roman" w:cs="Times New Roman"/>
      <w:b/>
      <w:color w:val="00000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CM1">
    <w:name w:val="CM1"/>
    <w:basedOn w:val="Normal"/>
    <w:next w:val="Normal"/>
    <w:uiPriority w:val="99"/>
    <w:pPr>
      <w:spacing w:after="0" w:line="240" w:lineRule="auto"/>
      <w:ind w:left="0" w:firstLine="0"/>
      <w:jc w:val="left"/>
    </w:pPr>
    <w:rPr>
      <w:rFonts w:eastAsia="Calibri"/>
      <w:color w:val="auto"/>
      <w:szCs w:val="24"/>
    </w:rPr>
  </w:style>
  <w:style w:type="paragraph" w:customStyle="1" w:styleId="CM3">
    <w:name w:val="CM3"/>
    <w:basedOn w:val="Normal"/>
    <w:next w:val="Normal"/>
    <w:uiPriority w:val="99"/>
    <w:pPr>
      <w:spacing w:after="0" w:line="240" w:lineRule="auto"/>
      <w:ind w:left="0" w:firstLine="0"/>
      <w:jc w:val="left"/>
    </w:pPr>
    <w:rPr>
      <w:rFonts w:eastAsia="Calibr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gifrance.gouv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franc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1D70-2D34-4388-9C13-D51647CD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DGCCRF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GERARD Marion (4C)</dc:creator>
  <cp:keywords/>
  <cp:lastModifiedBy>Liana Brili</cp:lastModifiedBy>
  <cp:revision>8</cp:revision>
  <cp:lastPrinted>2021-09-06T08:48:00Z</cp:lastPrinted>
  <dcterms:created xsi:type="dcterms:W3CDTF">2021-09-30T07:42:00Z</dcterms:created>
  <dcterms:modified xsi:type="dcterms:W3CDTF">2021-10-11T12:10:00Z</dcterms:modified>
</cp:coreProperties>
</file>