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B6D3F" w14:textId="230B48A7" w:rsidR="00037899" w:rsidRPr="00037899" w:rsidRDefault="00037899" w:rsidP="00037899">
      <w:pPr>
        <w:rPr>
          <w:rFonts w:ascii="Courier New" w:hAnsi="Courier New" w:cs="Courier New"/>
        </w:rPr>
      </w:pPr>
      <w:r>
        <w:rPr>
          <w:rFonts w:ascii="Courier New" w:hAnsi="Courier New"/>
        </w:rPr>
        <w:t>1. ------IND- 2020 0482 NL- ES- ------ 20200803 --- --- PROJET</w:t>
      </w:r>
    </w:p>
    <w:p w14:paraId="3B017F30" w14:textId="0C0A4590" w:rsidR="00073874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Decreto del Ministro de Atención Médica de … relativo a las normas sobre los alimentos basados en proteínas (de la leche de vaca o de cabra) a los que se les ha añadido al menos una o más vitaminas, minerales u otras sustancias, y que están destinados a su consumo como bebida para niños pequeños de uno a tres años de edad (Decreto relativo a la Ley de productos sobre bebidas y leches infantiles)</w:t>
      </w:r>
    </w:p>
    <w:p w14:paraId="437932D9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1BA08394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77E488F3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1566B75C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2094F940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0E2AC1E7" w14:textId="35D373B2" w:rsidR="00073874" w:rsidRPr="005931DF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propuesta del Ministro de Atención Médica, de ... de 2020, referencia -WJZ;</w:t>
      </w:r>
    </w:p>
    <w:p w14:paraId="195D707F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58E25089" w14:textId="007B3731" w:rsidR="00073874" w:rsidRPr="00834842" w:rsidRDefault="00834842" w:rsidP="0083484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Vistos el artículo 4, apartado 1; el artículo 5, apartado 1; el artículo 8, apartado 1, letras a), b), c) y f), y el artículo 32 </w:t>
      </w:r>
      <w:r>
        <w:rPr>
          <w:rFonts w:ascii="Verdana" w:hAnsi="Verdana"/>
          <w:i/>
          <w:iCs/>
          <w:sz w:val="18"/>
          <w:szCs w:val="18"/>
        </w:rPr>
        <w:t>ter</w:t>
      </w:r>
      <w:r>
        <w:rPr>
          <w:rFonts w:ascii="Verdana" w:hAnsi="Verdana"/>
          <w:sz w:val="18"/>
          <w:szCs w:val="18"/>
        </w:rPr>
        <w:t xml:space="preserve"> de la Ley de productos;</w:t>
      </w:r>
    </w:p>
    <w:p w14:paraId="7D388C48" w14:textId="77777777" w:rsidR="00073874" w:rsidRPr="005931DF" w:rsidRDefault="00073874" w:rsidP="00073874">
      <w:pPr>
        <w:rPr>
          <w:rFonts w:ascii="Verdana" w:hAnsi="Verdana"/>
          <w:sz w:val="18"/>
          <w:szCs w:val="18"/>
        </w:rPr>
      </w:pPr>
    </w:p>
    <w:p w14:paraId="7D6A914D" w14:textId="3827A31D" w:rsidR="00073874" w:rsidRPr="005931DF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Oída la Comisión Consultiva del Consejo de Estado (dictamen de [rellenar con la fecha de dictamen], n.º [rellenar con número de dictamen]);</w:t>
      </w:r>
    </w:p>
    <w:p w14:paraId="7C552D95" w14:textId="77777777" w:rsidR="00073874" w:rsidRPr="005931DF" w:rsidRDefault="00073874" w:rsidP="00073874">
      <w:pPr>
        <w:rPr>
          <w:rFonts w:ascii="Verdana" w:hAnsi="Verdana"/>
          <w:sz w:val="18"/>
          <w:szCs w:val="18"/>
        </w:rPr>
      </w:pPr>
    </w:p>
    <w:p w14:paraId="6AC29BA5" w14:textId="624D8AC7" w:rsidR="00073874" w:rsidRPr="005931DF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Visto el informe detallado del Ministro de Atención Médica de [rellenar con la fecha del informe detallado], [rellenar con la referencia del informe)],</w:t>
      </w:r>
    </w:p>
    <w:p w14:paraId="46DA0626" w14:textId="77777777" w:rsidR="00073874" w:rsidRPr="006B7C86" w:rsidRDefault="00073874" w:rsidP="00073874">
      <w:pPr>
        <w:rPr>
          <w:rFonts w:ascii="Verdana" w:hAnsi="Verdana"/>
          <w:sz w:val="18"/>
          <w:szCs w:val="18"/>
        </w:rPr>
      </w:pPr>
    </w:p>
    <w:p w14:paraId="352AA74A" w14:textId="77777777" w:rsidR="00073874" w:rsidRPr="006B7C86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 aprueba y decreta lo siguiente:</w:t>
      </w:r>
    </w:p>
    <w:p w14:paraId="4060804C" w14:textId="77777777" w:rsidR="00073874" w:rsidRPr="006B7C86" w:rsidRDefault="00073874" w:rsidP="00073874">
      <w:pPr>
        <w:rPr>
          <w:rFonts w:ascii="Verdana" w:hAnsi="Verdana"/>
          <w:sz w:val="18"/>
          <w:szCs w:val="18"/>
        </w:rPr>
      </w:pPr>
    </w:p>
    <w:p w14:paraId="5126C936" w14:textId="77777777" w:rsidR="00073874" w:rsidRPr="006B7C86" w:rsidRDefault="00073874" w:rsidP="00037899">
      <w:pPr>
        <w:keepNext/>
        <w:keepLines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Apartado 1 Disposiciones generales</w:t>
      </w:r>
    </w:p>
    <w:p w14:paraId="58020225" w14:textId="77777777" w:rsidR="00073874" w:rsidRPr="006B7C86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60192400" w14:textId="4D83A80C" w:rsidR="00073874" w:rsidRPr="006B7C86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Artículo 1</w:t>
      </w:r>
    </w:p>
    <w:p w14:paraId="3F86F6AE" w14:textId="77777777" w:rsidR="00073874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</w:p>
    <w:p w14:paraId="37B25385" w14:textId="4B8B5911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En este Decreto, se entenderá por: </w:t>
      </w:r>
    </w:p>
    <w:p w14:paraId="4F3AD4C8" w14:textId="77777777" w:rsidR="00073874" w:rsidRPr="000678FD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7056BAF2" w14:textId="0E814BB6" w:rsidR="0059594E" w:rsidRPr="001E7E1A" w:rsidRDefault="00073874" w:rsidP="00073874">
      <w:pPr>
        <w:rPr>
          <w:rFonts w:ascii="Verdana" w:eastAsiaTheme="minorHAnsi" w:hAnsi="Verdana" w:cs="Segoe UI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a) </w:t>
      </w:r>
      <w:r>
        <w:rPr>
          <w:rFonts w:ascii="Verdana" w:hAnsi="Verdana"/>
          <w:i/>
          <w:sz w:val="18"/>
          <w:szCs w:val="18"/>
        </w:rPr>
        <w:t xml:space="preserve">otra sustancia: </w:t>
      </w:r>
      <w:r>
        <w:rPr>
          <w:rFonts w:ascii="Verdana" w:hAnsi="Verdana"/>
          <w:color w:val="000000"/>
          <w:sz w:val="18"/>
          <w:szCs w:val="18"/>
        </w:rPr>
        <w:t>sustancia con arreglo al artículo 2, apartado 2, del Reglamento (CE) 1925/2006;</w:t>
      </w:r>
    </w:p>
    <w:p w14:paraId="1F01D0BA" w14:textId="10F2BBF5" w:rsidR="00073874" w:rsidRPr="009B071A" w:rsidRDefault="0059594E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b) </w:t>
      </w:r>
      <w:r>
        <w:rPr>
          <w:rFonts w:ascii="Verdana" w:hAnsi="Verdana"/>
          <w:i/>
          <w:sz w:val="18"/>
          <w:szCs w:val="18"/>
        </w:rPr>
        <w:t>preparado de continuación</w:t>
      </w:r>
      <w:r>
        <w:rPr>
          <w:rFonts w:ascii="Verdana" w:hAnsi="Verdana"/>
          <w:sz w:val="18"/>
          <w:szCs w:val="18"/>
        </w:rPr>
        <w:t>: sustancia con arreglo al artículo 2, apartado 2, letra d), del Reglamento (UE) 609/2013;</w:t>
      </w:r>
    </w:p>
    <w:p w14:paraId="23B141C5" w14:textId="44D0B59D" w:rsidR="00073874" w:rsidRDefault="0059594E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c)</w:t>
      </w:r>
      <w:r>
        <w:rPr>
          <w:rFonts w:ascii="Verdana" w:hAnsi="Verdana"/>
          <w:i/>
          <w:sz w:val="18"/>
          <w:szCs w:val="18"/>
        </w:rPr>
        <w:t xml:space="preserve"> bebida infantil: </w:t>
      </w:r>
      <w:r>
        <w:rPr>
          <w:rFonts w:ascii="Verdana" w:hAnsi="Verdana"/>
          <w:sz w:val="18"/>
          <w:szCs w:val="18"/>
        </w:rPr>
        <w:t>alimento basado en proteínas, al que se le ha añadido al menos una o más vitaminas, minerales u otras sustancias, y que está destinado a su consumo como bebida para niños pequeños de uno a tres años de edad;</w:t>
      </w:r>
    </w:p>
    <w:p w14:paraId="6234E001" w14:textId="2D403FED" w:rsidR="00073874" w:rsidRPr="007926FF" w:rsidRDefault="0059594E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d)</w:t>
      </w:r>
      <w:r>
        <w:rPr>
          <w:rFonts w:ascii="Verdana" w:hAnsi="Verdana"/>
          <w:i/>
          <w:sz w:val="18"/>
          <w:szCs w:val="18"/>
        </w:rPr>
        <w:t xml:space="preserve"> leche infantil: </w:t>
      </w:r>
      <w:r>
        <w:rPr>
          <w:rFonts w:ascii="Verdana" w:hAnsi="Verdana"/>
          <w:sz w:val="18"/>
          <w:szCs w:val="18"/>
        </w:rPr>
        <w:t>bebida infantil basada únicamente en proteínas de la leche de vaca o de cabra;</w:t>
      </w:r>
    </w:p>
    <w:p w14:paraId="50055EC1" w14:textId="1B766070" w:rsidR="00073874" w:rsidRPr="001E7E1A" w:rsidRDefault="0059594E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e)</w:t>
      </w:r>
      <w:r>
        <w:rPr>
          <w:rFonts w:ascii="Verdana" w:hAnsi="Verdana"/>
          <w:i/>
          <w:iCs/>
          <w:sz w:val="18"/>
          <w:szCs w:val="18"/>
        </w:rPr>
        <w:t xml:space="preserve"> Reglamento (CE) n.º 2016/127:</w:t>
      </w:r>
      <w:r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Reglamento Delegado (UE) 2016/127 de la Comisión, de 25 de septiembre de 2015, que complementa el Reglamento (UE) n.º 609/2013 del Parlamento Europeo y del Consejo en lo que respecta a los requisitos específicos de composición e información aplicables a los preparados para lactantes y preparados de continuación, así como a los requisitos de información sobre los alimentos destinados a los lactantes y niños de corta edad (DO L 25 de 2016);</w:t>
      </w:r>
    </w:p>
    <w:p w14:paraId="7910F3BE" w14:textId="495ABFB2" w:rsidR="00073874" w:rsidRPr="00F43194" w:rsidRDefault="0059594E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f)</w:t>
      </w:r>
      <w:r>
        <w:rPr>
          <w:rFonts w:ascii="Verdana" w:hAnsi="Verdana"/>
          <w:i/>
          <w:sz w:val="18"/>
          <w:szCs w:val="18"/>
        </w:rPr>
        <w:t xml:space="preserve"> </w:t>
      </w:r>
      <w:r>
        <w:rPr>
          <w:rStyle w:val="Emphasis"/>
          <w:rFonts w:ascii="Verdana" w:hAnsi="Verdana"/>
          <w:sz w:val="18"/>
          <w:szCs w:val="18"/>
        </w:rPr>
        <w:t>Reglamento (UE) n.º 609/2013:</w:t>
      </w:r>
      <w:r>
        <w:rPr>
          <w:rFonts w:ascii="Verdana" w:hAnsi="Verdana"/>
          <w:sz w:val="18"/>
          <w:szCs w:val="18"/>
        </w:rPr>
        <w:t xml:space="preserve"> Reglamento (UE) n.º 609/2013 del Parlamento Europeo y del Consejo, de 12 de junio de 2013 , relativo a los alimentos destinados a los lactantes y niños de corta edad, los alimentos para usos médicos especiales y los sustitutivos de la dieta completa para el control de peso y por el que se derogan la Directiva 92/52/CEE del Consejo, las Directivas 96/8/CE, 1999/21/CE, 2006/125/CE y 2006/141/CE de la Comisión, la Directiva 2009/39/CE del Parlamento Europeo y del Consejo y los Reglamentos (CE) n.º 41/2009 y (CE) n.º 953/2009 de la Comisión (DO L 181 de 2013);</w:t>
      </w:r>
    </w:p>
    <w:p w14:paraId="1A63B3DD" w14:textId="275E762A" w:rsidR="00073874" w:rsidRPr="00325747" w:rsidRDefault="0059594E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g) </w:t>
      </w:r>
      <w:r>
        <w:rPr>
          <w:rFonts w:ascii="Verdana" w:hAnsi="Verdana"/>
          <w:i/>
          <w:iCs/>
          <w:sz w:val="18"/>
          <w:szCs w:val="18"/>
        </w:rPr>
        <w:t>Reglamento (UE) n.º 1169/2011:</w:t>
      </w:r>
      <w:r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Reglamento (UE) n.º 1169/2011 del Parlamento Europeo y del Consejo, de 25 de octubre de 2011, sobre la información alimentaria facilitada al consumidor y por el que se modifican los Reglamentos (CE) n.º 1924/2006 y (CE) n.º 1925/2006 del Parlamento </w:t>
      </w:r>
      <w:r>
        <w:rPr>
          <w:rFonts w:ascii="Verdana" w:hAnsi="Verdana"/>
          <w:sz w:val="18"/>
          <w:szCs w:val="18"/>
        </w:rPr>
        <w:lastRenderedPageBreak/>
        <w:t>Europeo y del Consejo, y por el que se derogan la Directiva 87/250/CEE de la Comisión, la Directiva 90/496/CEE del Consejo, la Directiva 1999/10/CE de la Comisión, la Directiva 2000/13/CE del Parlamento Europeo y del Consejo, las Directivas 2002/67/CE, y 2008/5/CE de la Comisión, y el Reglamento (CE) n. º608/2004 de la Comisión (DO L 304 de 2011);</w:t>
      </w:r>
    </w:p>
    <w:p w14:paraId="127A09E5" w14:textId="6DE7FC0D" w:rsidR="00DA004C" w:rsidRPr="001E7E1A" w:rsidRDefault="0059594E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h) </w:t>
      </w:r>
      <w:r>
        <w:rPr>
          <w:rFonts w:ascii="Verdana" w:hAnsi="Verdana"/>
          <w:i/>
          <w:iCs/>
          <w:sz w:val="18"/>
          <w:szCs w:val="18"/>
        </w:rPr>
        <w:t>Reglamento (CE) 1925/2006:</w:t>
      </w:r>
      <w:r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Reglamento (CE) n.º 1925/2006 del Parlamento Europeo y del Consejo, de 20 de diciembre de 2006, sobre la adición de vitaminas, minerales y otras sustancias determinadas a los alimentos (DO L 404 de 2006);</w:t>
      </w:r>
    </w:p>
    <w:p w14:paraId="2CFACC32" w14:textId="72F7DD4B" w:rsidR="00073874" w:rsidRDefault="0059594E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i)</w:t>
      </w:r>
      <w:r>
        <w:rPr>
          <w:rFonts w:ascii="Verdana" w:hAnsi="Verdana"/>
          <w:i/>
          <w:sz w:val="18"/>
          <w:szCs w:val="18"/>
        </w:rPr>
        <w:t xml:space="preserve"> preparado para lactantes</w:t>
      </w:r>
      <w:r>
        <w:rPr>
          <w:rFonts w:ascii="Verdana" w:hAnsi="Verdana"/>
          <w:sz w:val="18"/>
          <w:szCs w:val="18"/>
        </w:rPr>
        <w:t xml:space="preserve">: alimento con arreglo al artículo 2, apartado 2, letra c), del Reglamento (UE) n.º 609/2013. </w:t>
      </w:r>
    </w:p>
    <w:p w14:paraId="29F16D6D" w14:textId="77777777" w:rsidR="00532AC5" w:rsidRDefault="00532AC5" w:rsidP="00073874">
      <w:pPr>
        <w:rPr>
          <w:rFonts w:ascii="Verdana" w:hAnsi="Verdana"/>
          <w:sz w:val="18"/>
          <w:szCs w:val="18"/>
        </w:rPr>
      </w:pPr>
    </w:p>
    <w:p w14:paraId="2C786F36" w14:textId="5D9F90D2" w:rsidR="00073874" w:rsidRDefault="00073874" w:rsidP="00037899">
      <w:pPr>
        <w:keepNext/>
        <w:keepLines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Artículo 2</w:t>
      </w:r>
    </w:p>
    <w:p w14:paraId="234F2450" w14:textId="5855778D" w:rsidR="00073874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Está prohibido preparar o comercializar bebidas o leches infantiles de forma que no sea conforme a las disposiciones establecidas en este Decreto. </w:t>
      </w:r>
    </w:p>
    <w:p w14:paraId="2E30E5A8" w14:textId="77777777" w:rsidR="00073874" w:rsidRPr="00884D19" w:rsidRDefault="00073874" w:rsidP="00073874">
      <w:pPr>
        <w:rPr>
          <w:rFonts w:ascii="Verdana" w:hAnsi="Verdana"/>
          <w:sz w:val="18"/>
          <w:szCs w:val="18"/>
        </w:rPr>
      </w:pPr>
    </w:p>
    <w:p w14:paraId="24E73AA5" w14:textId="15D41956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Apartado 2 Requisitos de composición y adición de vitaminas, minerales y otras sustancias </w:t>
      </w:r>
    </w:p>
    <w:p w14:paraId="55C192E6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7E2D5BEA" w14:textId="64C7BCB6" w:rsidR="00073874" w:rsidRPr="00884D19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Artículo 3</w:t>
      </w:r>
    </w:p>
    <w:p w14:paraId="2D2C2276" w14:textId="46E8E83E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Las bebidas y leches infantiles cumplirán, al menos, los requisitos de composición del anexo II, secciones 2, 2.1, 2.2, 2.3, 2.4, 4, 4.1, 4.2, 4.3, 6, 6.1, 6.2, 6.3, 6.4 y 6.5 del Reglamento (UE) n.º 2016/127. </w:t>
      </w:r>
    </w:p>
    <w:p w14:paraId="1132C57D" w14:textId="6936D1CF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No obstante lo dispuesto en el apartado 1, no serán de aplicación las disposiciones referidas a la sección A del anexo III, a las que se hace referencia en el anexo II, secciones 2.1 y 2.2, del Reglamento (UE) n.º 2016/127. </w:t>
      </w:r>
    </w:p>
    <w:p w14:paraId="771BEBE1" w14:textId="41B6601B" w:rsidR="00E85F3B" w:rsidRDefault="00876EE8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No obstante lo dispuesto en el apartado 1 y en el anexo II, sección 4, del Reglamento (UE) n.º 2016/127, no se aplicará ningún contenido mínimo a la adición de grasa a las bebidas y leches infantiles. </w:t>
      </w:r>
    </w:p>
    <w:p w14:paraId="71BE61C4" w14:textId="77777777" w:rsidR="00037899" w:rsidRDefault="00876EE8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4. Los valores energéticos de las bebidas y leches infantiles serán de 45 kilocalorías por 100 mililitros como mínimo y de 65 kilocalorías por 100 mililitros como máximo. </w:t>
      </w:r>
    </w:p>
    <w:p w14:paraId="63CEFDDC" w14:textId="63A95212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7B39DB90" w14:textId="262B4376" w:rsidR="00037899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Artículo 4</w:t>
      </w:r>
    </w:p>
    <w:p w14:paraId="3E35E20F" w14:textId="2FB98541" w:rsidR="00073874" w:rsidRPr="00532AC5" w:rsidRDefault="00073874" w:rsidP="00073874">
      <w:pPr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1. Estará permitido agregar las vitaminas, minerales u otras sustancias enumeradas en el anexo II, secciones 3, 4.4, 4.5, 4.6, 4.7, 5, 7, 8, 8.1, 8.2, 9 y 10 del Reglamento (UE) n.º 2016/127 a las bebidas y leches infantiles, siempre y cuando se haga de conformidad con los requisitos de composición establecidos en él.</w:t>
      </w:r>
    </w:p>
    <w:p w14:paraId="6830D50F" w14:textId="1B4CC663" w:rsidR="00073874" w:rsidRDefault="00454516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No obstante lo dispuesto en el apartado 1 y en el anexo II, sección 8.1, del Reglamento (UE) n.º 2016/127, no se aplicará ningún contenido mínimo a la adición de sodio a las bebidas y leches infantiles. </w:t>
      </w:r>
    </w:p>
    <w:p w14:paraId="346A7FAF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72268EE8" w14:textId="1A6169F9" w:rsidR="00037899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Artículo 5</w:t>
      </w:r>
    </w:p>
    <w:p w14:paraId="74B1313E" w14:textId="75A9120E" w:rsidR="00073874" w:rsidRPr="00211395" w:rsidRDefault="00DA004C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El artículo 2, apartado 2, por lo que se refiere al artículo 3, apartado 1, y al artículo 6, apartados 1 y 6, del Reglamento (CE) n.º 1925/2006, así como los artículos 5 y 6 del Decreto relativo a la Ley de productos sobre la adición de micronutrientes a los alimentos no son de aplicación para las bebidas y leches infantiles.</w:t>
      </w:r>
    </w:p>
    <w:p w14:paraId="4912BEAB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6F2974DE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Apartado 3 Designaciones, indicaciones y presentación</w:t>
      </w:r>
    </w:p>
    <w:p w14:paraId="2475652E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46B76B5B" w14:textId="20807AA9" w:rsidR="00073874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Artículo 6</w:t>
      </w:r>
    </w:p>
    <w:p w14:paraId="059E4D24" w14:textId="7778BEC0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La designación </w:t>
      </w:r>
      <w:r>
        <w:rPr>
          <w:rFonts w:ascii="Verdana" w:hAnsi="Verdana"/>
          <w:i/>
          <w:sz w:val="18"/>
          <w:szCs w:val="18"/>
        </w:rPr>
        <w:t>bebida infantil</w:t>
      </w:r>
      <w:r>
        <w:rPr>
          <w:rFonts w:ascii="Verdana" w:hAnsi="Verdana"/>
          <w:sz w:val="18"/>
          <w:szCs w:val="18"/>
        </w:rPr>
        <w:t xml:space="preserve"> solo se podrá utilizar para bebidas infantiles que no se basen exclusivamente en proteínas de la leche de vaca o de cabra. </w:t>
      </w:r>
    </w:p>
    <w:p w14:paraId="250211B5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La designación </w:t>
      </w:r>
      <w:r>
        <w:rPr>
          <w:rFonts w:ascii="Verdana" w:hAnsi="Verdana"/>
          <w:i/>
          <w:sz w:val="18"/>
          <w:szCs w:val="18"/>
        </w:rPr>
        <w:t xml:space="preserve">leche infantil </w:t>
      </w:r>
      <w:r>
        <w:rPr>
          <w:rFonts w:ascii="Verdana" w:hAnsi="Verdana"/>
          <w:sz w:val="18"/>
          <w:szCs w:val="18"/>
        </w:rPr>
        <w:t>solo podrá utilizarse para la leche infantil.</w:t>
      </w:r>
    </w:p>
    <w:p w14:paraId="5B6E05FF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26E8FF26" w14:textId="046956F1" w:rsidR="00073874" w:rsidRDefault="0059594E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Artículo 7</w:t>
      </w:r>
    </w:p>
    <w:p w14:paraId="539123C7" w14:textId="2921C0D0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En la comercialización de las bebidas y las leches infantiles se utilizarán las siguientes indicaciones: </w:t>
      </w:r>
    </w:p>
    <w:p w14:paraId="0216745F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a) la categoría de edad, comprendida entre uno y tres años, a la que se destina el producto;</w:t>
      </w:r>
    </w:p>
    <w:p w14:paraId="327B0348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b) una indicación de que el producto no sustituye una dieta variada; </w:t>
      </w:r>
    </w:p>
    <w:p w14:paraId="34399F6D" w14:textId="58BDC858" w:rsidR="00073874" w:rsidRPr="00E06905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c) una indicación de que el producto no sustituye un complemento de vitamina D; y </w:t>
      </w:r>
    </w:p>
    <w:p w14:paraId="21A5E0E8" w14:textId="77777777" w:rsidR="00073874" w:rsidRPr="00E06905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d) una indicación de que el producto no sustituye la leche materna.</w:t>
      </w:r>
    </w:p>
    <w:p w14:paraId="73B1E29E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0A4FCC66" w14:textId="55362CCC" w:rsidR="00073874" w:rsidRDefault="0059594E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Artículo 8</w:t>
      </w:r>
    </w:p>
    <w:p w14:paraId="3261286B" w14:textId="2DB08B59" w:rsidR="00073874" w:rsidRDefault="00073874" w:rsidP="00380913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El etiquetado y la presentación de las bebidas y las leches infantiles deberán ser tales que el texto, las imágenes y los colores utilizados no las presenten como el producto siguiente a los preparados para lactantes y los preparados de continuación.</w:t>
      </w:r>
    </w:p>
    <w:p w14:paraId="54584FA9" w14:textId="7987D654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5AF4E879" w14:textId="76FCD6BC" w:rsidR="00073874" w:rsidRDefault="0059594E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Artículo 9</w:t>
      </w:r>
    </w:p>
    <w:p w14:paraId="0087613F" w14:textId="5D330349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No obstante lo dispuesto en el artículo 31, apartado 3, el artículo 32, apartado 2, y el artículo 33, apartado 1, del Reglamento (UE) n.º 1169/2011, el valor energético y las cantidades de nutrientes de las bebidas y leches infantiles se expresarán por 100 mililitros del alimento ya preparado para el consumo siguiendo las instrucciones del fabricante. </w:t>
      </w:r>
    </w:p>
    <w:p w14:paraId="64AA67F4" w14:textId="68DE9A1D" w:rsidR="00073874" w:rsidRPr="00732DAA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2. Cuando proceda, la información también podrá expresarse por 100 gramos de alimento, tal y como este se comercializa.</w:t>
      </w:r>
    </w:p>
    <w:p w14:paraId="7862F313" w14:textId="77777777" w:rsidR="00073874" w:rsidRDefault="00073874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1820C1AA" w14:textId="5CC6E46E" w:rsidR="00037899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Artículo 10</w:t>
      </w:r>
    </w:p>
    <w:p w14:paraId="292C28A0" w14:textId="4C4542CE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No obstante lo dispuesto en el artículo 32, apartados 3 y 4, del Reglamento (UE) n.º 1169/2011, cuando se facilite, la información sobre nutrientes en las bebidas y leches infantiles, deberá expresarse en forma de porcentaje de las ingestas de referencia expuestas en el anexo VII del Reglamento (UE) n.º 2016/127 por 100 mililitros del alimento ya preparado para el consumo siguiendo las instrucciones del fabricante. </w:t>
      </w:r>
    </w:p>
    <w:p w14:paraId="45D2EEF8" w14:textId="77777777" w:rsidR="00896EB5" w:rsidRDefault="00896EB5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6CBE7FC7" w14:textId="77777777" w:rsidR="00073874" w:rsidRPr="00377F95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Apartado 4 Disposiciones finales</w:t>
      </w:r>
    </w:p>
    <w:p w14:paraId="6338F9B0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0EF71A57" w14:textId="5ABBF041" w:rsidR="00073874" w:rsidRDefault="00545ABF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Artículo 11</w:t>
      </w:r>
    </w:p>
    <w:p w14:paraId="38BA3454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El Decreto relativo a la Ley de productos sobre la adición de micronutrientes a los alimentos se modifica como sigue:</w:t>
      </w:r>
    </w:p>
    <w:p w14:paraId="5A76413F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05B1F9B6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</w:p>
    <w:p w14:paraId="17C57D35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0E6115AD" w14:textId="5EA7AABF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En el artículo 1, apartado 1, letra e), se sustituyen las palabras «cantidad diaria recomendada» por las palabras «ingestas de referencia».</w:t>
      </w:r>
    </w:p>
    <w:p w14:paraId="3D8942E6" w14:textId="77777777" w:rsidR="00073874" w:rsidRPr="00EC6A3C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55D83C1B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B</w:t>
      </w:r>
    </w:p>
    <w:p w14:paraId="6386CDBE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458FEE7B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En el artículo 6, apartado 1, se sustituyen las palabras «cantidad diaria recomendada» por las palabras «ingesta de referencia».</w:t>
      </w:r>
    </w:p>
    <w:p w14:paraId="3DBCB335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0B33DFE2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</w:p>
    <w:p w14:paraId="60209C98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5E245599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En el anexo 2, se sustituyen las palabras «cantidad diaria recomendada» por las palabras «ingestas de referencia».</w:t>
      </w:r>
    </w:p>
    <w:p w14:paraId="32F4BB61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71C5482F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</w:p>
    <w:p w14:paraId="386F2C02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1BF82929" w14:textId="77777777" w:rsidR="00073874" w:rsidRPr="0008192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En el anexo 3, se sustituyen las palabras «cantidad diaria recomendada» por las palabras «ingestas de referencia».</w:t>
      </w:r>
    </w:p>
    <w:p w14:paraId="1A4FDAF8" w14:textId="77777777" w:rsidR="00073874" w:rsidRDefault="00073874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28C5C247" w14:textId="718F8801" w:rsidR="00073874" w:rsidRDefault="00545ABF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Artículo 12</w:t>
      </w:r>
    </w:p>
    <w:p w14:paraId="45BAE68C" w14:textId="77777777" w:rsidR="00073874" w:rsidRPr="00CB0DBC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El anexo del Decreto relativo a la Ley de productos sobre las multas administrativas se modifica como sigue: </w:t>
      </w:r>
    </w:p>
    <w:p w14:paraId="2E2B7103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539B45FF" w14:textId="77777777" w:rsidR="00073874" w:rsidRPr="00927D2F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1) en el índice de contenido, después de la sección C-29, se añade una sección con la siguiente redacción: </w:t>
      </w:r>
    </w:p>
    <w:p w14:paraId="06D9338A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559AD7D3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«C-30 Decreto relativo a la Ley de productos sobre bebidas y leches infantiles»;</w:t>
      </w:r>
    </w:p>
    <w:p w14:paraId="30569750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04F7B3DB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2) tras la rúbrica de C-29, se inserta otra nueva con la siguiente redacción:</w:t>
      </w:r>
    </w:p>
    <w:p w14:paraId="2DBB793B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0C268768" w14:textId="6E5A5207" w:rsidR="00073874" w:rsidRPr="00927D2F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«C-30 Decreto relativo a la Ley de productos sobre bebidas y leches infantiles </w:t>
      </w:r>
    </w:p>
    <w:p w14:paraId="3D255262" w14:textId="77777777" w:rsidR="00073874" w:rsidRDefault="00073874" w:rsidP="00037899">
      <w:pPr>
        <w:keepNext/>
        <w:keepLines/>
        <w:spacing w:line="240" w:lineRule="exact"/>
        <w:rPr>
          <w:rFonts w:ascii="Verdana" w:hAnsi="Verdana"/>
          <w:sz w:val="18"/>
          <w:szCs w:val="18"/>
        </w:rPr>
      </w:pPr>
    </w:p>
    <w:tbl>
      <w:tblPr>
        <w:tblStyle w:val="TableGrid"/>
        <w:tblW w:w="8261" w:type="dxa"/>
        <w:tblInd w:w="-5" w:type="dxa"/>
        <w:tblLook w:val="04A0" w:firstRow="1" w:lastRow="0" w:firstColumn="1" w:lastColumn="0" w:noHBand="0" w:noVBand="1"/>
      </w:tblPr>
      <w:tblGrid>
        <w:gridCol w:w="1092"/>
        <w:gridCol w:w="3959"/>
        <w:gridCol w:w="1288"/>
        <w:gridCol w:w="1466"/>
        <w:gridCol w:w="456"/>
      </w:tblGrid>
      <w:tr w:rsidR="00073874" w14:paraId="52311ED4" w14:textId="77777777" w:rsidTr="006C4BDA">
        <w:tc>
          <w:tcPr>
            <w:tcW w:w="1170" w:type="dxa"/>
          </w:tcPr>
          <w:p w14:paraId="5BD65CE1" w14:textId="77777777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C-30</w:t>
            </w:r>
          </w:p>
        </w:tc>
        <w:tc>
          <w:tcPr>
            <w:tcW w:w="4585" w:type="dxa"/>
          </w:tcPr>
          <w:p w14:paraId="49B6176D" w14:textId="77777777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Decreto relativo a la Ley de productos sobre bebidas y leches infantiles</w:t>
            </w:r>
          </w:p>
        </w:tc>
        <w:tc>
          <w:tcPr>
            <w:tcW w:w="936" w:type="dxa"/>
          </w:tcPr>
          <w:p w14:paraId="69AD9BD1" w14:textId="77777777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6" w:type="dxa"/>
          </w:tcPr>
          <w:p w14:paraId="443F9E5B" w14:textId="77777777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4" w:type="dxa"/>
          </w:tcPr>
          <w:p w14:paraId="57AAE572" w14:textId="77777777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073874" w14:paraId="080EBBAA" w14:textId="77777777" w:rsidTr="006C4BDA">
        <w:tc>
          <w:tcPr>
            <w:tcW w:w="1170" w:type="dxa"/>
          </w:tcPr>
          <w:p w14:paraId="417891BE" w14:textId="77777777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C-30.1</w:t>
            </w:r>
          </w:p>
        </w:tc>
        <w:tc>
          <w:tcPr>
            <w:tcW w:w="4585" w:type="dxa"/>
          </w:tcPr>
          <w:p w14:paraId="497C00FC" w14:textId="77777777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Artículo 2 en relación con el artículo 3, apartado 1</w:t>
            </w:r>
            <w:r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936" w:type="dxa"/>
          </w:tcPr>
          <w:p w14:paraId="353EB105" w14:textId="77777777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525,00 EUR</w:t>
            </w:r>
          </w:p>
        </w:tc>
        <w:tc>
          <w:tcPr>
            <w:tcW w:w="1116" w:type="dxa"/>
          </w:tcPr>
          <w:p w14:paraId="4119CEC1" w14:textId="77777777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1 050,00 EUR</w:t>
            </w:r>
          </w:p>
        </w:tc>
        <w:tc>
          <w:tcPr>
            <w:tcW w:w="454" w:type="dxa"/>
          </w:tcPr>
          <w:p w14:paraId="161D95F6" w14:textId="77777777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="00073874" w14:paraId="66983A92" w14:textId="77777777" w:rsidTr="006C4BDA">
        <w:tc>
          <w:tcPr>
            <w:tcW w:w="1170" w:type="dxa"/>
          </w:tcPr>
          <w:p w14:paraId="38420C33" w14:textId="2628389C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C-30.2</w:t>
            </w:r>
          </w:p>
        </w:tc>
        <w:tc>
          <w:tcPr>
            <w:tcW w:w="4585" w:type="dxa"/>
          </w:tcPr>
          <w:p w14:paraId="58DAD725" w14:textId="5DF1C541" w:rsidR="00073874" w:rsidRDefault="00073874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Artículo 2 en relación con el artículo 3, apartado 4</w:t>
            </w:r>
          </w:p>
        </w:tc>
        <w:tc>
          <w:tcPr>
            <w:tcW w:w="936" w:type="dxa"/>
          </w:tcPr>
          <w:p w14:paraId="5E7C7F61" w14:textId="77777777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525,00 EUR</w:t>
            </w:r>
          </w:p>
        </w:tc>
        <w:tc>
          <w:tcPr>
            <w:tcW w:w="1116" w:type="dxa"/>
          </w:tcPr>
          <w:p w14:paraId="692F9D61" w14:textId="77777777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1 050,00 EUR</w:t>
            </w:r>
          </w:p>
        </w:tc>
        <w:tc>
          <w:tcPr>
            <w:tcW w:w="454" w:type="dxa"/>
          </w:tcPr>
          <w:p w14:paraId="62B576B7" w14:textId="77777777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="00073874" w14:paraId="5676C288" w14:textId="77777777" w:rsidTr="006C4BDA">
        <w:tc>
          <w:tcPr>
            <w:tcW w:w="1170" w:type="dxa"/>
          </w:tcPr>
          <w:p w14:paraId="790BE90C" w14:textId="77777777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C-30.3</w:t>
            </w:r>
          </w:p>
        </w:tc>
        <w:tc>
          <w:tcPr>
            <w:tcW w:w="4585" w:type="dxa"/>
          </w:tcPr>
          <w:p w14:paraId="58F874C8" w14:textId="0C3C4B39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Artículo 2 en relación con el artículo 4, apartado 1</w:t>
            </w:r>
          </w:p>
        </w:tc>
        <w:tc>
          <w:tcPr>
            <w:tcW w:w="936" w:type="dxa"/>
          </w:tcPr>
          <w:p w14:paraId="4EA50D93" w14:textId="573277CE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525,00 EUR</w:t>
            </w:r>
          </w:p>
        </w:tc>
        <w:tc>
          <w:tcPr>
            <w:tcW w:w="1116" w:type="dxa"/>
          </w:tcPr>
          <w:p w14:paraId="2D068FFA" w14:textId="6E7D47A5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1 050,00 EUR</w:t>
            </w:r>
          </w:p>
        </w:tc>
        <w:tc>
          <w:tcPr>
            <w:tcW w:w="454" w:type="dxa"/>
          </w:tcPr>
          <w:p w14:paraId="6FCE3FE9" w14:textId="77777777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="00DC7D23" w:rsidDel="00DC7D23" w14:paraId="24E42793" w14:textId="77777777" w:rsidTr="006C4BDA">
        <w:tc>
          <w:tcPr>
            <w:tcW w:w="1170" w:type="dxa"/>
          </w:tcPr>
          <w:p w14:paraId="12819E85" w14:textId="4D4D18DB" w:rsidR="00DC7D23" w:rsidDel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C-30.4</w:t>
            </w:r>
          </w:p>
        </w:tc>
        <w:tc>
          <w:tcPr>
            <w:tcW w:w="4585" w:type="dxa"/>
          </w:tcPr>
          <w:p w14:paraId="11AB05FF" w14:textId="3C553F38" w:rsidR="00DC7D23" w:rsidDel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Artículo 2 en relación con el artículo 6, apartado 1</w:t>
            </w:r>
          </w:p>
        </w:tc>
        <w:tc>
          <w:tcPr>
            <w:tcW w:w="936" w:type="dxa"/>
          </w:tcPr>
          <w:p w14:paraId="6911CB85" w14:textId="7B10AB2C" w:rsidR="00DC7D23" w:rsidDel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525,00 EUR</w:t>
            </w:r>
          </w:p>
        </w:tc>
        <w:tc>
          <w:tcPr>
            <w:tcW w:w="1116" w:type="dxa"/>
          </w:tcPr>
          <w:p w14:paraId="6AB99CE2" w14:textId="4983AB7F" w:rsidR="00DC7D23" w:rsidDel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1 050,00 EUR</w:t>
            </w:r>
          </w:p>
        </w:tc>
        <w:tc>
          <w:tcPr>
            <w:tcW w:w="454" w:type="dxa"/>
          </w:tcPr>
          <w:p w14:paraId="6DC475B2" w14:textId="5B57125C" w:rsidR="00DC7D23" w:rsidDel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="00DC7D23" w14:paraId="431BB114" w14:textId="77777777" w:rsidTr="006C4BDA">
        <w:tc>
          <w:tcPr>
            <w:tcW w:w="1170" w:type="dxa"/>
          </w:tcPr>
          <w:p w14:paraId="6CF0162A" w14:textId="70834A9F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C-30.5</w:t>
            </w:r>
          </w:p>
        </w:tc>
        <w:tc>
          <w:tcPr>
            <w:tcW w:w="4585" w:type="dxa"/>
          </w:tcPr>
          <w:p w14:paraId="518F41F7" w14:textId="161CAA92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Artículo 2 en relación con el artículo 6, apartado 2</w:t>
            </w:r>
          </w:p>
        </w:tc>
        <w:tc>
          <w:tcPr>
            <w:tcW w:w="936" w:type="dxa"/>
          </w:tcPr>
          <w:p w14:paraId="7FE2928B" w14:textId="123816BF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525,00 EUR</w:t>
            </w:r>
          </w:p>
        </w:tc>
        <w:tc>
          <w:tcPr>
            <w:tcW w:w="1116" w:type="dxa"/>
          </w:tcPr>
          <w:p w14:paraId="321CDB54" w14:textId="0CCD647F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1 050,00 EUR</w:t>
            </w:r>
          </w:p>
        </w:tc>
        <w:tc>
          <w:tcPr>
            <w:tcW w:w="454" w:type="dxa"/>
          </w:tcPr>
          <w:p w14:paraId="1816F0AC" w14:textId="3E951E13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="00DC7D23" w14:paraId="30AD45DE" w14:textId="77777777" w:rsidTr="006C4BDA">
        <w:tc>
          <w:tcPr>
            <w:tcW w:w="1170" w:type="dxa"/>
          </w:tcPr>
          <w:p w14:paraId="027607F9" w14:textId="5E53B43F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C-30.6</w:t>
            </w:r>
          </w:p>
        </w:tc>
        <w:tc>
          <w:tcPr>
            <w:tcW w:w="4585" w:type="dxa"/>
          </w:tcPr>
          <w:p w14:paraId="051C862C" w14:textId="635C06F7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Artículo 2 en relación con el artículo 7</w:t>
            </w:r>
          </w:p>
        </w:tc>
        <w:tc>
          <w:tcPr>
            <w:tcW w:w="936" w:type="dxa"/>
          </w:tcPr>
          <w:p w14:paraId="3253E7A1" w14:textId="77777777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525,00 EUR</w:t>
            </w:r>
          </w:p>
        </w:tc>
        <w:tc>
          <w:tcPr>
            <w:tcW w:w="1116" w:type="dxa"/>
          </w:tcPr>
          <w:p w14:paraId="57E9EB50" w14:textId="77777777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1 050,00 EUR</w:t>
            </w:r>
          </w:p>
        </w:tc>
        <w:tc>
          <w:tcPr>
            <w:tcW w:w="454" w:type="dxa"/>
          </w:tcPr>
          <w:p w14:paraId="43F532DE" w14:textId="77777777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="00DC7D23" w14:paraId="0F3DFAB6" w14:textId="77777777" w:rsidTr="006C4BDA">
        <w:tc>
          <w:tcPr>
            <w:tcW w:w="1170" w:type="dxa"/>
          </w:tcPr>
          <w:p w14:paraId="46653C9A" w14:textId="77777777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C-30.7</w:t>
            </w:r>
          </w:p>
        </w:tc>
        <w:tc>
          <w:tcPr>
            <w:tcW w:w="4585" w:type="dxa"/>
          </w:tcPr>
          <w:p w14:paraId="34D2AE65" w14:textId="56D915F7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Artículo 2 en relación con el artículo 8</w:t>
            </w:r>
          </w:p>
        </w:tc>
        <w:tc>
          <w:tcPr>
            <w:tcW w:w="936" w:type="dxa"/>
          </w:tcPr>
          <w:p w14:paraId="1179395A" w14:textId="77777777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525,00 EUR</w:t>
            </w:r>
          </w:p>
        </w:tc>
        <w:tc>
          <w:tcPr>
            <w:tcW w:w="1116" w:type="dxa"/>
          </w:tcPr>
          <w:p w14:paraId="7299F14F" w14:textId="77777777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1 050,00 EUR</w:t>
            </w:r>
          </w:p>
        </w:tc>
        <w:tc>
          <w:tcPr>
            <w:tcW w:w="454" w:type="dxa"/>
          </w:tcPr>
          <w:p w14:paraId="16CB45B5" w14:textId="77777777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="00DC7D23" w14:paraId="45467058" w14:textId="77777777" w:rsidTr="006C4BDA">
        <w:tc>
          <w:tcPr>
            <w:tcW w:w="1170" w:type="dxa"/>
          </w:tcPr>
          <w:p w14:paraId="57C7D64E" w14:textId="77777777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C-30.8</w:t>
            </w:r>
          </w:p>
        </w:tc>
        <w:tc>
          <w:tcPr>
            <w:tcW w:w="4585" w:type="dxa"/>
          </w:tcPr>
          <w:p w14:paraId="28756566" w14:textId="0D4490D4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Artículo 2 en relación con el artículo 9, apartado 1</w:t>
            </w:r>
          </w:p>
        </w:tc>
        <w:tc>
          <w:tcPr>
            <w:tcW w:w="936" w:type="dxa"/>
          </w:tcPr>
          <w:p w14:paraId="3ABFC595" w14:textId="77777777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525,00 EUR</w:t>
            </w:r>
          </w:p>
        </w:tc>
        <w:tc>
          <w:tcPr>
            <w:tcW w:w="1116" w:type="dxa"/>
          </w:tcPr>
          <w:p w14:paraId="6A0BC290" w14:textId="77777777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1 050,00 EUR</w:t>
            </w:r>
          </w:p>
        </w:tc>
        <w:tc>
          <w:tcPr>
            <w:tcW w:w="454" w:type="dxa"/>
          </w:tcPr>
          <w:p w14:paraId="6033FB8E" w14:textId="77777777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="00DC7D23" w14:paraId="5C78BBCC" w14:textId="77777777" w:rsidTr="00576482">
        <w:tc>
          <w:tcPr>
            <w:tcW w:w="1170" w:type="dxa"/>
          </w:tcPr>
          <w:p w14:paraId="04B9FEBC" w14:textId="01A07084" w:rsidR="00DC7D23" w:rsidRDefault="00DC7D23" w:rsidP="00576482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C-30.9</w:t>
            </w:r>
          </w:p>
        </w:tc>
        <w:tc>
          <w:tcPr>
            <w:tcW w:w="4585" w:type="dxa"/>
          </w:tcPr>
          <w:p w14:paraId="6E6E319C" w14:textId="4234E061" w:rsidR="00DC7D23" w:rsidRDefault="00DC7D23" w:rsidP="00576482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Artículo 2 en relación con el artículo 9, apartado 2</w:t>
            </w:r>
          </w:p>
        </w:tc>
        <w:tc>
          <w:tcPr>
            <w:tcW w:w="936" w:type="dxa"/>
          </w:tcPr>
          <w:p w14:paraId="14721A2C" w14:textId="77777777" w:rsidR="00DC7D23" w:rsidRDefault="00DC7D23" w:rsidP="00576482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525,00 EUR</w:t>
            </w:r>
          </w:p>
        </w:tc>
        <w:tc>
          <w:tcPr>
            <w:tcW w:w="1116" w:type="dxa"/>
          </w:tcPr>
          <w:p w14:paraId="7862BE0E" w14:textId="77777777" w:rsidR="00DC7D23" w:rsidRDefault="00DC7D23" w:rsidP="00576482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1 050,00 EUR</w:t>
            </w:r>
          </w:p>
        </w:tc>
        <w:tc>
          <w:tcPr>
            <w:tcW w:w="454" w:type="dxa"/>
          </w:tcPr>
          <w:p w14:paraId="7F222880" w14:textId="77777777" w:rsidR="00DC7D23" w:rsidRDefault="00DC7D23" w:rsidP="00576482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="00DC7D23" w14:paraId="06324BC5" w14:textId="77777777" w:rsidTr="006C4BDA">
        <w:tc>
          <w:tcPr>
            <w:tcW w:w="1170" w:type="dxa"/>
          </w:tcPr>
          <w:p w14:paraId="3A50C02D" w14:textId="5C842D70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C-30.10</w:t>
            </w:r>
          </w:p>
        </w:tc>
        <w:tc>
          <w:tcPr>
            <w:tcW w:w="4585" w:type="dxa"/>
          </w:tcPr>
          <w:p w14:paraId="46E960E1" w14:textId="01DF211B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Artículo 2 en relación con el artículo 10</w:t>
            </w:r>
          </w:p>
        </w:tc>
        <w:tc>
          <w:tcPr>
            <w:tcW w:w="936" w:type="dxa"/>
          </w:tcPr>
          <w:p w14:paraId="02366C1D" w14:textId="77777777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525,00 EUR</w:t>
            </w:r>
          </w:p>
        </w:tc>
        <w:tc>
          <w:tcPr>
            <w:tcW w:w="1116" w:type="dxa"/>
          </w:tcPr>
          <w:p w14:paraId="7CDE35E0" w14:textId="77777777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1 050,00 EUR</w:t>
            </w:r>
          </w:p>
        </w:tc>
        <w:tc>
          <w:tcPr>
            <w:tcW w:w="454" w:type="dxa"/>
          </w:tcPr>
          <w:p w14:paraId="73C5CC0F" w14:textId="77777777" w:rsidR="00DC7D23" w:rsidRDefault="00DC7D23" w:rsidP="00DC7D2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X»</w:t>
            </w:r>
          </w:p>
        </w:tc>
      </w:tr>
    </w:tbl>
    <w:p w14:paraId="2997E83F" w14:textId="77777777" w:rsidR="00073874" w:rsidRDefault="00073874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43B57AAD" w14:textId="378B2365" w:rsidR="00073874" w:rsidRDefault="00545ABF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Artículo 13</w:t>
      </w:r>
    </w:p>
    <w:p w14:paraId="243004C2" w14:textId="50E4418C" w:rsidR="00073874" w:rsidRPr="008277F6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Las bebidas y leches infantiles comercializadas o etiquetadas con anterioridad al 1 de julio de 2024 podrán comercializarse tras esa fecha hasta agotar las existencias. </w:t>
      </w:r>
    </w:p>
    <w:p w14:paraId="61334C02" w14:textId="77777777" w:rsidR="00073874" w:rsidRDefault="00073874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07F7D826" w14:textId="13D96285" w:rsidR="00073874" w:rsidRDefault="00545ABF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Artículo 14</w:t>
      </w:r>
    </w:p>
    <w:p w14:paraId="4A2BE11A" w14:textId="6E189D18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El presente Decreto entrará en vigor el 1 de julio de 2024.</w:t>
      </w:r>
    </w:p>
    <w:p w14:paraId="10677E3C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6D628AD4" w14:textId="15A54649" w:rsidR="00073874" w:rsidRDefault="00545ABF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Artículo 15</w:t>
      </w:r>
    </w:p>
    <w:p w14:paraId="7874C858" w14:textId="614E47BD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El presente Decreto se citará como: Decreto relativo a la Ley de productos sobre bebidas y leches infantiles.</w:t>
      </w:r>
    </w:p>
    <w:p w14:paraId="3336D660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59CAE4D5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57B9B5EA" w14:textId="77777777" w:rsidR="00073874" w:rsidRPr="00CB0DBC" w:rsidRDefault="00073874" w:rsidP="00073874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Se ordena que el presente Decreto y la exposición de motivos pertinente se publiquen en el Boletín Oficial de los Países Bajos.</w:t>
      </w:r>
    </w:p>
    <w:p w14:paraId="0A84B97D" w14:textId="77777777" w:rsidR="00073874" w:rsidRPr="008E3BDA" w:rsidRDefault="00073874" w:rsidP="00073874">
      <w:pPr>
        <w:rPr>
          <w:rFonts w:ascii="Verdana" w:hAnsi="Verdana"/>
          <w:sz w:val="18"/>
          <w:szCs w:val="18"/>
        </w:rPr>
      </w:pPr>
    </w:p>
    <w:p w14:paraId="20CC9DF8" w14:textId="77777777" w:rsidR="00073874" w:rsidRPr="008E3BDA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El Ministro de Atención Médica,</w:t>
      </w:r>
    </w:p>
    <w:p w14:paraId="64D4F75A" w14:textId="77777777" w:rsidR="00073874" w:rsidRPr="008E3BDA" w:rsidRDefault="00073874" w:rsidP="00073874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sectPr w:rsidR="00073874" w:rsidRPr="008E3BDA" w:rsidSect="001E6A24">
      <w:foot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D829F" w14:textId="77777777" w:rsidR="00956955" w:rsidRDefault="00956955" w:rsidP="00073874">
      <w:pPr>
        <w:spacing w:line="240" w:lineRule="auto"/>
      </w:pPr>
      <w:r>
        <w:separator/>
      </w:r>
    </w:p>
  </w:endnote>
  <w:endnote w:type="continuationSeparator" w:id="0">
    <w:p w14:paraId="0257CE8D" w14:textId="77777777" w:rsidR="00956955" w:rsidRDefault="00956955" w:rsidP="00073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9065913"/>
      <w:docPartObj>
        <w:docPartGallery w:val="Page Numbers (Bottom of Page)"/>
        <w:docPartUnique/>
      </w:docPartObj>
    </w:sdtPr>
    <w:sdtEndPr/>
    <w:sdtContent>
      <w:p w14:paraId="37526F64" w14:textId="607172AA" w:rsidR="00257DAB" w:rsidRDefault="00257DA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C10">
          <w:rPr>
            <w:noProof/>
          </w:rPr>
          <w:t>4</w:t>
        </w:r>
        <w:r>
          <w:fldChar w:fldCharType="end"/>
        </w:r>
      </w:p>
    </w:sdtContent>
  </w:sdt>
  <w:p w14:paraId="5BBA4C94" w14:textId="77777777" w:rsidR="00257DAB" w:rsidRDefault="00257D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9E7E3" w14:textId="77777777" w:rsidR="00956955" w:rsidRDefault="00956955" w:rsidP="00073874">
      <w:pPr>
        <w:spacing w:line="240" w:lineRule="auto"/>
      </w:pPr>
      <w:r>
        <w:separator/>
      </w:r>
    </w:p>
  </w:footnote>
  <w:footnote w:type="continuationSeparator" w:id="0">
    <w:p w14:paraId="046A2BCC" w14:textId="77777777" w:rsidR="00956955" w:rsidRDefault="00956955" w:rsidP="000738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D20CD"/>
    <w:multiLevelType w:val="hybridMultilevel"/>
    <w:tmpl w:val="E81C314C"/>
    <w:lvl w:ilvl="0" w:tplc="7ACA220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04FCF"/>
    <w:multiLevelType w:val="hybridMultilevel"/>
    <w:tmpl w:val="1A069D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74"/>
    <w:rsid w:val="00000E03"/>
    <w:rsid w:val="0002112D"/>
    <w:rsid w:val="0003013B"/>
    <w:rsid w:val="00031260"/>
    <w:rsid w:val="000375C7"/>
    <w:rsid w:val="00037899"/>
    <w:rsid w:val="0004633C"/>
    <w:rsid w:val="00047386"/>
    <w:rsid w:val="000546B4"/>
    <w:rsid w:val="0005538C"/>
    <w:rsid w:val="00073874"/>
    <w:rsid w:val="00095032"/>
    <w:rsid w:val="000A0F4A"/>
    <w:rsid w:val="000A198F"/>
    <w:rsid w:val="000A5D03"/>
    <w:rsid w:val="000B0ACB"/>
    <w:rsid w:val="000C009E"/>
    <w:rsid w:val="000D4E45"/>
    <w:rsid w:val="000D62C5"/>
    <w:rsid w:val="000E2585"/>
    <w:rsid w:val="000E2D0F"/>
    <w:rsid w:val="000E4D4F"/>
    <w:rsid w:val="00100BB1"/>
    <w:rsid w:val="001124E1"/>
    <w:rsid w:val="001244A8"/>
    <w:rsid w:val="00154838"/>
    <w:rsid w:val="0016276C"/>
    <w:rsid w:val="00166C03"/>
    <w:rsid w:val="0017049C"/>
    <w:rsid w:val="00191C94"/>
    <w:rsid w:val="001A73D8"/>
    <w:rsid w:val="001B3D5C"/>
    <w:rsid w:val="001D379C"/>
    <w:rsid w:val="001E6A24"/>
    <w:rsid w:val="001E7E1A"/>
    <w:rsid w:val="00211C35"/>
    <w:rsid w:val="002203DD"/>
    <w:rsid w:val="00225C33"/>
    <w:rsid w:val="00234B63"/>
    <w:rsid w:val="00234D7C"/>
    <w:rsid w:val="0023526F"/>
    <w:rsid w:val="00237DA4"/>
    <w:rsid w:val="0024253C"/>
    <w:rsid w:val="002456DA"/>
    <w:rsid w:val="0025344E"/>
    <w:rsid w:val="002579E1"/>
    <w:rsid w:val="00257DAB"/>
    <w:rsid w:val="002621D1"/>
    <w:rsid w:val="00266767"/>
    <w:rsid w:val="0027028F"/>
    <w:rsid w:val="00270B6F"/>
    <w:rsid w:val="0027267D"/>
    <w:rsid w:val="002768BA"/>
    <w:rsid w:val="0028451C"/>
    <w:rsid w:val="00286416"/>
    <w:rsid w:val="00290255"/>
    <w:rsid w:val="002A37C3"/>
    <w:rsid w:val="002A6B53"/>
    <w:rsid w:val="002C5A51"/>
    <w:rsid w:val="002C6EFA"/>
    <w:rsid w:val="002F6BAD"/>
    <w:rsid w:val="003021DC"/>
    <w:rsid w:val="0031402C"/>
    <w:rsid w:val="00325747"/>
    <w:rsid w:val="00334A91"/>
    <w:rsid w:val="00371B72"/>
    <w:rsid w:val="003801DD"/>
    <w:rsid w:val="00380913"/>
    <w:rsid w:val="00392F3B"/>
    <w:rsid w:val="003B61C5"/>
    <w:rsid w:val="003C4B64"/>
    <w:rsid w:val="003E3E7E"/>
    <w:rsid w:val="00400B32"/>
    <w:rsid w:val="00400B7F"/>
    <w:rsid w:val="004141E8"/>
    <w:rsid w:val="00414875"/>
    <w:rsid w:val="00422163"/>
    <w:rsid w:val="004238EE"/>
    <w:rsid w:val="004329C1"/>
    <w:rsid w:val="0043686E"/>
    <w:rsid w:val="00454516"/>
    <w:rsid w:val="00457D0F"/>
    <w:rsid w:val="00462A18"/>
    <w:rsid w:val="00475347"/>
    <w:rsid w:val="004809C5"/>
    <w:rsid w:val="00482383"/>
    <w:rsid w:val="004A18E2"/>
    <w:rsid w:val="004B4EE4"/>
    <w:rsid w:val="004B593D"/>
    <w:rsid w:val="004D0283"/>
    <w:rsid w:val="004D7AA0"/>
    <w:rsid w:val="004F4889"/>
    <w:rsid w:val="004F5B65"/>
    <w:rsid w:val="005027EB"/>
    <w:rsid w:val="00505260"/>
    <w:rsid w:val="005072C3"/>
    <w:rsid w:val="0051441C"/>
    <w:rsid w:val="00521A04"/>
    <w:rsid w:val="005303EC"/>
    <w:rsid w:val="00532AC5"/>
    <w:rsid w:val="00540C1F"/>
    <w:rsid w:val="00545ABF"/>
    <w:rsid w:val="00565299"/>
    <w:rsid w:val="00577318"/>
    <w:rsid w:val="00581300"/>
    <w:rsid w:val="00584CAA"/>
    <w:rsid w:val="005877D0"/>
    <w:rsid w:val="0059594E"/>
    <w:rsid w:val="0059787D"/>
    <w:rsid w:val="005B0663"/>
    <w:rsid w:val="005B0DC1"/>
    <w:rsid w:val="005C0E3B"/>
    <w:rsid w:val="005D0963"/>
    <w:rsid w:val="006102DF"/>
    <w:rsid w:val="00631ED3"/>
    <w:rsid w:val="006331C0"/>
    <w:rsid w:val="006335F5"/>
    <w:rsid w:val="00660C7E"/>
    <w:rsid w:val="00676B7C"/>
    <w:rsid w:val="006807DD"/>
    <w:rsid w:val="006840FC"/>
    <w:rsid w:val="006B7FCA"/>
    <w:rsid w:val="006C4BDA"/>
    <w:rsid w:val="006D389E"/>
    <w:rsid w:val="006E077E"/>
    <w:rsid w:val="006E48AA"/>
    <w:rsid w:val="006E7F1E"/>
    <w:rsid w:val="0072212E"/>
    <w:rsid w:val="00724F51"/>
    <w:rsid w:val="0073041E"/>
    <w:rsid w:val="00730E63"/>
    <w:rsid w:val="0073634C"/>
    <w:rsid w:val="00737339"/>
    <w:rsid w:val="00746D48"/>
    <w:rsid w:val="00747B9B"/>
    <w:rsid w:val="0075403D"/>
    <w:rsid w:val="007627C8"/>
    <w:rsid w:val="00764204"/>
    <w:rsid w:val="0076701E"/>
    <w:rsid w:val="007B00E7"/>
    <w:rsid w:val="007B3D83"/>
    <w:rsid w:val="007B7B80"/>
    <w:rsid w:val="007C3FD0"/>
    <w:rsid w:val="007E5A21"/>
    <w:rsid w:val="007E5BD3"/>
    <w:rsid w:val="007E7386"/>
    <w:rsid w:val="007E7C74"/>
    <w:rsid w:val="007F7F81"/>
    <w:rsid w:val="00834842"/>
    <w:rsid w:val="00841B95"/>
    <w:rsid w:val="00854ACF"/>
    <w:rsid w:val="00870DEE"/>
    <w:rsid w:val="00876EE8"/>
    <w:rsid w:val="008819DA"/>
    <w:rsid w:val="00883613"/>
    <w:rsid w:val="00896EB5"/>
    <w:rsid w:val="00897739"/>
    <w:rsid w:val="008D7371"/>
    <w:rsid w:val="008E0733"/>
    <w:rsid w:val="008F2647"/>
    <w:rsid w:val="009070C5"/>
    <w:rsid w:val="009150ED"/>
    <w:rsid w:val="009156A4"/>
    <w:rsid w:val="0092246A"/>
    <w:rsid w:val="0092347D"/>
    <w:rsid w:val="00944236"/>
    <w:rsid w:val="00956955"/>
    <w:rsid w:val="00957AB1"/>
    <w:rsid w:val="00964D0F"/>
    <w:rsid w:val="00965F6C"/>
    <w:rsid w:val="009713F8"/>
    <w:rsid w:val="00971F3D"/>
    <w:rsid w:val="009730E5"/>
    <w:rsid w:val="0098580F"/>
    <w:rsid w:val="009866E2"/>
    <w:rsid w:val="009C4F74"/>
    <w:rsid w:val="009D3657"/>
    <w:rsid w:val="009F334D"/>
    <w:rsid w:val="00A00174"/>
    <w:rsid w:val="00A008A6"/>
    <w:rsid w:val="00A14688"/>
    <w:rsid w:val="00A563C1"/>
    <w:rsid w:val="00A73D5F"/>
    <w:rsid w:val="00A83879"/>
    <w:rsid w:val="00A85E04"/>
    <w:rsid w:val="00AA6A46"/>
    <w:rsid w:val="00AC2E65"/>
    <w:rsid w:val="00AF401F"/>
    <w:rsid w:val="00AF4BA3"/>
    <w:rsid w:val="00B04265"/>
    <w:rsid w:val="00B06701"/>
    <w:rsid w:val="00B164DB"/>
    <w:rsid w:val="00B24196"/>
    <w:rsid w:val="00B322D3"/>
    <w:rsid w:val="00B34DD2"/>
    <w:rsid w:val="00B35C84"/>
    <w:rsid w:val="00B36EFB"/>
    <w:rsid w:val="00B41848"/>
    <w:rsid w:val="00B41F02"/>
    <w:rsid w:val="00B44F89"/>
    <w:rsid w:val="00B52804"/>
    <w:rsid w:val="00B55A8F"/>
    <w:rsid w:val="00B5685B"/>
    <w:rsid w:val="00B60796"/>
    <w:rsid w:val="00B64DAB"/>
    <w:rsid w:val="00B7435C"/>
    <w:rsid w:val="00B8309A"/>
    <w:rsid w:val="00B933E5"/>
    <w:rsid w:val="00B93A20"/>
    <w:rsid w:val="00B95EBE"/>
    <w:rsid w:val="00BA4FA0"/>
    <w:rsid w:val="00BB4633"/>
    <w:rsid w:val="00BB5EAC"/>
    <w:rsid w:val="00BB705A"/>
    <w:rsid w:val="00BC2B82"/>
    <w:rsid w:val="00BC5175"/>
    <w:rsid w:val="00BE3067"/>
    <w:rsid w:val="00BE3126"/>
    <w:rsid w:val="00BF20C8"/>
    <w:rsid w:val="00BF2F00"/>
    <w:rsid w:val="00C06C6D"/>
    <w:rsid w:val="00C12CF7"/>
    <w:rsid w:val="00C44179"/>
    <w:rsid w:val="00C515D0"/>
    <w:rsid w:val="00C52319"/>
    <w:rsid w:val="00C535E4"/>
    <w:rsid w:val="00C66D63"/>
    <w:rsid w:val="00C66F73"/>
    <w:rsid w:val="00C74AF5"/>
    <w:rsid w:val="00C822BC"/>
    <w:rsid w:val="00C900A8"/>
    <w:rsid w:val="00CA3C10"/>
    <w:rsid w:val="00CA426F"/>
    <w:rsid w:val="00CA5F2B"/>
    <w:rsid w:val="00CB26A0"/>
    <w:rsid w:val="00CB2CC1"/>
    <w:rsid w:val="00CB36D9"/>
    <w:rsid w:val="00CD036B"/>
    <w:rsid w:val="00CE5201"/>
    <w:rsid w:val="00D06C41"/>
    <w:rsid w:val="00D22269"/>
    <w:rsid w:val="00D25FDC"/>
    <w:rsid w:val="00D34187"/>
    <w:rsid w:val="00D347C8"/>
    <w:rsid w:val="00D42469"/>
    <w:rsid w:val="00D44514"/>
    <w:rsid w:val="00D51B0B"/>
    <w:rsid w:val="00D51EA2"/>
    <w:rsid w:val="00D51F71"/>
    <w:rsid w:val="00D66CE4"/>
    <w:rsid w:val="00D80BBA"/>
    <w:rsid w:val="00D9307A"/>
    <w:rsid w:val="00D94A3C"/>
    <w:rsid w:val="00D97071"/>
    <w:rsid w:val="00DA004C"/>
    <w:rsid w:val="00DA6796"/>
    <w:rsid w:val="00DC2C76"/>
    <w:rsid w:val="00DC407B"/>
    <w:rsid w:val="00DC7D23"/>
    <w:rsid w:val="00DD1F68"/>
    <w:rsid w:val="00DD2B92"/>
    <w:rsid w:val="00DE1209"/>
    <w:rsid w:val="00DE18C7"/>
    <w:rsid w:val="00DE5592"/>
    <w:rsid w:val="00DE779A"/>
    <w:rsid w:val="00E04C7B"/>
    <w:rsid w:val="00E05592"/>
    <w:rsid w:val="00E14DFC"/>
    <w:rsid w:val="00E1525F"/>
    <w:rsid w:val="00E36E79"/>
    <w:rsid w:val="00E378D0"/>
    <w:rsid w:val="00E54640"/>
    <w:rsid w:val="00E576A4"/>
    <w:rsid w:val="00E70C0C"/>
    <w:rsid w:val="00E71653"/>
    <w:rsid w:val="00E80149"/>
    <w:rsid w:val="00E80720"/>
    <w:rsid w:val="00E836B5"/>
    <w:rsid w:val="00E85F3B"/>
    <w:rsid w:val="00E93B99"/>
    <w:rsid w:val="00EA37B3"/>
    <w:rsid w:val="00EA4831"/>
    <w:rsid w:val="00ED52D0"/>
    <w:rsid w:val="00EE1775"/>
    <w:rsid w:val="00F02BEB"/>
    <w:rsid w:val="00F05EA7"/>
    <w:rsid w:val="00F14888"/>
    <w:rsid w:val="00F170DF"/>
    <w:rsid w:val="00F62098"/>
    <w:rsid w:val="00F7506D"/>
    <w:rsid w:val="00F7612A"/>
    <w:rsid w:val="00F84BCA"/>
    <w:rsid w:val="00F85F83"/>
    <w:rsid w:val="00FB1C65"/>
    <w:rsid w:val="00FD5826"/>
    <w:rsid w:val="00FD59CB"/>
    <w:rsid w:val="00FD5CF9"/>
    <w:rsid w:val="00FE7010"/>
    <w:rsid w:val="00FF2584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DA27F"/>
  <w15:chartTrackingRefBased/>
  <w15:docId w15:val="{E4A0EE8F-BA77-4E07-93FC-232D284D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18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874"/>
    <w:pPr>
      <w:spacing w:after="0" w:line="260" w:lineRule="exact"/>
    </w:pPr>
    <w:rPr>
      <w:rFonts w:ascii="Univers" w:eastAsia="Times New Roman" w:hAnsi="Univers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07387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874"/>
    <w:rPr>
      <w:rFonts w:ascii="Univers" w:eastAsia="Times New Roman" w:hAnsi="Univers" w:cs="Times New Roman"/>
      <w:sz w:val="20"/>
      <w:szCs w:val="20"/>
      <w:lang w:val="es-ES" w:eastAsia="nl-NL"/>
    </w:rPr>
  </w:style>
  <w:style w:type="paragraph" w:styleId="FootnoteText">
    <w:name w:val="footnote text"/>
    <w:basedOn w:val="Normal"/>
    <w:link w:val="FootnoteTextChar"/>
    <w:semiHidden/>
    <w:rsid w:val="00073874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073874"/>
    <w:rPr>
      <w:rFonts w:ascii="Univers" w:eastAsia="Times New Roman" w:hAnsi="Univers" w:cs="Times New Roman"/>
      <w:sz w:val="20"/>
      <w:szCs w:val="20"/>
      <w:lang w:val="es-ES" w:eastAsia="nl-NL"/>
    </w:rPr>
  </w:style>
  <w:style w:type="character" w:styleId="FootnoteReference">
    <w:name w:val="footnote reference"/>
    <w:basedOn w:val="DefaultParagraphFont"/>
    <w:uiPriority w:val="99"/>
    <w:semiHidden/>
    <w:rsid w:val="000738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0738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073874"/>
    <w:rPr>
      <w:sz w:val="16"/>
      <w:szCs w:val="16"/>
    </w:rPr>
  </w:style>
  <w:style w:type="table" w:styleId="TableGrid">
    <w:name w:val="Table Grid"/>
    <w:basedOn w:val="TableNormal"/>
    <w:uiPriority w:val="59"/>
    <w:rsid w:val="0007387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73874"/>
    <w:rPr>
      <w:b w:val="0"/>
      <w:bCs w:val="0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8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74"/>
    <w:rPr>
      <w:rFonts w:ascii="Segoe UI" w:eastAsia="Times New Roman" w:hAnsi="Segoe UI" w:cs="Segoe UI"/>
      <w:szCs w:val="18"/>
      <w:lang w:val="es-ES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874"/>
    <w:rPr>
      <w:rFonts w:ascii="Univers" w:eastAsia="Times New Roman" w:hAnsi="Univers" w:cs="Times New Roman"/>
      <w:b/>
      <w:bCs/>
      <w:sz w:val="20"/>
      <w:szCs w:val="20"/>
      <w:lang w:val="es-ES" w:eastAsia="nl-NL"/>
    </w:rPr>
  </w:style>
  <w:style w:type="character" w:styleId="Hyperlink">
    <w:name w:val="Hyperlink"/>
    <w:basedOn w:val="DefaultParagraphFont"/>
    <w:uiPriority w:val="99"/>
    <w:semiHidden/>
    <w:unhideWhenUsed/>
    <w:rsid w:val="006E48AA"/>
    <w:rPr>
      <w:strike w:val="0"/>
      <w:dstrike w:val="0"/>
      <w:color w:val="0065A2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6E48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57DA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DAB"/>
    <w:rPr>
      <w:rFonts w:ascii="Univers" w:eastAsia="Times New Roman" w:hAnsi="Univers" w:cs="Times New Roman"/>
      <w:sz w:val="20"/>
      <w:szCs w:val="20"/>
      <w:lang w:val="es-ES" w:eastAsia="nl-NL"/>
    </w:rPr>
  </w:style>
  <w:style w:type="paragraph" w:styleId="Footer">
    <w:name w:val="footer"/>
    <w:basedOn w:val="Normal"/>
    <w:link w:val="FooterChar"/>
    <w:uiPriority w:val="99"/>
    <w:unhideWhenUsed/>
    <w:rsid w:val="00257DA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DAB"/>
    <w:rPr>
      <w:rFonts w:ascii="Univers" w:eastAsia="Times New Roman" w:hAnsi="Univers" w:cs="Times New Roman"/>
      <w:sz w:val="20"/>
      <w:szCs w:val="20"/>
      <w:lang w:val="es-E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CBDE8-5DB1-4AB8-BF68-2CBF3417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10207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Kortstam, E.A.G. (Elouise)</dc:creator>
  <cp:keywords/>
  <dc:description/>
  <cp:lastModifiedBy>UGARTE, Esther</cp:lastModifiedBy>
  <cp:revision>4</cp:revision>
  <dcterms:created xsi:type="dcterms:W3CDTF">2020-07-27T13:13:00Z</dcterms:created>
  <dcterms:modified xsi:type="dcterms:W3CDTF">2020-08-03T12:48:00Z</dcterms:modified>
</cp:coreProperties>
</file>