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UDKAST TIL LOVFORSLAG</w:t>
      </w:r>
    </w:p>
    <w:p w14:paraId="58D6E3A3" w14:textId="18E2AD2E" w:rsidR="008803E5" w:rsidRPr="00835148" w:rsidRDefault="008803E5" w:rsidP="00883C74">
      <w:pPr>
        <w:pStyle w:val="TOCHeading"/>
        <w:spacing w:before="240"/>
        <w:jc w:val="center"/>
      </w:pPr>
      <w:r>
        <w:t>DEL 4A I LOVFORSLAGET OM VALGREFORM 2022</w:t>
      </w:r>
    </w:p>
    <w:p w14:paraId="2B7A6478" w14:textId="04763F9F" w:rsidR="003C524C" w:rsidRPr="00835148" w:rsidRDefault="003C524C" w:rsidP="00883C74">
      <w:pPr>
        <w:pStyle w:val="TOCHeading"/>
        <w:spacing w:before="240" w:after="120"/>
        <w:jc w:val="center"/>
      </w:pPr>
      <w:r>
        <w:t xml:space="preserve">REGULERING AF VALGPROCESOPLYSNINGER, VALGINFORMATION PÅ INTERNETTET OG MANIPULERENDE ELLER UAUTENTISK ADFÆRD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4A5780" w:rsidRDefault="003C524C" w:rsidP="009A3E29">
      <w:pPr>
        <w:jc w:val="center"/>
        <w:rPr>
          <w:rFonts w:ascii="Times New Roman" w:hAnsi="Times New Roman" w:cs="Times New Roman"/>
          <w:sz w:val="20"/>
          <w:szCs w:val="20"/>
          <w:lang w:val="en-IE"/>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Indhold</w:t>
          </w:r>
        </w:p>
        <w:p w14:paraId="697CCB8F" w14:textId="0C936406" w:rsidR="001E6EF5" w:rsidRPr="001E6EF5" w:rsidRDefault="003C524C">
          <w:pPr>
            <w:pStyle w:val="TOC1"/>
            <w:rPr>
              <w:rFonts w:asciiTheme="minorHAnsi" w:eastAsiaTheme="minorEastAsia" w:hAnsiTheme="minorHAnsi" w:cstheme="minorBidi"/>
              <w:b w:val="0"/>
              <w:sz w:val="20"/>
              <w:szCs w:val="20"/>
              <w:lang w:val="en-US"/>
            </w:rPr>
          </w:pPr>
          <w:r w:rsidRPr="001E6EF5">
            <w:rPr>
              <w:b w:val="0"/>
              <w:sz w:val="20"/>
              <w:szCs w:val="20"/>
            </w:rPr>
            <w:fldChar w:fldCharType="begin"/>
          </w:r>
          <w:r w:rsidRPr="001E6EF5">
            <w:rPr>
              <w:b w:val="0"/>
              <w:sz w:val="20"/>
              <w:szCs w:val="20"/>
            </w:rPr>
            <w:instrText xml:space="preserve"> TOC \o "1-3" \h \z \u </w:instrText>
          </w:r>
          <w:r w:rsidRPr="001E6EF5">
            <w:rPr>
              <w:b w:val="0"/>
              <w:sz w:val="20"/>
              <w:szCs w:val="20"/>
            </w:rPr>
            <w:fldChar w:fldCharType="separate"/>
          </w:r>
          <w:hyperlink w:anchor="_Toc106188866" w:history="1">
            <w:r w:rsidR="001E6EF5" w:rsidRPr="001E6EF5">
              <w:rPr>
                <w:rStyle w:val="Hyperlink"/>
                <w:b w:val="0"/>
                <w:sz w:val="20"/>
                <w:szCs w:val="20"/>
              </w:rPr>
              <w:t>Kapitel 1: Indledning</w:t>
            </w:r>
            <w:r w:rsidR="001E6EF5" w:rsidRPr="001E6EF5">
              <w:rPr>
                <w:b w:val="0"/>
                <w:webHidden/>
                <w:sz w:val="20"/>
                <w:szCs w:val="20"/>
              </w:rPr>
              <w:tab/>
            </w:r>
            <w:r w:rsidR="001E6EF5" w:rsidRPr="001E6EF5">
              <w:rPr>
                <w:b w:val="0"/>
                <w:webHidden/>
                <w:sz w:val="20"/>
                <w:szCs w:val="20"/>
              </w:rPr>
              <w:fldChar w:fldCharType="begin"/>
            </w:r>
            <w:r w:rsidR="001E6EF5" w:rsidRPr="001E6EF5">
              <w:rPr>
                <w:b w:val="0"/>
                <w:webHidden/>
                <w:sz w:val="20"/>
                <w:szCs w:val="20"/>
              </w:rPr>
              <w:instrText xml:space="preserve"> PAGEREF _Toc106188866 \h </w:instrText>
            </w:r>
            <w:r w:rsidR="001E6EF5" w:rsidRPr="001E6EF5">
              <w:rPr>
                <w:b w:val="0"/>
                <w:webHidden/>
                <w:sz w:val="20"/>
                <w:szCs w:val="20"/>
              </w:rPr>
            </w:r>
            <w:r w:rsidR="001E6EF5" w:rsidRPr="001E6EF5">
              <w:rPr>
                <w:b w:val="0"/>
                <w:webHidden/>
                <w:sz w:val="20"/>
                <w:szCs w:val="20"/>
              </w:rPr>
              <w:fldChar w:fldCharType="separate"/>
            </w:r>
            <w:r w:rsidR="001E6EF5">
              <w:rPr>
                <w:b w:val="0"/>
                <w:webHidden/>
                <w:sz w:val="20"/>
                <w:szCs w:val="20"/>
              </w:rPr>
              <w:t>3</w:t>
            </w:r>
            <w:r w:rsidR="001E6EF5" w:rsidRPr="001E6EF5">
              <w:rPr>
                <w:b w:val="0"/>
                <w:webHidden/>
                <w:sz w:val="20"/>
                <w:szCs w:val="20"/>
              </w:rPr>
              <w:fldChar w:fldCharType="end"/>
            </w:r>
          </w:hyperlink>
        </w:p>
        <w:p w14:paraId="739A2056" w14:textId="40ECB11C" w:rsidR="001E6EF5" w:rsidRPr="001E6EF5" w:rsidRDefault="001E6EF5">
          <w:pPr>
            <w:pStyle w:val="TOC1"/>
            <w:rPr>
              <w:rFonts w:asciiTheme="minorHAnsi" w:eastAsiaTheme="minorEastAsia" w:hAnsiTheme="minorHAnsi" w:cstheme="minorBidi"/>
              <w:b w:val="0"/>
              <w:sz w:val="20"/>
              <w:szCs w:val="20"/>
              <w:lang w:val="en-US"/>
            </w:rPr>
          </w:pPr>
          <w:hyperlink w:anchor="_Toc106188867" w:history="1">
            <w:r w:rsidRPr="001E6EF5">
              <w:rPr>
                <w:rStyle w:val="Hyperlink"/>
                <w:b w:val="0"/>
                <w:sz w:val="20"/>
                <w:szCs w:val="20"/>
              </w:rPr>
              <w:t>Afsnit 1: Supplerende definitioner for del 4A</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_Toc106188867 \h </w:instrText>
            </w:r>
            <w:r w:rsidRPr="001E6EF5">
              <w:rPr>
                <w:b w:val="0"/>
                <w:webHidden/>
                <w:sz w:val="20"/>
                <w:szCs w:val="20"/>
              </w:rPr>
            </w:r>
            <w:r w:rsidRPr="001E6EF5">
              <w:rPr>
                <w:b w:val="0"/>
                <w:webHidden/>
                <w:sz w:val="20"/>
                <w:szCs w:val="20"/>
              </w:rPr>
              <w:fldChar w:fldCharType="separate"/>
            </w:r>
            <w:r>
              <w:rPr>
                <w:b w:val="0"/>
                <w:webHidden/>
                <w:sz w:val="20"/>
                <w:szCs w:val="20"/>
              </w:rPr>
              <w:t>3</w:t>
            </w:r>
            <w:r w:rsidRPr="001E6EF5">
              <w:rPr>
                <w:b w:val="0"/>
                <w:webHidden/>
                <w:sz w:val="20"/>
                <w:szCs w:val="20"/>
              </w:rPr>
              <w:fldChar w:fldCharType="end"/>
            </w:r>
          </w:hyperlink>
        </w:p>
        <w:p w14:paraId="7AD778F4" w14:textId="3CB91A39" w:rsidR="001E6EF5" w:rsidRPr="001E6EF5" w:rsidRDefault="001E6EF5">
          <w:pPr>
            <w:pStyle w:val="TOC1"/>
            <w:rPr>
              <w:rFonts w:asciiTheme="minorHAnsi" w:eastAsiaTheme="minorEastAsia" w:hAnsiTheme="minorHAnsi" w:cstheme="minorBidi"/>
              <w:b w:val="0"/>
              <w:sz w:val="20"/>
              <w:szCs w:val="20"/>
              <w:lang w:val="en-US"/>
            </w:rPr>
          </w:pPr>
          <w:hyperlink w:anchor="_Toc106188868" w:history="1">
            <w:r w:rsidRPr="001E6EF5">
              <w:rPr>
                <w:rStyle w:val="Hyperlink"/>
                <w:b w:val="0"/>
                <w:sz w:val="20"/>
                <w:szCs w:val="20"/>
              </w:rPr>
              <w:t xml:space="preserve">Afsnit 2: Kommissionens funktioner med hensyn til online-valginformation og manipulerende eller </w:t>
            </w:r>
            <w:r>
              <w:rPr>
                <w:rStyle w:val="Hyperlink"/>
                <w:b w:val="0"/>
                <w:sz w:val="20"/>
                <w:szCs w:val="20"/>
              </w:rPr>
              <w:br/>
            </w:r>
            <w:r w:rsidRPr="001E6EF5">
              <w:rPr>
                <w:rStyle w:val="Hyperlink"/>
                <w:b w:val="0"/>
                <w:sz w:val="20"/>
                <w:szCs w:val="20"/>
              </w:rPr>
              <w:t>uautentisk adfærd</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_Toc106188868 \h </w:instrText>
            </w:r>
            <w:r w:rsidRPr="001E6EF5">
              <w:rPr>
                <w:b w:val="0"/>
                <w:webHidden/>
                <w:sz w:val="20"/>
                <w:szCs w:val="20"/>
              </w:rPr>
            </w:r>
            <w:r w:rsidRPr="001E6EF5">
              <w:rPr>
                <w:b w:val="0"/>
                <w:webHidden/>
                <w:sz w:val="20"/>
                <w:szCs w:val="20"/>
              </w:rPr>
              <w:fldChar w:fldCharType="separate"/>
            </w:r>
            <w:r>
              <w:rPr>
                <w:b w:val="0"/>
                <w:webHidden/>
                <w:sz w:val="20"/>
                <w:szCs w:val="20"/>
              </w:rPr>
              <w:t>6</w:t>
            </w:r>
            <w:r w:rsidRPr="001E6EF5">
              <w:rPr>
                <w:b w:val="0"/>
                <w:webHidden/>
                <w:sz w:val="20"/>
                <w:szCs w:val="20"/>
              </w:rPr>
              <w:fldChar w:fldCharType="end"/>
            </w:r>
          </w:hyperlink>
        </w:p>
        <w:p w14:paraId="37481044" w14:textId="59FEADC3" w:rsidR="001E6EF5" w:rsidRPr="001E6EF5" w:rsidRDefault="001E6EF5">
          <w:pPr>
            <w:pStyle w:val="TOC1"/>
            <w:rPr>
              <w:rFonts w:asciiTheme="minorHAnsi" w:eastAsiaTheme="minorEastAsia" w:hAnsiTheme="minorHAnsi" w:cstheme="minorBidi"/>
              <w:b w:val="0"/>
              <w:sz w:val="20"/>
              <w:szCs w:val="20"/>
              <w:lang w:val="en-US"/>
            </w:rPr>
          </w:pPr>
          <w:hyperlink w:anchor="_Toc106188869" w:history="1">
            <w:r w:rsidRPr="001E6EF5">
              <w:rPr>
                <w:rStyle w:val="Hyperlink"/>
                <w:b w:val="0"/>
                <w:sz w:val="20"/>
                <w:szCs w:val="20"/>
              </w:rPr>
              <w:t>Afsnit 3: Det rådgivende udvalgs oprettelse og rolle</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_Toc106188869 \h </w:instrText>
            </w:r>
            <w:r w:rsidRPr="001E6EF5">
              <w:rPr>
                <w:b w:val="0"/>
                <w:webHidden/>
                <w:sz w:val="20"/>
                <w:szCs w:val="20"/>
              </w:rPr>
            </w:r>
            <w:r w:rsidRPr="001E6EF5">
              <w:rPr>
                <w:b w:val="0"/>
                <w:webHidden/>
                <w:sz w:val="20"/>
                <w:szCs w:val="20"/>
              </w:rPr>
              <w:fldChar w:fldCharType="separate"/>
            </w:r>
            <w:r>
              <w:rPr>
                <w:b w:val="0"/>
                <w:webHidden/>
                <w:sz w:val="20"/>
                <w:szCs w:val="20"/>
              </w:rPr>
              <w:t>6</w:t>
            </w:r>
            <w:r w:rsidRPr="001E6EF5">
              <w:rPr>
                <w:b w:val="0"/>
                <w:webHidden/>
                <w:sz w:val="20"/>
                <w:szCs w:val="20"/>
              </w:rPr>
              <w:fldChar w:fldCharType="end"/>
            </w:r>
          </w:hyperlink>
        </w:p>
        <w:p w14:paraId="62A4E2A2" w14:textId="7DA9F743" w:rsidR="001E6EF5" w:rsidRPr="001E6EF5" w:rsidRDefault="001E6EF5">
          <w:pPr>
            <w:pStyle w:val="TOC1"/>
            <w:rPr>
              <w:rFonts w:asciiTheme="minorHAnsi" w:eastAsiaTheme="minorEastAsia" w:hAnsiTheme="minorHAnsi" w:cstheme="minorBidi"/>
              <w:b w:val="0"/>
              <w:sz w:val="20"/>
              <w:szCs w:val="20"/>
              <w:lang w:val="en-US"/>
            </w:rPr>
          </w:pPr>
          <w:hyperlink w:anchor="_Toc106188870" w:history="1">
            <w:r w:rsidRPr="001E6EF5">
              <w:rPr>
                <w:rStyle w:val="Hyperlink"/>
                <w:b w:val="0"/>
                <w:sz w:val="20"/>
                <w:szCs w:val="20"/>
              </w:rPr>
              <w:t>Afsnit 4: Interessentrådets oprettelse og rolle</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_Toc106188870 \h </w:instrText>
            </w:r>
            <w:r w:rsidRPr="001E6EF5">
              <w:rPr>
                <w:b w:val="0"/>
                <w:webHidden/>
                <w:sz w:val="20"/>
                <w:szCs w:val="20"/>
              </w:rPr>
            </w:r>
            <w:r w:rsidRPr="001E6EF5">
              <w:rPr>
                <w:b w:val="0"/>
                <w:webHidden/>
                <w:sz w:val="20"/>
                <w:szCs w:val="20"/>
              </w:rPr>
              <w:fldChar w:fldCharType="separate"/>
            </w:r>
            <w:r>
              <w:rPr>
                <w:b w:val="0"/>
                <w:webHidden/>
                <w:sz w:val="20"/>
                <w:szCs w:val="20"/>
              </w:rPr>
              <w:t>7</w:t>
            </w:r>
            <w:r w:rsidRPr="001E6EF5">
              <w:rPr>
                <w:b w:val="0"/>
                <w:webHidden/>
                <w:sz w:val="20"/>
                <w:szCs w:val="20"/>
              </w:rPr>
              <w:fldChar w:fldCharType="end"/>
            </w:r>
          </w:hyperlink>
        </w:p>
        <w:p w14:paraId="6A974A33" w14:textId="4C5FDC1A" w:rsidR="001E6EF5" w:rsidRPr="001E6EF5" w:rsidRDefault="001E6EF5">
          <w:pPr>
            <w:pStyle w:val="TOC1"/>
            <w:rPr>
              <w:rFonts w:asciiTheme="minorHAnsi" w:eastAsiaTheme="minorEastAsia" w:hAnsiTheme="minorHAnsi" w:cstheme="minorBidi"/>
              <w:b w:val="0"/>
              <w:sz w:val="20"/>
              <w:szCs w:val="20"/>
              <w:lang w:val="en-US"/>
            </w:rPr>
          </w:pPr>
          <w:hyperlink w:anchor="_Toc106188871" w:history="1">
            <w:r w:rsidRPr="001E6EF5">
              <w:rPr>
                <w:rStyle w:val="Hyperlink"/>
                <w:b w:val="0"/>
                <w:sz w:val="20"/>
                <w:szCs w:val="20"/>
              </w:rPr>
              <w:t>[Afsnit 5 er slettet]</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_Toc106188871 \h </w:instrText>
            </w:r>
            <w:r w:rsidRPr="001E6EF5">
              <w:rPr>
                <w:b w:val="0"/>
                <w:webHidden/>
                <w:sz w:val="20"/>
                <w:szCs w:val="20"/>
              </w:rPr>
            </w:r>
            <w:r w:rsidRPr="001E6EF5">
              <w:rPr>
                <w:b w:val="0"/>
                <w:webHidden/>
                <w:sz w:val="20"/>
                <w:szCs w:val="20"/>
              </w:rPr>
              <w:fldChar w:fldCharType="separate"/>
            </w:r>
            <w:r>
              <w:rPr>
                <w:b w:val="0"/>
                <w:webHidden/>
                <w:sz w:val="20"/>
                <w:szCs w:val="20"/>
              </w:rPr>
              <w:t>8</w:t>
            </w:r>
            <w:r w:rsidRPr="001E6EF5">
              <w:rPr>
                <w:b w:val="0"/>
                <w:webHidden/>
                <w:sz w:val="20"/>
                <w:szCs w:val="20"/>
              </w:rPr>
              <w:fldChar w:fldCharType="end"/>
            </w:r>
          </w:hyperlink>
        </w:p>
        <w:p w14:paraId="49066F34" w14:textId="4F19CB77" w:rsidR="001E6EF5" w:rsidRPr="001E6EF5" w:rsidRDefault="001E6EF5">
          <w:pPr>
            <w:pStyle w:val="TOC1"/>
            <w:rPr>
              <w:rFonts w:asciiTheme="minorHAnsi" w:eastAsiaTheme="minorEastAsia" w:hAnsiTheme="minorHAnsi" w:cstheme="minorBidi"/>
              <w:b w:val="0"/>
              <w:sz w:val="20"/>
              <w:szCs w:val="20"/>
              <w:lang w:val="en-US"/>
            </w:rPr>
          </w:pPr>
          <w:hyperlink w:anchor="_Toc106188872" w:history="1">
            <w:r w:rsidRPr="001E6EF5">
              <w:rPr>
                <w:rStyle w:val="Hyperlink"/>
                <w:b w:val="0"/>
                <w:sz w:val="20"/>
                <w:szCs w:val="20"/>
              </w:rPr>
              <w:t>Afsnit 6: Onlineplatformes forpligtelse til at give oplysninger til Kommissionen</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_Toc106188872 \h </w:instrText>
            </w:r>
            <w:r w:rsidRPr="001E6EF5">
              <w:rPr>
                <w:b w:val="0"/>
                <w:webHidden/>
                <w:sz w:val="20"/>
                <w:szCs w:val="20"/>
              </w:rPr>
            </w:r>
            <w:r w:rsidRPr="001E6EF5">
              <w:rPr>
                <w:b w:val="0"/>
                <w:webHidden/>
                <w:sz w:val="20"/>
                <w:szCs w:val="20"/>
              </w:rPr>
              <w:fldChar w:fldCharType="separate"/>
            </w:r>
            <w:r>
              <w:rPr>
                <w:b w:val="0"/>
                <w:webHidden/>
                <w:sz w:val="20"/>
                <w:szCs w:val="20"/>
              </w:rPr>
              <w:t>8</w:t>
            </w:r>
            <w:r w:rsidRPr="001E6EF5">
              <w:rPr>
                <w:b w:val="0"/>
                <w:webHidden/>
                <w:sz w:val="20"/>
                <w:szCs w:val="20"/>
              </w:rPr>
              <w:fldChar w:fldCharType="end"/>
            </w:r>
          </w:hyperlink>
        </w:p>
        <w:p w14:paraId="16E4EE37" w14:textId="1DF83E18" w:rsidR="001E6EF5" w:rsidRPr="001E6EF5" w:rsidRDefault="001E6EF5">
          <w:pPr>
            <w:pStyle w:val="TOC1"/>
            <w:rPr>
              <w:rFonts w:asciiTheme="minorHAnsi" w:eastAsiaTheme="minorEastAsia" w:hAnsiTheme="minorHAnsi" w:cstheme="minorBidi"/>
              <w:b w:val="0"/>
              <w:sz w:val="20"/>
              <w:szCs w:val="20"/>
              <w:lang w:val="en-US"/>
            </w:rPr>
          </w:pPr>
          <w:hyperlink w:anchor="_Toc106188873" w:history="1">
            <w:r w:rsidRPr="001E6EF5">
              <w:rPr>
                <w:rStyle w:val="Hyperlink"/>
                <w:b w:val="0"/>
                <w:sz w:val="20"/>
                <w:szCs w:val="20"/>
              </w:rPr>
              <w:t>Afsnit 7: Onlineplatforms forpligtelse til at indføre indberetningsmekanisme</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_Toc106188873 \h </w:instrText>
            </w:r>
            <w:r w:rsidRPr="001E6EF5">
              <w:rPr>
                <w:b w:val="0"/>
                <w:webHidden/>
                <w:sz w:val="20"/>
                <w:szCs w:val="20"/>
              </w:rPr>
            </w:r>
            <w:r w:rsidRPr="001E6EF5">
              <w:rPr>
                <w:b w:val="0"/>
                <w:webHidden/>
                <w:sz w:val="20"/>
                <w:szCs w:val="20"/>
              </w:rPr>
              <w:fldChar w:fldCharType="separate"/>
            </w:r>
            <w:r>
              <w:rPr>
                <w:b w:val="0"/>
                <w:webHidden/>
                <w:sz w:val="20"/>
                <w:szCs w:val="20"/>
              </w:rPr>
              <w:t>9</w:t>
            </w:r>
            <w:r w:rsidRPr="001E6EF5">
              <w:rPr>
                <w:b w:val="0"/>
                <w:webHidden/>
                <w:sz w:val="20"/>
                <w:szCs w:val="20"/>
              </w:rPr>
              <w:fldChar w:fldCharType="end"/>
            </w:r>
          </w:hyperlink>
        </w:p>
        <w:p w14:paraId="67938307" w14:textId="6C2D0BDE" w:rsidR="001E6EF5" w:rsidRPr="001E6EF5" w:rsidRDefault="001E6EF5">
          <w:pPr>
            <w:pStyle w:val="TOC1"/>
            <w:rPr>
              <w:rFonts w:asciiTheme="minorHAnsi" w:eastAsiaTheme="minorEastAsia" w:hAnsiTheme="minorHAnsi" w:cstheme="minorBidi"/>
              <w:b w:val="0"/>
              <w:sz w:val="20"/>
              <w:szCs w:val="20"/>
              <w:lang w:val="en-US"/>
            </w:rPr>
          </w:pPr>
          <w:hyperlink w:anchor="_Toc106188874" w:history="1">
            <w:r w:rsidRPr="001E6EF5">
              <w:rPr>
                <w:rStyle w:val="Hyperlink"/>
                <w:b w:val="0"/>
                <w:sz w:val="20"/>
                <w:szCs w:val="20"/>
              </w:rPr>
              <w:t>Kapitel 3: Kommissionens beføjelser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_Toc106188874 \h </w:instrText>
            </w:r>
            <w:r w:rsidRPr="001E6EF5">
              <w:rPr>
                <w:b w:val="0"/>
                <w:webHidden/>
                <w:sz w:val="20"/>
                <w:szCs w:val="20"/>
              </w:rPr>
            </w:r>
            <w:r w:rsidRPr="001E6EF5">
              <w:rPr>
                <w:b w:val="0"/>
                <w:webHidden/>
                <w:sz w:val="20"/>
                <w:szCs w:val="20"/>
              </w:rPr>
              <w:fldChar w:fldCharType="separate"/>
            </w:r>
            <w:r>
              <w:rPr>
                <w:b w:val="0"/>
                <w:webHidden/>
                <w:sz w:val="20"/>
                <w:szCs w:val="20"/>
              </w:rPr>
              <w:t>9</w:t>
            </w:r>
            <w:r w:rsidRPr="001E6EF5">
              <w:rPr>
                <w:b w:val="0"/>
                <w:webHidden/>
                <w:sz w:val="20"/>
                <w:szCs w:val="20"/>
              </w:rPr>
              <w:fldChar w:fldCharType="end"/>
            </w:r>
          </w:hyperlink>
        </w:p>
        <w:p w14:paraId="21169596" w14:textId="3B0A3C8D" w:rsidR="001E6EF5" w:rsidRPr="001E6EF5" w:rsidRDefault="001E6EF5">
          <w:pPr>
            <w:pStyle w:val="TOC1"/>
            <w:rPr>
              <w:rFonts w:asciiTheme="minorHAnsi" w:eastAsiaTheme="minorEastAsia" w:hAnsiTheme="minorHAnsi" w:cstheme="minorBidi"/>
              <w:b w:val="0"/>
              <w:sz w:val="20"/>
              <w:szCs w:val="20"/>
              <w:lang w:val="en-US"/>
            </w:rPr>
          </w:pPr>
          <w:hyperlink w:anchor="_Toc106188875" w:history="1">
            <w:r w:rsidRPr="001E6EF5">
              <w:rPr>
                <w:rStyle w:val="Hyperlink"/>
                <w:b w:val="0"/>
                <w:sz w:val="20"/>
                <w:szCs w:val="20"/>
              </w:rPr>
              <w:t>Afsnit 8: Kommissionens overvågning af online-valginformation og undersøgelser vedrørende samme</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_Toc106188875 \h </w:instrText>
            </w:r>
            <w:r w:rsidRPr="001E6EF5">
              <w:rPr>
                <w:b w:val="0"/>
                <w:webHidden/>
                <w:sz w:val="20"/>
                <w:szCs w:val="20"/>
              </w:rPr>
            </w:r>
            <w:r w:rsidRPr="001E6EF5">
              <w:rPr>
                <w:b w:val="0"/>
                <w:webHidden/>
                <w:sz w:val="20"/>
                <w:szCs w:val="20"/>
              </w:rPr>
              <w:fldChar w:fldCharType="separate"/>
            </w:r>
            <w:r>
              <w:rPr>
                <w:b w:val="0"/>
                <w:webHidden/>
                <w:sz w:val="20"/>
                <w:szCs w:val="20"/>
              </w:rPr>
              <w:t>10</w:t>
            </w:r>
            <w:r w:rsidRPr="001E6EF5">
              <w:rPr>
                <w:b w:val="0"/>
                <w:webHidden/>
                <w:sz w:val="20"/>
                <w:szCs w:val="20"/>
              </w:rPr>
              <w:fldChar w:fldCharType="end"/>
            </w:r>
          </w:hyperlink>
        </w:p>
        <w:p w14:paraId="7A75607F" w14:textId="2E6BE915" w:rsidR="001E6EF5" w:rsidRPr="001E6EF5" w:rsidRDefault="001E6EF5">
          <w:pPr>
            <w:pStyle w:val="TOC1"/>
            <w:rPr>
              <w:rFonts w:asciiTheme="minorHAnsi" w:eastAsiaTheme="minorEastAsia" w:hAnsiTheme="minorHAnsi" w:cstheme="minorBidi"/>
              <w:b w:val="0"/>
              <w:sz w:val="20"/>
              <w:szCs w:val="20"/>
              <w:lang w:val="en-US"/>
            </w:rPr>
          </w:pPr>
          <w:hyperlink w:anchor="_Toc106188876" w:history="1">
            <w:r w:rsidRPr="001E6EF5">
              <w:rPr>
                <w:rStyle w:val="Hyperlink"/>
                <w:b w:val="0"/>
                <w:sz w:val="20"/>
                <w:szCs w:val="20"/>
              </w:rPr>
              <w:t>Afsnit 8A: Delegation af Kommissionens beføjelser til den administrerende direktør (eller et andet medlem af Kommissionen)</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_Toc106188876 \h </w:instrText>
            </w:r>
            <w:r w:rsidRPr="001E6EF5">
              <w:rPr>
                <w:b w:val="0"/>
                <w:webHidden/>
                <w:sz w:val="20"/>
                <w:szCs w:val="20"/>
              </w:rPr>
            </w:r>
            <w:r w:rsidRPr="001E6EF5">
              <w:rPr>
                <w:b w:val="0"/>
                <w:webHidden/>
                <w:sz w:val="20"/>
                <w:szCs w:val="20"/>
              </w:rPr>
              <w:fldChar w:fldCharType="separate"/>
            </w:r>
            <w:r>
              <w:rPr>
                <w:b w:val="0"/>
                <w:webHidden/>
                <w:sz w:val="20"/>
                <w:szCs w:val="20"/>
              </w:rPr>
              <w:t>11</w:t>
            </w:r>
            <w:r w:rsidRPr="001E6EF5">
              <w:rPr>
                <w:b w:val="0"/>
                <w:webHidden/>
                <w:sz w:val="20"/>
                <w:szCs w:val="20"/>
              </w:rPr>
              <w:fldChar w:fldCharType="end"/>
            </w:r>
          </w:hyperlink>
        </w:p>
        <w:p w14:paraId="0403F382" w14:textId="4176A492" w:rsidR="001E6EF5" w:rsidRPr="001E6EF5" w:rsidRDefault="001E6EF5">
          <w:pPr>
            <w:pStyle w:val="TOC1"/>
            <w:rPr>
              <w:rFonts w:asciiTheme="minorHAnsi" w:eastAsiaTheme="minorEastAsia" w:hAnsiTheme="minorHAnsi" w:cstheme="minorBidi"/>
              <w:b w:val="0"/>
              <w:sz w:val="20"/>
              <w:szCs w:val="20"/>
              <w:lang w:val="en-US"/>
            </w:rPr>
          </w:pPr>
          <w:hyperlink w:anchor="_Toc106188877" w:history="1">
            <w:r w:rsidRPr="001E6EF5">
              <w:rPr>
                <w:rStyle w:val="Hyperlink"/>
                <w:b w:val="0"/>
                <w:sz w:val="20"/>
                <w:szCs w:val="20"/>
              </w:rPr>
              <w:t>Afsnit 9: Krav til udøvelsen af Kommissionens beføjelser i henhold til denne del</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_Toc106188877 \h </w:instrText>
            </w:r>
            <w:r w:rsidRPr="001E6EF5">
              <w:rPr>
                <w:b w:val="0"/>
                <w:webHidden/>
                <w:sz w:val="20"/>
                <w:szCs w:val="20"/>
              </w:rPr>
            </w:r>
            <w:r w:rsidRPr="001E6EF5">
              <w:rPr>
                <w:b w:val="0"/>
                <w:webHidden/>
                <w:sz w:val="20"/>
                <w:szCs w:val="20"/>
              </w:rPr>
              <w:fldChar w:fldCharType="separate"/>
            </w:r>
            <w:r>
              <w:rPr>
                <w:b w:val="0"/>
                <w:webHidden/>
                <w:sz w:val="20"/>
                <w:szCs w:val="20"/>
              </w:rPr>
              <w:t>12</w:t>
            </w:r>
            <w:r w:rsidRPr="001E6EF5">
              <w:rPr>
                <w:b w:val="0"/>
                <w:webHidden/>
                <w:sz w:val="20"/>
                <w:szCs w:val="20"/>
              </w:rPr>
              <w:fldChar w:fldCharType="end"/>
            </w:r>
          </w:hyperlink>
        </w:p>
        <w:p w14:paraId="26A17002" w14:textId="79748A75" w:rsidR="001E6EF5" w:rsidRPr="001E6EF5" w:rsidRDefault="001E6EF5">
          <w:pPr>
            <w:pStyle w:val="TOC1"/>
            <w:rPr>
              <w:rFonts w:asciiTheme="minorHAnsi" w:eastAsiaTheme="minorEastAsia" w:hAnsiTheme="minorHAnsi" w:cstheme="minorBidi"/>
              <w:b w:val="0"/>
              <w:sz w:val="20"/>
              <w:szCs w:val="20"/>
              <w:lang w:val="en-US"/>
            </w:rPr>
          </w:pPr>
          <w:hyperlink w:anchor="_Toc106188878" w:history="1">
            <w:r w:rsidRPr="001E6EF5">
              <w:rPr>
                <w:rStyle w:val="Hyperlink"/>
                <w:b w:val="0"/>
                <w:sz w:val="20"/>
                <w:szCs w:val="20"/>
              </w:rPr>
              <w:t>Afsnit 10: Kommissionens beføjelser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_Toc106188878 \h </w:instrText>
            </w:r>
            <w:r w:rsidRPr="001E6EF5">
              <w:rPr>
                <w:b w:val="0"/>
                <w:webHidden/>
                <w:sz w:val="20"/>
                <w:szCs w:val="20"/>
              </w:rPr>
            </w:r>
            <w:r w:rsidRPr="001E6EF5">
              <w:rPr>
                <w:b w:val="0"/>
                <w:webHidden/>
                <w:sz w:val="20"/>
                <w:szCs w:val="20"/>
              </w:rPr>
              <w:fldChar w:fldCharType="separate"/>
            </w:r>
            <w:r>
              <w:rPr>
                <w:b w:val="0"/>
                <w:webHidden/>
                <w:sz w:val="20"/>
                <w:szCs w:val="20"/>
              </w:rPr>
              <w:t>14</w:t>
            </w:r>
            <w:r w:rsidRPr="001E6EF5">
              <w:rPr>
                <w:b w:val="0"/>
                <w:webHidden/>
                <w:sz w:val="20"/>
                <w:szCs w:val="20"/>
              </w:rPr>
              <w:fldChar w:fldCharType="end"/>
            </w:r>
          </w:hyperlink>
        </w:p>
        <w:p w14:paraId="1A52D5E5" w14:textId="57704EEB" w:rsidR="001E6EF5" w:rsidRPr="001E6EF5" w:rsidRDefault="001E6EF5">
          <w:pPr>
            <w:pStyle w:val="TOC2"/>
            <w:tabs>
              <w:tab w:val="left" w:pos="720"/>
              <w:tab w:val="right" w:leader="dot" w:pos="9010"/>
            </w:tabs>
            <w:rPr>
              <w:rFonts w:eastAsiaTheme="minorEastAsia"/>
              <w:b w:val="0"/>
              <w:noProof/>
              <w:sz w:val="20"/>
              <w:szCs w:val="20"/>
              <w:lang w:val="en-US"/>
            </w:rPr>
          </w:pPr>
          <w:hyperlink w:anchor="_Toc106188879" w:history="1">
            <w:r w:rsidRPr="001E6EF5">
              <w:rPr>
                <w:rStyle w:val="Hyperlink"/>
                <w:b w:val="0"/>
                <w:noProof/>
                <w:sz w:val="20"/>
                <w:szCs w:val="20"/>
              </w:rPr>
              <w:t>(i)</w:t>
            </w:r>
            <w:r w:rsidRPr="001E6EF5">
              <w:rPr>
                <w:rFonts w:eastAsiaTheme="minorEastAsia"/>
                <w:b w:val="0"/>
                <w:noProof/>
                <w:sz w:val="20"/>
                <w:szCs w:val="20"/>
                <w:lang w:val="en-US"/>
              </w:rPr>
              <w:tab/>
            </w:r>
            <w:r w:rsidRPr="001E6EF5">
              <w:rPr>
                <w:rStyle w:val="Hyperlink"/>
                <w:b w:val="0"/>
                <w:noProof/>
                <w:sz w:val="20"/>
                <w:szCs w:val="20"/>
              </w:rPr>
              <w:t>Afsnit 10(i): Beføjelse til at udstede en meddelelse om fjernelse af indhold</w:t>
            </w:r>
            <w:r w:rsidRPr="001E6EF5">
              <w:rPr>
                <w:b w:val="0"/>
                <w:noProof/>
                <w:webHidden/>
                <w:sz w:val="20"/>
                <w:szCs w:val="20"/>
              </w:rPr>
              <w:tab/>
            </w:r>
            <w:r w:rsidRPr="001E6EF5">
              <w:rPr>
                <w:b w:val="0"/>
                <w:noProof/>
                <w:webHidden/>
                <w:sz w:val="20"/>
                <w:szCs w:val="20"/>
              </w:rPr>
              <w:fldChar w:fldCharType="begin"/>
            </w:r>
            <w:r w:rsidRPr="001E6EF5">
              <w:rPr>
                <w:b w:val="0"/>
                <w:noProof/>
                <w:webHidden/>
                <w:sz w:val="20"/>
                <w:szCs w:val="20"/>
              </w:rPr>
              <w:instrText xml:space="preserve"> PAGEREF _Toc106188879 \h </w:instrText>
            </w:r>
            <w:r w:rsidRPr="001E6EF5">
              <w:rPr>
                <w:b w:val="0"/>
                <w:noProof/>
                <w:webHidden/>
                <w:sz w:val="20"/>
                <w:szCs w:val="20"/>
              </w:rPr>
            </w:r>
            <w:r w:rsidRPr="001E6EF5">
              <w:rPr>
                <w:b w:val="0"/>
                <w:noProof/>
                <w:webHidden/>
                <w:sz w:val="20"/>
                <w:szCs w:val="20"/>
              </w:rPr>
              <w:fldChar w:fldCharType="separate"/>
            </w:r>
            <w:r>
              <w:rPr>
                <w:b w:val="0"/>
                <w:noProof/>
                <w:webHidden/>
                <w:sz w:val="20"/>
                <w:szCs w:val="20"/>
              </w:rPr>
              <w:t>14</w:t>
            </w:r>
            <w:r w:rsidRPr="001E6EF5">
              <w:rPr>
                <w:b w:val="0"/>
                <w:noProof/>
                <w:webHidden/>
                <w:sz w:val="20"/>
                <w:szCs w:val="20"/>
              </w:rPr>
              <w:fldChar w:fldCharType="end"/>
            </w:r>
          </w:hyperlink>
        </w:p>
        <w:p w14:paraId="76E46B82" w14:textId="6080F80A" w:rsidR="001E6EF5" w:rsidRPr="001E6EF5" w:rsidRDefault="001E6EF5">
          <w:pPr>
            <w:pStyle w:val="TOC2"/>
            <w:tabs>
              <w:tab w:val="left" w:pos="720"/>
              <w:tab w:val="right" w:leader="dot" w:pos="9010"/>
            </w:tabs>
            <w:rPr>
              <w:rFonts w:eastAsiaTheme="minorEastAsia"/>
              <w:b w:val="0"/>
              <w:noProof/>
              <w:sz w:val="20"/>
              <w:szCs w:val="20"/>
              <w:lang w:val="en-US"/>
            </w:rPr>
          </w:pPr>
          <w:hyperlink w:anchor="_Toc106188880" w:history="1">
            <w:r w:rsidRPr="001E6EF5">
              <w:rPr>
                <w:rStyle w:val="Hyperlink"/>
                <w:b w:val="0"/>
                <w:noProof/>
                <w:sz w:val="20"/>
                <w:szCs w:val="20"/>
              </w:rPr>
              <w:t>(ii)</w:t>
            </w:r>
            <w:r w:rsidRPr="001E6EF5">
              <w:rPr>
                <w:rFonts w:eastAsiaTheme="minorEastAsia"/>
                <w:b w:val="0"/>
                <w:noProof/>
                <w:sz w:val="20"/>
                <w:szCs w:val="20"/>
                <w:lang w:val="en-US"/>
              </w:rPr>
              <w:tab/>
            </w:r>
            <w:r w:rsidRPr="001E6EF5">
              <w:rPr>
                <w:rStyle w:val="Hyperlink"/>
                <w:b w:val="0"/>
                <w:noProof/>
                <w:sz w:val="20"/>
                <w:szCs w:val="20"/>
              </w:rPr>
              <w:t>Afsnit 10(ii): Beføjelse til at udstede en ændringsmeddelelse</w:t>
            </w:r>
            <w:r w:rsidRPr="001E6EF5">
              <w:rPr>
                <w:b w:val="0"/>
                <w:noProof/>
                <w:webHidden/>
                <w:sz w:val="20"/>
                <w:szCs w:val="20"/>
              </w:rPr>
              <w:tab/>
            </w:r>
            <w:r w:rsidRPr="001E6EF5">
              <w:rPr>
                <w:b w:val="0"/>
                <w:noProof/>
                <w:webHidden/>
                <w:sz w:val="20"/>
                <w:szCs w:val="20"/>
              </w:rPr>
              <w:fldChar w:fldCharType="begin"/>
            </w:r>
            <w:r w:rsidRPr="001E6EF5">
              <w:rPr>
                <w:b w:val="0"/>
                <w:noProof/>
                <w:webHidden/>
                <w:sz w:val="20"/>
                <w:szCs w:val="20"/>
              </w:rPr>
              <w:instrText xml:space="preserve"> PAGEREF _Toc106188880 \h </w:instrText>
            </w:r>
            <w:r w:rsidRPr="001E6EF5">
              <w:rPr>
                <w:b w:val="0"/>
                <w:noProof/>
                <w:webHidden/>
                <w:sz w:val="20"/>
                <w:szCs w:val="20"/>
              </w:rPr>
            </w:r>
            <w:r w:rsidRPr="001E6EF5">
              <w:rPr>
                <w:b w:val="0"/>
                <w:noProof/>
                <w:webHidden/>
                <w:sz w:val="20"/>
                <w:szCs w:val="20"/>
              </w:rPr>
              <w:fldChar w:fldCharType="separate"/>
            </w:r>
            <w:r>
              <w:rPr>
                <w:b w:val="0"/>
                <w:noProof/>
                <w:webHidden/>
                <w:sz w:val="20"/>
                <w:szCs w:val="20"/>
              </w:rPr>
              <w:t>15</w:t>
            </w:r>
            <w:r w:rsidRPr="001E6EF5">
              <w:rPr>
                <w:b w:val="0"/>
                <w:noProof/>
                <w:webHidden/>
                <w:sz w:val="20"/>
                <w:szCs w:val="20"/>
              </w:rPr>
              <w:fldChar w:fldCharType="end"/>
            </w:r>
          </w:hyperlink>
        </w:p>
        <w:p w14:paraId="33FD58B5" w14:textId="157E59C7" w:rsidR="001E6EF5" w:rsidRPr="001E6EF5" w:rsidRDefault="001E6EF5">
          <w:pPr>
            <w:pStyle w:val="TOC2"/>
            <w:tabs>
              <w:tab w:val="left" w:pos="960"/>
              <w:tab w:val="right" w:leader="dot" w:pos="9010"/>
            </w:tabs>
            <w:rPr>
              <w:rFonts w:eastAsiaTheme="minorEastAsia"/>
              <w:b w:val="0"/>
              <w:noProof/>
              <w:sz w:val="20"/>
              <w:szCs w:val="20"/>
              <w:lang w:val="en-US"/>
            </w:rPr>
          </w:pPr>
          <w:hyperlink w:anchor="_Toc106188881" w:history="1">
            <w:r w:rsidRPr="001E6EF5">
              <w:rPr>
                <w:rStyle w:val="Hyperlink"/>
                <w:b w:val="0"/>
                <w:noProof/>
                <w:sz w:val="20"/>
                <w:szCs w:val="20"/>
              </w:rPr>
              <w:t>(iii)</w:t>
            </w:r>
            <w:r w:rsidRPr="001E6EF5">
              <w:rPr>
                <w:rFonts w:eastAsiaTheme="minorEastAsia"/>
                <w:b w:val="0"/>
                <w:noProof/>
                <w:sz w:val="20"/>
                <w:szCs w:val="20"/>
                <w:lang w:val="en-US"/>
              </w:rPr>
              <w:tab/>
            </w:r>
            <w:r w:rsidRPr="001E6EF5">
              <w:rPr>
                <w:rStyle w:val="Hyperlink"/>
                <w:b w:val="0"/>
                <w:noProof/>
                <w:sz w:val="20"/>
                <w:szCs w:val="20"/>
              </w:rPr>
              <w:t>Afsnit 10(iii): Beføjelse til at udstede en mærkningspåbud</w:t>
            </w:r>
            <w:r w:rsidRPr="001E6EF5">
              <w:rPr>
                <w:b w:val="0"/>
                <w:noProof/>
                <w:webHidden/>
                <w:sz w:val="20"/>
                <w:szCs w:val="20"/>
              </w:rPr>
              <w:tab/>
            </w:r>
            <w:r w:rsidRPr="001E6EF5">
              <w:rPr>
                <w:b w:val="0"/>
                <w:noProof/>
                <w:webHidden/>
                <w:sz w:val="20"/>
                <w:szCs w:val="20"/>
              </w:rPr>
              <w:fldChar w:fldCharType="begin"/>
            </w:r>
            <w:r w:rsidRPr="001E6EF5">
              <w:rPr>
                <w:b w:val="0"/>
                <w:noProof/>
                <w:webHidden/>
                <w:sz w:val="20"/>
                <w:szCs w:val="20"/>
              </w:rPr>
              <w:instrText xml:space="preserve"> PAGEREF _Toc106188881 \h </w:instrText>
            </w:r>
            <w:r w:rsidRPr="001E6EF5">
              <w:rPr>
                <w:b w:val="0"/>
                <w:noProof/>
                <w:webHidden/>
                <w:sz w:val="20"/>
                <w:szCs w:val="20"/>
              </w:rPr>
            </w:r>
            <w:r w:rsidRPr="001E6EF5">
              <w:rPr>
                <w:b w:val="0"/>
                <w:noProof/>
                <w:webHidden/>
                <w:sz w:val="20"/>
                <w:szCs w:val="20"/>
              </w:rPr>
              <w:fldChar w:fldCharType="separate"/>
            </w:r>
            <w:r>
              <w:rPr>
                <w:b w:val="0"/>
                <w:noProof/>
                <w:webHidden/>
                <w:sz w:val="20"/>
                <w:szCs w:val="20"/>
              </w:rPr>
              <w:t>17</w:t>
            </w:r>
            <w:r w:rsidRPr="001E6EF5">
              <w:rPr>
                <w:b w:val="0"/>
                <w:noProof/>
                <w:webHidden/>
                <w:sz w:val="20"/>
                <w:szCs w:val="20"/>
              </w:rPr>
              <w:fldChar w:fldCharType="end"/>
            </w:r>
          </w:hyperlink>
        </w:p>
        <w:p w14:paraId="1940E29C" w14:textId="59F595B5" w:rsidR="001E6EF5" w:rsidRPr="001E6EF5" w:rsidRDefault="001E6EF5">
          <w:pPr>
            <w:pStyle w:val="TOC2"/>
            <w:tabs>
              <w:tab w:val="left" w:pos="960"/>
              <w:tab w:val="right" w:leader="dot" w:pos="9010"/>
            </w:tabs>
            <w:rPr>
              <w:rFonts w:eastAsiaTheme="minorEastAsia"/>
              <w:b w:val="0"/>
              <w:noProof/>
              <w:sz w:val="20"/>
              <w:szCs w:val="20"/>
              <w:lang w:val="en-US"/>
            </w:rPr>
          </w:pPr>
          <w:hyperlink w:anchor="_Toc106188882" w:history="1">
            <w:r w:rsidRPr="001E6EF5">
              <w:rPr>
                <w:rStyle w:val="Hyperlink"/>
                <w:b w:val="0"/>
                <w:noProof/>
                <w:sz w:val="20"/>
                <w:szCs w:val="20"/>
              </w:rPr>
              <w:t>(iv)</w:t>
            </w:r>
            <w:r w:rsidRPr="001E6EF5">
              <w:rPr>
                <w:rFonts w:eastAsiaTheme="minorEastAsia"/>
                <w:b w:val="0"/>
                <w:noProof/>
                <w:sz w:val="20"/>
                <w:szCs w:val="20"/>
                <w:lang w:val="en-US"/>
              </w:rPr>
              <w:tab/>
            </w:r>
            <w:r w:rsidRPr="001E6EF5">
              <w:rPr>
                <w:rStyle w:val="Hyperlink"/>
                <w:b w:val="0"/>
                <w:noProof/>
                <w:sz w:val="20"/>
                <w:szCs w:val="20"/>
              </w:rPr>
              <w:t>Afsnit 10(iv): Beføjelse til at udstede et påbud om adgangsblokering</w:t>
            </w:r>
            <w:r w:rsidRPr="001E6EF5">
              <w:rPr>
                <w:b w:val="0"/>
                <w:noProof/>
                <w:webHidden/>
                <w:sz w:val="20"/>
                <w:szCs w:val="20"/>
              </w:rPr>
              <w:tab/>
            </w:r>
            <w:r w:rsidRPr="001E6EF5">
              <w:rPr>
                <w:b w:val="0"/>
                <w:noProof/>
                <w:webHidden/>
                <w:sz w:val="20"/>
                <w:szCs w:val="20"/>
              </w:rPr>
              <w:fldChar w:fldCharType="begin"/>
            </w:r>
            <w:r w:rsidRPr="001E6EF5">
              <w:rPr>
                <w:b w:val="0"/>
                <w:noProof/>
                <w:webHidden/>
                <w:sz w:val="20"/>
                <w:szCs w:val="20"/>
              </w:rPr>
              <w:instrText xml:space="preserve"> PAGEREF _Toc106188882 \h </w:instrText>
            </w:r>
            <w:r w:rsidRPr="001E6EF5">
              <w:rPr>
                <w:b w:val="0"/>
                <w:noProof/>
                <w:webHidden/>
                <w:sz w:val="20"/>
                <w:szCs w:val="20"/>
              </w:rPr>
            </w:r>
            <w:r w:rsidRPr="001E6EF5">
              <w:rPr>
                <w:b w:val="0"/>
                <w:noProof/>
                <w:webHidden/>
                <w:sz w:val="20"/>
                <w:szCs w:val="20"/>
              </w:rPr>
              <w:fldChar w:fldCharType="separate"/>
            </w:r>
            <w:r>
              <w:rPr>
                <w:b w:val="0"/>
                <w:noProof/>
                <w:webHidden/>
                <w:sz w:val="20"/>
                <w:szCs w:val="20"/>
              </w:rPr>
              <w:t>19</w:t>
            </w:r>
            <w:r w:rsidRPr="001E6EF5">
              <w:rPr>
                <w:b w:val="0"/>
                <w:noProof/>
                <w:webHidden/>
                <w:sz w:val="20"/>
                <w:szCs w:val="20"/>
              </w:rPr>
              <w:fldChar w:fldCharType="end"/>
            </w:r>
          </w:hyperlink>
        </w:p>
        <w:p w14:paraId="69423FC1" w14:textId="07DBB812" w:rsidR="001E6EF5" w:rsidRPr="001E6EF5" w:rsidRDefault="001E6EF5">
          <w:pPr>
            <w:pStyle w:val="TOC2"/>
            <w:tabs>
              <w:tab w:val="left" w:pos="720"/>
              <w:tab w:val="right" w:leader="dot" w:pos="9010"/>
            </w:tabs>
            <w:rPr>
              <w:rFonts w:eastAsiaTheme="minorEastAsia"/>
              <w:b w:val="0"/>
              <w:noProof/>
              <w:sz w:val="20"/>
              <w:szCs w:val="20"/>
              <w:lang w:val="en-US"/>
            </w:rPr>
          </w:pPr>
          <w:hyperlink w:anchor="_Toc106188883" w:history="1">
            <w:r w:rsidRPr="001E6EF5">
              <w:rPr>
                <w:rStyle w:val="Hyperlink"/>
                <w:b w:val="0"/>
                <w:noProof/>
                <w:sz w:val="20"/>
                <w:szCs w:val="20"/>
              </w:rPr>
              <w:t>(v)</w:t>
            </w:r>
            <w:r w:rsidRPr="001E6EF5">
              <w:rPr>
                <w:rFonts w:eastAsiaTheme="minorEastAsia"/>
                <w:b w:val="0"/>
                <w:noProof/>
                <w:sz w:val="20"/>
                <w:szCs w:val="20"/>
                <w:lang w:val="en-US"/>
              </w:rPr>
              <w:tab/>
            </w:r>
            <w:r w:rsidRPr="001E6EF5">
              <w:rPr>
                <w:rStyle w:val="Hyperlink"/>
                <w:b w:val="0"/>
                <w:noProof/>
                <w:sz w:val="20"/>
                <w:szCs w:val="20"/>
              </w:rPr>
              <w:t>Afsnit 10 (v): Beføjelser til at regulere manipulerende eller uautentisk adfærd, herunder skjult bot-aktivitet</w:t>
            </w:r>
            <w:r w:rsidRPr="001E6EF5">
              <w:rPr>
                <w:b w:val="0"/>
                <w:noProof/>
                <w:webHidden/>
                <w:sz w:val="20"/>
                <w:szCs w:val="20"/>
              </w:rPr>
              <w:tab/>
            </w:r>
            <w:r w:rsidRPr="001E6EF5">
              <w:rPr>
                <w:b w:val="0"/>
                <w:noProof/>
                <w:webHidden/>
                <w:sz w:val="20"/>
                <w:szCs w:val="20"/>
              </w:rPr>
              <w:fldChar w:fldCharType="begin"/>
            </w:r>
            <w:r w:rsidRPr="001E6EF5">
              <w:rPr>
                <w:b w:val="0"/>
                <w:noProof/>
                <w:webHidden/>
                <w:sz w:val="20"/>
                <w:szCs w:val="20"/>
              </w:rPr>
              <w:instrText xml:space="preserve"> PAGEREF _Toc106188883 \h </w:instrText>
            </w:r>
            <w:r w:rsidRPr="001E6EF5">
              <w:rPr>
                <w:b w:val="0"/>
                <w:noProof/>
                <w:webHidden/>
                <w:sz w:val="20"/>
                <w:szCs w:val="20"/>
              </w:rPr>
            </w:r>
            <w:r w:rsidRPr="001E6EF5">
              <w:rPr>
                <w:b w:val="0"/>
                <w:noProof/>
                <w:webHidden/>
                <w:sz w:val="20"/>
                <w:szCs w:val="20"/>
              </w:rPr>
              <w:fldChar w:fldCharType="separate"/>
            </w:r>
            <w:r>
              <w:rPr>
                <w:b w:val="0"/>
                <w:noProof/>
                <w:webHidden/>
                <w:sz w:val="20"/>
                <w:szCs w:val="20"/>
              </w:rPr>
              <w:t>20</w:t>
            </w:r>
            <w:r w:rsidRPr="001E6EF5">
              <w:rPr>
                <w:b w:val="0"/>
                <w:noProof/>
                <w:webHidden/>
                <w:sz w:val="20"/>
                <w:szCs w:val="20"/>
              </w:rPr>
              <w:fldChar w:fldCharType="end"/>
            </w:r>
          </w:hyperlink>
        </w:p>
        <w:p w14:paraId="2D94BB16" w14:textId="61D4A041" w:rsidR="001E6EF5" w:rsidRPr="001E6EF5" w:rsidRDefault="001E6EF5">
          <w:pPr>
            <w:pStyle w:val="TOC1"/>
            <w:rPr>
              <w:rFonts w:asciiTheme="minorHAnsi" w:eastAsiaTheme="minorEastAsia" w:hAnsiTheme="minorHAnsi" w:cstheme="minorBidi"/>
              <w:b w:val="0"/>
              <w:sz w:val="20"/>
              <w:szCs w:val="20"/>
              <w:lang w:val="en-US"/>
            </w:rPr>
          </w:pPr>
          <w:hyperlink w:anchor="_Toc106188884" w:history="1">
            <w:r w:rsidRPr="001E6EF5">
              <w:rPr>
                <w:rStyle w:val="Hyperlink"/>
                <w:b w:val="0"/>
                <w:sz w:val="20"/>
                <w:szCs w:val="20"/>
              </w:rPr>
              <w:t>(Afsnit 11 er blevet slettet)</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_Toc106188884 \h </w:instrText>
            </w:r>
            <w:r w:rsidRPr="001E6EF5">
              <w:rPr>
                <w:b w:val="0"/>
                <w:webHidden/>
                <w:sz w:val="20"/>
                <w:szCs w:val="20"/>
              </w:rPr>
            </w:r>
            <w:r w:rsidRPr="001E6EF5">
              <w:rPr>
                <w:b w:val="0"/>
                <w:webHidden/>
                <w:sz w:val="20"/>
                <w:szCs w:val="20"/>
              </w:rPr>
              <w:fldChar w:fldCharType="separate"/>
            </w:r>
            <w:r>
              <w:rPr>
                <w:b w:val="0"/>
                <w:webHidden/>
                <w:sz w:val="20"/>
                <w:szCs w:val="20"/>
              </w:rPr>
              <w:t>22</w:t>
            </w:r>
            <w:r w:rsidRPr="001E6EF5">
              <w:rPr>
                <w:b w:val="0"/>
                <w:webHidden/>
                <w:sz w:val="20"/>
                <w:szCs w:val="20"/>
              </w:rPr>
              <w:fldChar w:fldCharType="end"/>
            </w:r>
          </w:hyperlink>
        </w:p>
        <w:p w14:paraId="3DDA0B04" w14:textId="7A01E9F4" w:rsidR="001E6EF5" w:rsidRPr="001E6EF5" w:rsidRDefault="001E6EF5">
          <w:pPr>
            <w:pStyle w:val="TOC1"/>
            <w:rPr>
              <w:rFonts w:asciiTheme="minorHAnsi" w:eastAsiaTheme="minorEastAsia" w:hAnsiTheme="minorHAnsi" w:cstheme="minorBidi"/>
              <w:b w:val="0"/>
              <w:sz w:val="20"/>
              <w:szCs w:val="20"/>
              <w:lang w:val="en-US"/>
            </w:rPr>
          </w:pPr>
          <w:hyperlink w:anchor="_Toc106188885" w:history="1">
            <w:r w:rsidRPr="001E6EF5">
              <w:rPr>
                <w:rStyle w:val="Hyperlink"/>
                <w:b w:val="0"/>
                <w:sz w:val="20"/>
                <w:szCs w:val="20"/>
              </w:rPr>
              <w:t>Afsnit 12: Begæring til retten om et påbud om overholdelse af en meddelelse eller et påbud</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_Toc106188885 \h </w:instrText>
            </w:r>
            <w:r w:rsidRPr="001E6EF5">
              <w:rPr>
                <w:b w:val="0"/>
                <w:webHidden/>
                <w:sz w:val="20"/>
                <w:szCs w:val="20"/>
              </w:rPr>
            </w:r>
            <w:r w:rsidRPr="001E6EF5">
              <w:rPr>
                <w:b w:val="0"/>
                <w:webHidden/>
                <w:sz w:val="20"/>
                <w:szCs w:val="20"/>
              </w:rPr>
              <w:fldChar w:fldCharType="separate"/>
            </w:r>
            <w:r>
              <w:rPr>
                <w:b w:val="0"/>
                <w:webHidden/>
                <w:sz w:val="20"/>
                <w:szCs w:val="20"/>
              </w:rPr>
              <w:t>22</w:t>
            </w:r>
            <w:r w:rsidRPr="001E6EF5">
              <w:rPr>
                <w:b w:val="0"/>
                <w:webHidden/>
                <w:sz w:val="20"/>
                <w:szCs w:val="20"/>
              </w:rPr>
              <w:fldChar w:fldCharType="end"/>
            </w:r>
          </w:hyperlink>
        </w:p>
        <w:p w14:paraId="70E571FD" w14:textId="5F78BACD" w:rsidR="001E6EF5" w:rsidRPr="001E6EF5" w:rsidRDefault="001E6EF5">
          <w:pPr>
            <w:pStyle w:val="TOC1"/>
            <w:rPr>
              <w:rFonts w:asciiTheme="minorHAnsi" w:eastAsiaTheme="minorEastAsia" w:hAnsiTheme="minorHAnsi" w:cstheme="minorBidi"/>
              <w:b w:val="0"/>
              <w:sz w:val="20"/>
              <w:szCs w:val="20"/>
              <w:lang w:val="en-US"/>
            </w:rPr>
          </w:pPr>
          <w:hyperlink w:anchor="_Toc106188886" w:history="1">
            <w:r w:rsidRPr="001E6EF5">
              <w:rPr>
                <w:rStyle w:val="Hyperlink"/>
                <w:b w:val="0"/>
                <w:sz w:val="20"/>
                <w:szCs w:val="20"/>
              </w:rPr>
              <w:t>Afsnit 13: Beføjelse til at udstede advarsler til offentligheden om aktiviteter, der kan forstyrre rimeligheden eller integriteten af et valg eller en folkeafstemning</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_Toc106188886 \h </w:instrText>
            </w:r>
            <w:r w:rsidRPr="001E6EF5">
              <w:rPr>
                <w:b w:val="0"/>
                <w:webHidden/>
                <w:sz w:val="20"/>
                <w:szCs w:val="20"/>
              </w:rPr>
            </w:r>
            <w:r w:rsidRPr="001E6EF5">
              <w:rPr>
                <w:b w:val="0"/>
                <w:webHidden/>
                <w:sz w:val="20"/>
                <w:szCs w:val="20"/>
              </w:rPr>
              <w:fldChar w:fldCharType="separate"/>
            </w:r>
            <w:r>
              <w:rPr>
                <w:b w:val="0"/>
                <w:webHidden/>
                <w:sz w:val="20"/>
                <w:szCs w:val="20"/>
              </w:rPr>
              <w:t>22</w:t>
            </w:r>
            <w:r w:rsidRPr="001E6EF5">
              <w:rPr>
                <w:b w:val="0"/>
                <w:webHidden/>
                <w:sz w:val="20"/>
                <w:szCs w:val="20"/>
              </w:rPr>
              <w:fldChar w:fldCharType="end"/>
            </w:r>
          </w:hyperlink>
        </w:p>
        <w:p w14:paraId="2D52F970" w14:textId="53804B83" w:rsidR="001E6EF5" w:rsidRPr="001E6EF5" w:rsidRDefault="001E6EF5">
          <w:pPr>
            <w:pStyle w:val="TOC1"/>
            <w:rPr>
              <w:rFonts w:asciiTheme="minorHAnsi" w:eastAsiaTheme="minorEastAsia" w:hAnsiTheme="minorHAnsi" w:cstheme="minorBidi"/>
              <w:b w:val="0"/>
              <w:sz w:val="20"/>
              <w:szCs w:val="20"/>
              <w:lang w:val="en-US"/>
            </w:rPr>
          </w:pPr>
          <w:hyperlink w:anchor="_Toc106188887" w:history="1">
            <w:r w:rsidRPr="001E6EF5">
              <w:rPr>
                <w:rStyle w:val="Hyperlink"/>
                <w:b w:val="0"/>
                <w:sz w:val="20"/>
                <w:szCs w:val="20"/>
              </w:rPr>
              <w:t>Afsnit 14: Mekanisme for offentligheden til at indberette formodede tilfælde af desinformation, misinformation og manipulerende eller uautentisk adfærd</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_Toc106188887 \h </w:instrText>
            </w:r>
            <w:r w:rsidRPr="001E6EF5">
              <w:rPr>
                <w:b w:val="0"/>
                <w:webHidden/>
                <w:sz w:val="20"/>
                <w:szCs w:val="20"/>
              </w:rPr>
            </w:r>
            <w:r w:rsidRPr="001E6EF5">
              <w:rPr>
                <w:b w:val="0"/>
                <w:webHidden/>
                <w:sz w:val="20"/>
                <w:szCs w:val="20"/>
              </w:rPr>
              <w:fldChar w:fldCharType="separate"/>
            </w:r>
            <w:r>
              <w:rPr>
                <w:b w:val="0"/>
                <w:webHidden/>
                <w:sz w:val="20"/>
                <w:szCs w:val="20"/>
              </w:rPr>
              <w:t>22</w:t>
            </w:r>
            <w:r w:rsidRPr="001E6EF5">
              <w:rPr>
                <w:b w:val="0"/>
                <w:webHidden/>
                <w:sz w:val="20"/>
                <w:szCs w:val="20"/>
              </w:rPr>
              <w:fldChar w:fldCharType="end"/>
            </w:r>
          </w:hyperlink>
        </w:p>
        <w:p w14:paraId="63380159" w14:textId="04F537BF" w:rsidR="001E6EF5" w:rsidRPr="001E6EF5" w:rsidRDefault="001E6EF5">
          <w:pPr>
            <w:pStyle w:val="TOC1"/>
            <w:rPr>
              <w:rFonts w:asciiTheme="minorHAnsi" w:eastAsiaTheme="minorEastAsia" w:hAnsiTheme="minorHAnsi" w:cstheme="minorBidi"/>
              <w:b w:val="0"/>
              <w:sz w:val="20"/>
              <w:szCs w:val="20"/>
              <w:lang w:val="en-US"/>
            </w:rPr>
          </w:pPr>
          <w:hyperlink w:anchor="_Toc106188888" w:history="1">
            <w:r w:rsidRPr="001E6EF5">
              <w:rPr>
                <w:rStyle w:val="Hyperlink"/>
                <w:b w:val="0"/>
                <w:sz w:val="20"/>
                <w:szCs w:val="20"/>
              </w:rPr>
              <w:t>Kapitel 4: Proceduremæssige rettigheder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_Toc106188888 \h </w:instrText>
            </w:r>
            <w:r w:rsidRPr="001E6EF5">
              <w:rPr>
                <w:b w:val="0"/>
                <w:webHidden/>
                <w:sz w:val="20"/>
                <w:szCs w:val="20"/>
              </w:rPr>
            </w:r>
            <w:r w:rsidRPr="001E6EF5">
              <w:rPr>
                <w:b w:val="0"/>
                <w:webHidden/>
                <w:sz w:val="20"/>
                <w:szCs w:val="20"/>
              </w:rPr>
              <w:fldChar w:fldCharType="separate"/>
            </w:r>
            <w:r>
              <w:rPr>
                <w:b w:val="0"/>
                <w:webHidden/>
                <w:sz w:val="20"/>
                <w:szCs w:val="20"/>
              </w:rPr>
              <w:t>23</w:t>
            </w:r>
            <w:r w:rsidRPr="001E6EF5">
              <w:rPr>
                <w:b w:val="0"/>
                <w:webHidden/>
                <w:sz w:val="20"/>
                <w:szCs w:val="20"/>
              </w:rPr>
              <w:fldChar w:fldCharType="end"/>
            </w:r>
          </w:hyperlink>
        </w:p>
        <w:p w14:paraId="76988DFE" w14:textId="1503CBFE" w:rsidR="001E6EF5" w:rsidRPr="001E6EF5" w:rsidRDefault="001E6EF5">
          <w:pPr>
            <w:pStyle w:val="TOC1"/>
            <w:rPr>
              <w:rFonts w:asciiTheme="minorHAnsi" w:eastAsiaTheme="minorEastAsia" w:hAnsiTheme="minorHAnsi" w:cstheme="minorBidi"/>
              <w:b w:val="0"/>
              <w:sz w:val="20"/>
              <w:szCs w:val="20"/>
              <w:lang w:val="en-US"/>
            </w:rPr>
          </w:pPr>
          <w:hyperlink w:anchor="_Toc106188889" w:history="1">
            <w:r w:rsidRPr="001E6EF5">
              <w:rPr>
                <w:rStyle w:val="Hyperlink"/>
                <w:b w:val="0"/>
                <w:sz w:val="20"/>
                <w:szCs w:val="20"/>
              </w:rPr>
              <w:t>Afsnit 15: Ret til at appellere en meddelelse eller et påbud</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_Toc106188889 \h </w:instrText>
            </w:r>
            <w:r w:rsidRPr="001E6EF5">
              <w:rPr>
                <w:b w:val="0"/>
                <w:webHidden/>
                <w:sz w:val="20"/>
                <w:szCs w:val="20"/>
              </w:rPr>
            </w:r>
            <w:r w:rsidRPr="001E6EF5">
              <w:rPr>
                <w:b w:val="0"/>
                <w:webHidden/>
                <w:sz w:val="20"/>
                <w:szCs w:val="20"/>
              </w:rPr>
              <w:fldChar w:fldCharType="separate"/>
            </w:r>
            <w:r>
              <w:rPr>
                <w:b w:val="0"/>
                <w:webHidden/>
                <w:sz w:val="20"/>
                <w:szCs w:val="20"/>
              </w:rPr>
              <w:t>23</w:t>
            </w:r>
            <w:r w:rsidRPr="001E6EF5">
              <w:rPr>
                <w:b w:val="0"/>
                <w:webHidden/>
                <w:sz w:val="20"/>
                <w:szCs w:val="20"/>
              </w:rPr>
              <w:fldChar w:fldCharType="end"/>
            </w:r>
          </w:hyperlink>
        </w:p>
        <w:p w14:paraId="558C413C" w14:textId="46F89656" w:rsidR="001E6EF5" w:rsidRPr="001E6EF5" w:rsidRDefault="001E6EF5">
          <w:pPr>
            <w:pStyle w:val="TOC1"/>
            <w:rPr>
              <w:rFonts w:asciiTheme="minorHAnsi" w:eastAsiaTheme="minorEastAsia" w:hAnsiTheme="minorHAnsi" w:cstheme="minorBidi"/>
              <w:b w:val="0"/>
              <w:sz w:val="20"/>
              <w:szCs w:val="20"/>
              <w:lang w:val="en-US"/>
            </w:rPr>
          </w:pPr>
          <w:hyperlink w:anchor="_Toc106188890" w:history="1">
            <w:r w:rsidRPr="001E6EF5">
              <w:rPr>
                <w:rStyle w:val="Hyperlink"/>
                <w:b w:val="0"/>
                <w:sz w:val="20"/>
                <w:szCs w:val="20"/>
              </w:rPr>
              <w:t>Afsnit 15A: Domstolskontrol</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_Toc106188890 \h </w:instrText>
            </w:r>
            <w:r w:rsidRPr="001E6EF5">
              <w:rPr>
                <w:b w:val="0"/>
                <w:webHidden/>
                <w:sz w:val="20"/>
                <w:szCs w:val="20"/>
              </w:rPr>
            </w:r>
            <w:r w:rsidRPr="001E6EF5">
              <w:rPr>
                <w:b w:val="0"/>
                <w:webHidden/>
                <w:sz w:val="20"/>
                <w:szCs w:val="20"/>
              </w:rPr>
              <w:fldChar w:fldCharType="separate"/>
            </w:r>
            <w:r>
              <w:rPr>
                <w:b w:val="0"/>
                <w:webHidden/>
                <w:sz w:val="20"/>
                <w:szCs w:val="20"/>
              </w:rPr>
              <w:t>25</w:t>
            </w:r>
            <w:r w:rsidRPr="001E6EF5">
              <w:rPr>
                <w:b w:val="0"/>
                <w:webHidden/>
                <w:sz w:val="20"/>
                <w:szCs w:val="20"/>
              </w:rPr>
              <w:fldChar w:fldCharType="end"/>
            </w:r>
          </w:hyperlink>
        </w:p>
        <w:p w14:paraId="00AF6D4C" w14:textId="6FCAE1A4" w:rsidR="001E6EF5" w:rsidRPr="001E6EF5" w:rsidRDefault="001E6EF5">
          <w:pPr>
            <w:pStyle w:val="TOC1"/>
            <w:rPr>
              <w:rFonts w:asciiTheme="minorHAnsi" w:eastAsiaTheme="minorEastAsia" w:hAnsiTheme="minorHAnsi" w:cstheme="minorBidi"/>
              <w:b w:val="0"/>
              <w:sz w:val="20"/>
              <w:szCs w:val="20"/>
              <w:lang w:val="en-US"/>
            </w:rPr>
          </w:pPr>
          <w:hyperlink w:anchor="_Toc106188891" w:history="1">
            <w:r w:rsidRPr="001E6EF5">
              <w:rPr>
                <w:rStyle w:val="Hyperlink"/>
                <w:b w:val="0"/>
                <w:sz w:val="20"/>
                <w:szCs w:val="20"/>
              </w:rPr>
              <w:t>Kapitel 5: Adfærdskodekser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_Toc106188891 \h </w:instrText>
            </w:r>
            <w:r w:rsidRPr="001E6EF5">
              <w:rPr>
                <w:b w:val="0"/>
                <w:webHidden/>
                <w:sz w:val="20"/>
                <w:szCs w:val="20"/>
              </w:rPr>
            </w:r>
            <w:r w:rsidRPr="001E6EF5">
              <w:rPr>
                <w:b w:val="0"/>
                <w:webHidden/>
                <w:sz w:val="20"/>
                <w:szCs w:val="20"/>
              </w:rPr>
              <w:fldChar w:fldCharType="separate"/>
            </w:r>
            <w:r>
              <w:rPr>
                <w:b w:val="0"/>
                <w:webHidden/>
                <w:sz w:val="20"/>
                <w:szCs w:val="20"/>
              </w:rPr>
              <w:t>25</w:t>
            </w:r>
            <w:r w:rsidRPr="001E6EF5">
              <w:rPr>
                <w:b w:val="0"/>
                <w:webHidden/>
                <w:sz w:val="20"/>
                <w:szCs w:val="20"/>
              </w:rPr>
              <w:fldChar w:fldCharType="end"/>
            </w:r>
          </w:hyperlink>
        </w:p>
        <w:p w14:paraId="6500AF8F" w14:textId="79BD1262" w:rsidR="001E6EF5" w:rsidRPr="001E6EF5" w:rsidRDefault="001E6EF5">
          <w:pPr>
            <w:pStyle w:val="TOC1"/>
            <w:rPr>
              <w:rFonts w:asciiTheme="minorHAnsi" w:eastAsiaTheme="minorEastAsia" w:hAnsiTheme="minorHAnsi" w:cstheme="minorBidi"/>
              <w:b w:val="0"/>
              <w:sz w:val="20"/>
              <w:szCs w:val="20"/>
              <w:lang w:val="en-US"/>
            </w:rPr>
          </w:pPr>
          <w:hyperlink w:anchor="_Toc106188892" w:history="1">
            <w:r w:rsidRPr="001E6EF5">
              <w:rPr>
                <w:rStyle w:val="Hyperlink"/>
                <w:b w:val="0"/>
                <w:sz w:val="20"/>
                <w:szCs w:val="20"/>
              </w:rPr>
              <w:t>Afsnit 16: Bekendtgørelse af adfærdskodekser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_Toc106188892 \h </w:instrText>
            </w:r>
            <w:r w:rsidRPr="001E6EF5">
              <w:rPr>
                <w:b w:val="0"/>
                <w:webHidden/>
                <w:sz w:val="20"/>
                <w:szCs w:val="20"/>
              </w:rPr>
            </w:r>
            <w:r w:rsidRPr="001E6EF5">
              <w:rPr>
                <w:b w:val="0"/>
                <w:webHidden/>
                <w:sz w:val="20"/>
                <w:szCs w:val="20"/>
              </w:rPr>
              <w:fldChar w:fldCharType="separate"/>
            </w:r>
            <w:r>
              <w:rPr>
                <w:b w:val="0"/>
                <w:webHidden/>
                <w:sz w:val="20"/>
                <w:szCs w:val="20"/>
              </w:rPr>
              <w:t>25</w:t>
            </w:r>
            <w:r w:rsidRPr="001E6EF5">
              <w:rPr>
                <w:b w:val="0"/>
                <w:webHidden/>
                <w:sz w:val="20"/>
                <w:szCs w:val="20"/>
              </w:rPr>
              <w:fldChar w:fldCharType="end"/>
            </w:r>
          </w:hyperlink>
        </w:p>
        <w:p w14:paraId="665BEE92" w14:textId="271FE5F8" w:rsidR="001E6EF5" w:rsidRPr="001E6EF5" w:rsidRDefault="001E6EF5">
          <w:pPr>
            <w:pStyle w:val="TOC1"/>
            <w:rPr>
              <w:rFonts w:asciiTheme="minorHAnsi" w:eastAsiaTheme="minorEastAsia" w:hAnsiTheme="minorHAnsi" w:cstheme="minorBidi"/>
              <w:b w:val="0"/>
              <w:sz w:val="20"/>
              <w:szCs w:val="20"/>
              <w:lang w:val="en-US"/>
            </w:rPr>
          </w:pPr>
          <w:hyperlink w:anchor="_Toc106188893" w:history="1">
            <w:r w:rsidRPr="001E6EF5">
              <w:rPr>
                <w:rStyle w:val="Hyperlink"/>
                <w:b w:val="0"/>
                <w:sz w:val="20"/>
                <w:szCs w:val="20"/>
              </w:rPr>
              <w:t>Kapitel 6: Samarbejde med andre offentlige organer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_Toc106188893 \h </w:instrText>
            </w:r>
            <w:r w:rsidRPr="001E6EF5">
              <w:rPr>
                <w:b w:val="0"/>
                <w:webHidden/>
                <w:sz w:val="20"/>
                <w:szCs w:val="20"/>
              </w:rPr>
            </w:r>
            <w:r w:rsidRPr="001E6EF5">
              <w:rPr>
                <w:b w:val="0"/>
                <w:webHidden/>
                <w:sz w:val="20"/>
                <w:szCs w:val="20"/>
              </w:rPr>
              <w:fldChar w:fldCharType="separate"/>
            </w:r>
            <w:r>
              <w:rPr>
                <w:b w:val="0"/>
                <w:webHidden/>
                <w:sz w:val="20"/>
                <w:szCs w:val="20"/>
              </w:rPr>
              <w:t>26</w:t>
            </w:r>
            <w:r w:rsidRPr="001E6EF5">
              <w:rPr>
                <w:b w:val="0"/>
                <w:webHidden/>
                <w:sz w:val="20"/>
                <w:szCs w:val="20"/>
              </w:rPr>
              <w:fldChar w:fldCharType="end"/>
            </w:r>
          </w:hyperlink>
        </w:p>
        <w:p w14:paraId="6FDC3260" w14:textId="07A1A9BC" w:rsidR="001E6EF5" w:rsidRPr="001E6EF5" w:rsidRDefault="001E6EF5">
          <w:pPr>
            <w:pStyle w:val="TOC1"/>
            <w:rPr>
              <w:rFonts w:asciiTheme="minorHAnsi" w:eastAsiaTheme="minorEastAsia" w:hAnsiTheme="minorHAnsi" w:cstheme="minorBidi"/>
              <w:b w:val="0"/>
              <w:sz w:val="20"/>
              <w:szCs w:val="20"/>
              <w:lang w:val="en-US"/>
            </w:rPr>
          </w:pPr>
          <w:hyperlink w:anchor="_Toc106188894" w:history="1">
            <w:r w:rsidRPr="001E6EF5">
              <w:rPr>
                <w:rStyle w:val="Hyperlink"/>
                <w:b w:val="0"/>
                <w:sz w:val="20"/>
                <w:szCs w:val="20"/>
              </w:rPr>
              <w:t>Afsnit 17: Kommissionen rådfører sig med andre relevante myndigheder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_Toc106188894 \h </w:instrText>
            </w:r>
            <w:r w:rsidRPr="001E6EF5">
              <w:rPr>
                <w:b w:val="0"/>
                <w:webHidden/>
                <w:sz w:val="20"/>
                <w:szCs w:val="20"/>
              </w:rPr>
            </w:r>
            <w:r w:rsidRPr="001E6EF5">
              <w:rPr>
                <w:b w:val="0"/>
                <w:webHidden/>
                <w:sz w:val="20"/>
                <w:szCs w:val="20"/>
              </w:rPr>
              <w:fldChar w:fldCharType="separate"/>
            </w:r>
            <w:r>
              <w:rPr>
                <w:b w:val="0"/>
                <w:webHidden/>
                <w:sz w:val="20"/>
                <w:szCs w:val="20"/>
              </w:rPr>
              <w:t>26</w:t>
            </w:r>
            <w:r w:rsidRPr="001E6EF5">
              <w:rPr>
                <w:b w:val="0"/>
                <w:webHidden/>
                <w:sz w:val="20"/>
                <w:szCs w:val="20"/>
              </w:rPr>
              <w:fldChar w:fldCharType="end"/>
            </w:r>
          </w:hyperlink>
        </w:p>
        <w:p w14:paraId="6D8576D2" w14:textId="76F02732" w:rsidR="001E6EF5" w:rsidRPr="001E6EF5" w:rsidRDefault="001E6EF5">
          <w:pPr>
            <w:pStyle w:val="TOC1"/>
            <w:rPr>
              <w:rFonts w:asciiTheme="minorHAnsi" w:eastAsiaTheme="minorEastAsia" w:hAnsiTheme="minorHAnsi" w:cstheme="minorBidi"/>
              <w:b w:val="0"/>
              <w:sz w:val="20"/>
              <w:szCs w:val="20"/>
              <w:lang w:val="en-US"/>
            </w:rPr>
          </w:pPr>
          <w:hyperlink w:anchor="_Toc106188895" w:history="1">
            <w:r w:rsidRPr="001E6EF5">
              <w:rPr>
                <w:rStyle w:val="Hyperlink"/>
                <w:b w:val="0"/>
                <w:sz w:val="20"/>
                <w:szCs w:val="20"/>
              </w:rPr>
              <w:t>Kapitel 7: (SLETTET)</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_Toc106188895 \h </w:instrText>
            </w:r>
            <w:r w:rsidRPr="001E6EF5">
              <w:rPr>
                <w:b w:val="0"/>
                <w:webHidden/>
                <w:sz w:val="20"/>
                <w:szCs w:val="20"/>
              </w:rPr>
            </w:r>
            <w:r w:rsidRPr="001E6EF5">
              <w:rPr>
                <w:b w:val="0"/>
                <w:webHidden/>
                <w:sz w:val="20"/>
                <w:szCs w:val="20"/>
              </w:rPr>
              <w:fldChar w:fldCharType="separate"/>
            </w:r>
            <w:r>
              <w:rPr>
                <w:b w:val="0"/>
                <w:webHidden/>
                <w:sz w:val="20"/>
                <w:szCs w:val="20"/>
              </w:rPr>
              <w:t>27</w:t>
            </w:r>
            <w:r w:rsidRPr="001E6EF5">
              <w:rPr>
                <w:b w:val="0"/>
                <w:webHidden/>
                <w:sz w:val="20"/>
                <w:szCs w:val="20"/>
              </w:rPr>
              <w:fldChar w:fldCharType="end"/>
            </w:r>
          </w:hyperlink>
        </w:p>
        <w:p w14:paraId="342C5080" w14:textId="442FF1C1" w:rsidR="001E6EF5" w:rsidRPr="001E6EF5" w:rsidRDefault="001E6EF5">
          <w:pPr>
            <w:pStyle w:val="TOC1"/>
            <w:rPr>
              <w:rFonts w:asciiTheme="minorHAnsi" w:eastAsiaTheme="minorEastAsia" w:hAnsiTheme="minorHAnsi" w:cstheme="minorBidi"/>
              <w:b w:val="0"/>
              <w:sz w:val="20"/>
              <w:szCs w:val="20"/>
              <w:lang w:val="en-US"/>
            </w:rPr>
          </w:pPr>
          <w:hyperlink w:anchor="_Toc106188896" w:history="1">
            <w:r w:rsidRPr="001E6EF5">
              <w:rPr>
                <w:rStyle w:val="Hyperlink"/>
                <w:b w:val="0"/>
                <w:sz w:val="20"/>
                <w:szCs w:val="20"/>
              </w:rPr>
              <w:t>(Afsnit 18 til 20 er slettet)</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_Toc106188896 \h </w:instrText>
            </w:r>
            <w:r w:rsidRPr="001E6EF5">
              <w:rPr>
                <w:b w:val="0"/>
                <w:webHidden/>
                <w:sz w:val="20"/>
                <w:szCs w:val="20"/>
              </w:rPr>
            </w:r>
            <w:r w:rsidRPr="001E6EF5">
              <w:rPr>
                <w:b w:val="0"/>
                <w:webHidden/>
                <w:sz w:val="20"/>
                <w:szCs w:val="20"/>
              </w:rPr>
              <w:fldChar w:fldCharType="separate"/>
            </w:r>
            <w:r>
              <w:rPr>
                <w:b w:val="0"/>
                <w:webHidden/>
                <w:sz w:val="20"/>
                <w:szCs w:val="20"/>
              </w:rPr>
              <w:t>27</w:t>
            </w:r>
            <w:r w:rsidRPr="001E6EF5">
              <w:rPr>
                <w:b w:val="0"/>
                <w:webHidden/>
                <w:sz w:val="20"/>
                <w:szCs w:val="20"/>
              </w:rPr>
              <w:fldChar w:fldCharType="end"/>
            </w:r>
          </w:hyperlink>
        </w:p>
        <w:p w14:paraId="2318FBDE" w14:textId="6C101695" w:rsidR="001E6EF5" w:rsidRPr="001E6EF5" w:rsidRDefault="001E6EF5">
          <w:pPr>
            <w:pStyle w:val="TOC1"/>
            <w:rPr>
              <w:rFonts w:asciiTheme="minorHAnsi" w:eastAsiaTheme="minorEastAsia" w:hAnsiTheme="minorHAnsi" w:cstheme="minorBidi"/>
              <w:b w:val="0"/>
              <w:sz w:val="20"/>
              <w:szCs w:val="20"/>
              <w:lang w:val="en-US"/>
            </w:rPr>
          </w:pPr>
          <w:hyperlink w:anchor="_Toc106188897" w:history="1">
            <w:r w:rsidRPr="001E6EF5">
              <w:rPr>
                <w:rStyle w:val="Hyperlink"/>
                <w:b w:val="0"/>
                <w:sz w:val="20"/>
                <w:szCs w:val="20"/>
              </w:rPr>
              <w:t>Kapitel 8: Overtrædelser og straffe</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_Toc106188897 \h </w:instrText>
            </w:r>
            <w:r w:rsidRPr="001E6EF5">
              <w:rPr>
                <w:b w:val="0"/>
                <w:webHidden/>
                <w:sz w:val="20"/>
                <w:szCs w:val="20"/>
              </w:rPr>
            </w:r>
            <w:r w:rsidRPr="001E6EF5">
              <w:rPr>
                <w:b w:val="0"/>
                <w:webHidden/>
                <w:sz w:val="20"/>
                <w:szCs w:val="20"/>
              </w:rPr>
              <w:fldChar w:fldCharType="separate"/>
            </w:r>
            <w:r>
              <w:rPr>
                <w:b w:val="0"/>
                <w:webHidden/>
                <w:sz w:val="20"/>
                <w:szCs w:val="20"/>
              </w:rPr>
              <w:t>27</w:t>
            </w:r>
            <w:r w:rsidRPr="001E6EF5">
              <w:rPr>
                <w:b w:val="0"/>
                <w:webHidden/>
                <w:sz w:val="20"/>
                <w:szCs w:val="20"/>
              </w:rPr>
              <w:fldChar w:fldCharType="end"/>
            </w:r>
          </w:hyperlink>
        </w:p>
        <w:p w14:paraId="1083446D" w14:textId="57F5DC3F" w:rsidR="001E6EF5" w:rsidRPr="001E6EF5" w:rsidRDefault="001E6EF5">
          <w:pPr>
            <w:pStyle w:val="TOC1"/>
            <w:rPr>
              <w:rFonts w:asciiTheme="minorHAnsi" w:eastAsiaTheme="minorEastAsia" w:hAnsiTheme="minorHAnsi" w:cstheme="minorBidi"/>
              <w:b w:val="0"/>
              <w:sz w:val="20"/>
              <w:szCs w:val="20"/>
              <w:lang w:val="en-US"/>
            </w:rPr>
          </w:pPr>
          <w:hyperlink w:anchor="_Toc106188898" w:history="1">
            <w:r w:rsidRPr="001E6EF5">
              <w:rPr>
                <w:rStyle w:val="Hyperlink"/>
                <w:b w:val="0"/>
                <w:sz w:val="20"/>
                <w:szCs w:val="20"/>
              </w:rPr>
              <w:t>Afsnit 21: Overtrædelse af en meddelelse eller et påbud udstedt i henhold til afsnit 10</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_Toc106188898 \h </w:instrText>
            </w:r>
            <w:r w:rsidRPr="001E6EF5">
              <w:rPr>
                <w:b w:val="0"/>
                <w:webHidden/>
                <w:sz w:val="20"/>
                <w:szCs w:val="20"/>
              </w:rPr>
            </w:r>
            <w:r w:rsidRPr="001E6EF5">
              <w:rPr>
                <w:b w:val="0"/>
                <w:webHidden/>
                <w:sz w:val="20"/>
                <w:szCs w:val="20"/>
              </w:rPr>
              <w:fldChar w:fldCharType="separate"/>
            </w:r>
            <w:r>
              <w:rPr>
                <w:b w:val="0"/>
                <w:webHidden/>
                <w:sz w:val="20"/>
                <w:szCs w:val="20"/>
              </w:rPr>
              <w:t>27</w:t>
            </w:r>
            <w:r w:rsidRPr="001E6EF5">
              <w:rPr>
                <w:b w:val="0"/>
                <w:webHidden/>
                <w:sz w:val="20"/>
                <w:szCs w:val="20"/>
              </w:rPr>
              <w:fldChar w:fldCharType="end"/>
            </w:r>
          </w:hyperlink>
        </w:p>
        <w:p w14:paraId="16E4B5BC" w14:textId="79B8E378" w:rsidR="001E6EF5" w:rsidRPr="001E6EF5" w:rsidRDefault="001E6EF5">
          <w:pPr>
            <w:pStyle w:val="TOC1"/>
            <w:rPr>
              <w:rFonts w:asciiTheme="minorHAnsi" w:eastAsiaTheme="minorEastAsia" w:hAnsiTheme="minorHAnsi" w:cstheme="minorBidi"/>
              <w:b w:val="0"/>
              <w:sz w:val="20"/>
              <w:szCs w:val="20"/>
              <w:lang w:val="en-US"/>
            </w:rPr>
          </w:pPr>
          <w:hyperlink w:anchor="_Toc106188899" w:history="1">
            <w:r w:rsidRPr="001E6EF5">
              <w:rPr>
                <w:rStyle w:val="Hyperlink"/>
                <w:b w:val="0"/>
                <w:sz w:val="20"/>
                <w:szCs w:val="20"/>
              </w:rPr>
              <w:t>Afsnit 22: Overtrædelse af en obligatorisk adfærdskodeks</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_Toc106188899 \h </w:instrText>
            </w:r>
            <w:r w:rsidRPr="001E6EF5">
              <w:rPr>
                <w:b w:val="0"/>
                <w:webHidden/>
                <w:sz w:val="20"/>
                <w:szCs w:val="20"/>
              </w:rPr>
            </w:r>
            <w:r w:rsidRPr="001E6EF5">
              <w:rPr>
                <w:b w:val="0"/>
                <w:webHidden/>
                <w:sz w:val="20"/>
                <w:szCs w:val="20"/>
              </w:rPr>
              <w:fldChar w:fldCharType="separate"/>
            </w:r>
            <w:r>
              <w:rPr>
                <w:b w:val="0"/>
                <w:webHidden/>
                <w:sz w:val="20"/>
                <w:szCs w:val="20"/>
              </w:rPr>
              <w:t>27</w:t>
            </w:r>
            <w:r w:rsidRPr="001E6EF5">
              <w:rPr>
                <w:b w:val="0"/>
                <w:webHidden/>
                <w:sz w:val="20"/>
                <w:szCs w:val="20"/>
              </w:rPr>
              <w:fldChar w:fldCharType="end"/>
            </w:r>
          </w:hyperlink>
        </w:p>
        <w:p w14:paraId="5F1CA03F" w14:textId="7EA91FAE" w:rsidR="001E6EF5" w:rsidRPr="001E6EF5" w:rsidRDefault="001E6EF5">
          <w:pPr>
            <w:pStyle w:val="TOC1"/>
            <w:rPr>
              <w:rFonts w:asciiTheme="minorHAnsi" w:eastAsiaTheme="minorEastAsia" w:hAnsiTheme="minorHAnsi" w:cstheme="minorBidi"/>
              <w:b w:val="0"/>
              <w:sz w:val="20"/>
              <w:szCs w:val="20"/>
              <w:lang w:val="en-US"/>
            </w:rPr>
          </w:pPr>
          <w:hyperlink w:anchor="_Toc106188900" w:history="1">
            <w:r w:rsidRPr="001E6EF5">
              <w:rPr>
                <w:rStyle w:val="Hyperlink"/>
                <w:b w:val="0"/>
                <w:sz w:val="20"/>
                <w:szCs w:val="20"/>
              </w:rPr>
              <w:t>Afsnit 23: Lovovertrædelser i forbindelse med desinformation og misinformation</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_Toc106188900 \h </w:instrText>
            </w:r>
            <w:r w:rsidRPr="001E6EF5">
              <w:rPr>
                <w:b w:val="0"/>
                <w:webHidden/>
                <w:sz w:val="20"/>
                <w:szCs w:val="20"/>
              </w:rPr>
            </w:r>
            <w:r w:rsidRPr="001E6EF5">
              <w:rPr>
                <w:b w:val="0"/>
                <w:webHidden/>
                <w:sz w:val="20"/>
                <w:szCs w:val="20"/>
              </w:rPr>
              <w:fldChar w:fldCharType="separate"/>
            </w:r>
            <w:r>
              <w:rPr>
                <w:b w:val="0"/>
                <w:webHidden/>
                <w:sz w:val="20"/>
                <w:szCs w:val="20"/>
              </w:rPr>
              <w:t>28</w:t>
            </w:r>
            <w:r w:rsidRPr="001E6EF5">
              <w:rPr>
                <w:b w:val="0"/>
                <w:webHidden/>
                <w:sz w:val="20"/>
                <w:szCs w:val="20"/>
              </w:rPr>
              <w:fldChar w:fldCharType="end"/>
            </w:r>
          </w:hyperlink>
        </w:p>
        <w:p w14:paraId="683C7E81" w14:textId="3667FFD6" w:rsidR="001E6EF5" w:rsidRPr="001E6EF5" w:rsidRDefault="001E6EF5">
          <w:pPr>
            <w:pStyle w:val="TOC1"/>
            <w:rPr>
              <w:rFonts w:asciiTheme="minorHAnsi" w:eastAsiaTheme="minorEastAsia" w:hAnsiTheme="minorHAnsi" w:cstheme="minorBidi"/>
              <w:b w:val="0"/>
              <w:sz w:val="20"/>
              <w:szCs w:val="20"/>
              <w:lang w:val="en-US"/>
            </w:rPr>
          </w:pPr>
          <w:hyperlink w:anchor="_Toc106188901" w:history="1">
            <w:r w:rsidRPr="001E6EF5">
              <w:rPr>
                <w:rStyle w:val="Hyperlink"/>
                <w:b w:val="0"/>
                <w:sz w:val="20"/>
                <w:szCs w:val="20"/>
              </w:rPr>
              <w:t xml:space="preserve">Afsnit 24: Overtrædelse ved anvendelse af en skjult bot til at vildlede personer med henblik på </w:t>
            </w:r>
            <w:r>
              <w:rPr>
                <w:rStyle w:val="Hyperlink"/>
                <w:b w:val="0"/>
                <w:sz w:val="20"/>
                <w:szCs w:val="20"/>
              </w:rPr>
              <w:br/>
            </w:r>
            <w:r w:rsidRPr="001E6EF5">
              <w:rPr>
                <w:rStyle w:val="Hyperlink"/>
                <w:b w:val="0"/>
                <w:sz w:val="20"/>
                <w:szCs w:val="20"/>
              </w:rPr>
              <w:t>at påvirke et valg</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_Toc106188901 \h </w:instrText>
            </w:r>
            <w:r w:rsidRPr="001E6EF5">
              <w:rPr>
                <w:b w:val="0"/>
                <w:webHidden/>
                <w:sz w:val="20"/>
                <w:szCs w:val="20"/>
              </w:rPr>
            </w:r>
            <w:r w:rsidRPr="001E6EF5">
              <w:rPr>
                <w:b w:val="0"/>
                <w:webHidden/>
                <w:sz w:val="20"/>
                <w:szCs w:val="20"/>
              </w:rPr>
              <w:fldChar w:fldCharType="separate"/>
            </w:r>
            <w:r>
              <w:rPr>
                <w:b w:val="0"/>
                <w:webHidden/>
                <w:sz w:val="20"/>
                <w:szCs w:val="20"/>
              </w:rPr>
              <w:t>28</w:t>
            </w:r>
            <w:r w:rsidRPr="001E6EF5">
              <w:rPr>
                <w:b w:val="0"/>
                <w:webHidden/>
                <w:sz w:val="20"/>
                <w:szCs w:val="20"/>
              </w:rPr>
              <w:fldChar w:fldCharType="end"/>
            </w:r>
          </w:hyperlink>
        </w:p>
        <w:p w14:paraId="73CE1119" w14:textId="65325C72" w:rsidR="001E6EF5" w:rsidRPr="001E6EF5" w:rsidRDefault="001E6EF5">
          <w:pPr>
            <w:pStyle w:val="TOC1"/>
            <w:rPr>
              <w:rFonts w:asciiTheme="minorHAnsi" w:eastAsiaTheme="minorEastAsia" w:hAnsiTheme="minorHAnsi" w:cstheme="minorBidi"/>
              <w:b w:val="0"/>
              <w:sz w:val="20"/>
              <w:szCs w:val="20"/>
              <w:lang w:val="en-US"/>
            </w:rPr>
          </w:pPr>
          <w:hyperlink w:anchor="_Toc106188902" w:history="1">
            <w:r w:rsidRPr="001E6EF5">
              <w:rPr>
                <w:rStyle w:val="Hyperlink"/>
                <w:b w:val="0"/>
                <w:sz w:val="20"/>
                <w:szCs w:val="20"/>
              </w:rPr>
              <w:t>(Afsnit 25 er slettet)</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_Toc106188902 \h </w:instrText>
            </w:r>
            <w:r w:rsidRPr="001E6EF5">
              <w:rPr>
                <w:b w:val="0"/>
                <w:webHidden/>
                <w:sz w:val="20"/>
                <w:szCs w:val="20"/>
              </w:rPr>
            </w:r>
            <w:r w:rsidRPr="001E6EF5">
              <w:rPr>
                <w:b w:val="0"/>
                <w:webHidden/>
                <w:sz w:val="20"/>
                <w:szCs w:val="20"/>
              </w:rPr>
              <w:fldChar w:fldCharType="separate"/>
            </w:r>
            <w:r>
              <w:rPr>
                <w:b w:val="0"/>
                <w:webHidden/>
                <w:sz w:val="20"/>
                <w:szCs w:val="20"/>
              </w:rPr>
              <w:t>29</w:t>
            </w:r>
            <w:r w:rsidRPr="001E6EF5">
              <w:rPr>
                <w:b w:val="0"/>
                <w:webHidden/>
                <w:sz w:val="20"/>
                <w:szCs w:val="20"/>
              </w:rPr>
              <w:fldChar w:fldCharType="end"/>
            </w:r>
          </w:hyperlink>
        </w:p>
        <w:p w14:paraId="4372DE0C" w14:textId="2FEBDB7F" w:rsidR="001E6EF5" w:rsidRPr="001E6EF5" w:rsidRDefault="001E6EF5">
          <w:pPr>
            <w:pStyle w:val="TOC1"/>
            <w:rPr>
              <w:rFonts w:asciiTheme="minorHAnsi" w:eastAsiaTheme="minorEastAsia" w:hAnsiTheme="minorHAnsi" w:cstheme="minorBidi"/>
              <w:b w:val="0"/>
              <w:sz w:val="20"/>
              <w:szCs w:val="20"/>
              <w:lang w:val="en-US"/>
            </w:rPr>
          </w:pPr>
          <w:hyperlink w:anchor="_Toc106188903" w:history="1">
            <w:r w:rsidRPr="001E6EF5">
              <w:rPr>
                <w:rStyle w:val="Hyperlink"/>
                <w:b w:val="0"/>
                <w:sz w:val="20"/>
                <w:szCs w:val="20"/>
              </w:rPr>
              <w:t>Afsnit 26: Overtrædelse af forpligtelser på onlineplatforme</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_Toc106188903 \h </w:instrText>
            </w:r>
            <w:r w:rsidRPr="001E6EF5">
              <w:rPr>
                <w:b w:val="0"/>
                <w:webHidden/>
                <w:sz w:val="20"/>
                <w:szCs w:val="20"/>
              </w:rPr>
            </w:r>
            <w:r w:rsidRPr="001E6EF5">
              <w:rPr>
                <w:b w:val="0"/>
                <w:webHidden/>
                <w:sz w:val="20"/>
                <w:szCs w:val="20"/>
              </w:rPr>
              <w:fldChar w:fldCharType="separate"/>
            </w:r>
            <w:r>
              <w:rPr>
                <w:b w:val="0"/>
                <w:webHidden/>
                <w:sz w:val="20"/>
                <w:szCs w:val="20"/>
              </w:rPr>
              <w:t>29</w:t>
            </w:r>
            <w:r w:rsidRPr="001E6EF5">
              <w:rPr>
                <w:b w:val="0"/>
                <w:webHidden/>
                <w:sz w:val="20"/>
                <w:szCs w:val="20"/>
              </w:rPr>
              <w:fldChar w:fldCharType="end"/>
            </w:r>
          </w:hyperlink>
        </w:p>
        <w:p w14:paraId="28BD56D7" w14:textId="5792126A" w:rsidR="001E6EF5" w:rsidRPr="001E6EF5" w:rsidRDefault="001E6EF5">
          <w:pPr>
            <w:pStyle w:val="TOC1"/>
            <w:rPr>
              <w:rFonts w:asciiTheme="minorHAnsi" w:eastAsiaTheme="minorEastAsia" w:hAnsiTheme="minorHAnsi" w:cstheme="minorBidi"/>
              <w:b w:val="0"/>
              <w:sz w:val="20"/>
              <w:szCs w:val="20"/>
              <w:lang w:val="en-US"/>
            </w:rPr>
          </w:pPr>
          <w:hyperlink w:anchor="_Toc106188904" w:history="1">
            <w:r w:rsidRPr="001E6EF5">
              <w:rPr>
                <w:rStyle w:val="Hyperlink"/>
                <w:b w:val="0"/>
                <w:sz w:val="20"/>
                <w:szCs w:val="20"/>
              </w:rPr>
              <w:t>(Afsnit 27 er slettet)</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_Toc106188904 \h </w:instrText>
            </w:r>
            <w:r w:rsidRPr="001E6EF5">
              <w:rPr>
                <w:b w:val="0"/>
                <w:webHidden/>
                <w:sz w:val="20"/>
                <w:szCs w:val="20"/>
              </w:rPr>
            </w:r>
            <w:r w:rsidRPr="001E6EF5">
              <w:rPr>
                <w:b w:val="0"/>
                <w:webHidden/>
                <w:sz w:val="20"/>
                <w:szCs w:val="20"/>
              </w:rPr>
              <w:fldChar w:fldCharType="separate"/>
            </w:r>
            <w:r>
              <w:rPr>
                <w:b w:val="0"/>
                <w:webHidden/>
                <w:sz w:val="20"/>
                <w:szCs w:val="20"/>
              </w:rPr>
              <w:t>29</w:t>
            </w:r>
            <w:r w:rsidRPr="001E6EF5">
              <w:rPr>
                <w:b w:val="0"/>
                <w:webHidden/>
                <w:sz w:val="20"/>
                <w:szCs w:val="20"/>
              </w:rPr>
              <w:fldChar w:fldCharType="end"/>
            </w:r>
          </w:hyperlink>
        </w:p>
        <w:p w14:paraId="02B93FD7" w14:textId="3F137A03" w:rsidR="001E6EF5" w:rsidRPr="001E6EF5" w:rsidRDefault="001E6EF5">
          <w:pPr>
            <w:pStyle w:val="TOC1"/>
            <w:rPr>
              <w:rFonts w:asciiTheme="minorHAnsi" w:eastAsiaTheme="minorEastAsia" w:hAnsiTheme="minorHAnsi" w:cstheme="minorBidi"/>
              <w:b w:val="0"/>
              <w:sz w:val="20"/>
              <w:szCs w:val="20"/>
              <w:lang w:val="en-US"/>
            </w:rPr>
          </w:pPr>
          <w:hyperlink w:anchor="_Toc106188905" w:history="1">
            <w:r w:rsidRPr="001E6EF5">
              <w:rPr>
                <w:rStyle w:val="Hyperlink"/>
                <w:b w:val="0"/>
                <w:sz w:val="20"/>
                <w:szCs w:val="20"/>
              </w:rPr>
              <w:t>Kapitel 9: Diverse bestemmelser</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_Toc106188905 \h </w:instrText>
            </w:r>
            <w:r w:rsidRPr="001E6EF5">
              <w:rPr>
                <w:b w:val="0"/>
                <w:webHidden/>
                <w:sz w:val="20"/>
                <w:szCs w:val="20"/>
              </w:rPr>
            </w:r>
            <w:r w:rsidRPr="001E6EF5">
              <w:rPr>
                <w:b w:val="0"/>
                <w:webHidden/>
                <w:sz w:val="20"/>
                <w:szCs w:val="20"/>
              </w:rPr>
              <w:fldChar w:fldCharType="separate"/>
            </w:r>
            <w:r>
              <w:rPr>
                <w:b w:val="0"/>
                <w:webHidden/>
                <w:sz w:val="20"/>
                <w:szCs w:val="20"/>
              </w:rPr>
              <w:t>29</w:t>
            </w:r>
            <w:r w:rsidRPr="001E6EF5">
              <w:rPr>
                <w:b w:val="0"/>
                <w:webHidden/>
                <w:sz w:val="20"/>
                <w:szCs w:val="20"/>
              </w:rPr>
              <w:fldChar w:fldCharType="end"/>
            </w:r>
          </w:hyperlink>
        </w:p>
        <w:p w14:paraId="17D2C465" w14:textId="577E6D0D" w:rsidR="001E6EF5" w:rsidRPr="001E6EF5" w:rsidRDefault="001E6EF5">
          <w:pPr>
            <w:pStyle w:val="TOC1"/>
            <w:rPr>
              <w:rFonts w:asciiTheme="minorHAnsi" w:eastAsiaTheme="minorEastAsia" w:hAnsiTheme="minorHAnsi" w:cstheme="minorBidi"/>
              <w:b w:val="0"/>
              <w:sz w:val="20"/>
              <w:szCs w:val="20"/>
              <w:lang w:val="en-US"/>
            </w:rPr>
          </w:pPr>
          <w:hyperlink w:anchor="_Toc106188906" w:history="1">
            <w:r w:rsidRPr="001E6EF5">
              <w:rPr>
                <w:rStyle w:val="Hyperlink"/>
                <w:b w:val="0"/>
                <w:sz w:val="20"/>
                <w:szCs w:val="20"/>
              </w:rPr>
              <w:t>Afsnit 28: Immunitet mod retsforfølgelse</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_Toc106188906 \h </w:instrText>
            </w:r>
            <w:r w:rsidRPr="001E6EF5">
              <w:rPr>
                <w:b w:val="0"/>
                <w:webHidden/>
                <w:sz w:val="20"/>
                <w:szCs w:val="20"/>
              </w:rPr>
            </w:r>
            <w:r w:rsidRPr="001E6EF5">
              <w:rPr>
                <w:b w:val="0"/>
                <w:webHidden/>
                <w:sz w:val="20"/>
                <w:szCs w:val="20"/>
              </w:rPr>
              <w:fldChar w:fldCharType="separate"/>
            </w:r>
            <w:r>
              <w:rPr>
                <w:b w:val="0"/>
                <w:webHidden/>
                <w:sz w:val="20"/>
                <w:szCs w:val="20"/>
              </w:rPr>
              <w:t>29</w:t>
            </w:r>
            <w:r w:rsidRPr="001E6EF5">
              <w:rPr>
                <w:b w:val="0"/>
                <w:webHidden/>
                <w:sz w:val="20"/>
                <w:szCs w:val="20"/>
              </w:rPr>
              <w:fldChar w:fldCharType="end"/>
            </w:r>
          </w:hyperlink>
        </w:p>
        <w:p w14:paraId="0BC50D65" w14:textId="0047574E" w:rsidR="001E6EF5" w:rsidRPr="001E6EF5" w:rsidRDefault="001E6EF5">
          <w:pPr>
            <w:pStyle w:val="TOC1"/>
            <w:rPr>
              <w:rFonts w:asciiTheme="minorHAnsi" w:eastAsiaTheme="minorEastAsia" w:hAnsiTheme="minorHAnsi" w:cstheme="minorBidi"/>
              <w:b w:val="0"/>
              <w:sz w:val="20"/>
              <w:szCs w:val="20"/>
              <w:lang w:val="en-US"/>
            </w:rPr>
          </w:pPr>
          <w:hyperlink w:anchor="_Toc106188907" w:history="1">
            <w:r w:rsidRPr="001E6EF5">
              <w:rPr>
                <w:rStyle w:val="Hyperlink"/>
                <w:b w:val="0"/>
                <w:sz w:val="20"/>
                <w:szCs w:val="20"/>
              </w:rPr>
              <w:t>Afsnit 29: Forkyndelse af meddelelser eller påbud udstedt i henhold til afsnit 10</w:t>
            </w:r>
            <w:r w:rsidRPr="001E6EF5">
              <w:rPr>
                <w:b w:val="0"/>
                <w:webHidden/>
                <w:sz w:val="20"/>
                <w:szCs w:val="20"/>
              </w:rPr>
              <w:tab/>
            </w:r>
            <w:r w:rsidRPr="001E6EF5">
              <w:rPr>
                <w:b w:val="0"/>
                <w:webHidden/>
                <w:sz w:val="20"/>
                <w:szCs w:val="20"/>
              </w:rPr>
              <w:fldChar w:fldCharType="begin"/>
            </w:r>
            <w:r w:rsidRPr="001E6EF5">
              <w:rPr>
                <w:b w:val="0"/>
                <w:webHidden/>
                <w:sz w:val="20"/>
                <w:szCs w:val="20"/>
              </w:rPr>
              <w:instrText xml:space="preserve"> PAGEREF _Toc106188907 \h </w:instrText>
            </w:r>
            <w:r w:rsidRPr="001E6EF5">
              <w:rPr>
                <w:b w:val="0"/>
                <w:webHidden/>
                <w:sz w:val="20"/>
                <w:szCs w:val="20"/>
              </w:rPr>
            </w:r>
            <w:r w:rsidRPr="001E6EF5">
              <w:rPr>
                <w:b w:val="0"/>
                <w:webHidden/>
                <w:sz w:val="20"/>
                <w:szCs w:val="20"/>
              </w:rPr>
              <w:fldChar w:fldCharType="separate"/>
            </w:r>
            <w:r>
              <w:rPr>
                <w:b w:val="0"/>
                <w:webHidden/>
                <w:sz w:val="20"/>
                <w:szCs w:val="20"/>
              </w:rPr>
              <w:t>30</w:t>
            </w:r>
            <w:r w:rsidRPr="001E6EF5">
              <w:rPr>
                <w:b w:val="0"/>
                <w:webHidden/>
                <w:sz w:val="20"/>
                <w:szCs w:val="20"/>
              </w:rPr>
              <w:fldChar w:fldCharType="end"/>
            </w:r>
          </w:hyperlink>
        </w:p>
        <w:p w14:paraId="2FFEEE6D" w14:textId="219F96BD" w:rsidR="003C524C" w:rsidRPr="003E288A" w:rsidRDefault="003C524C" w:rsidP="009A3E29">
          <w:pPr>
            <w:rPr>
              <w:rFonts w:ascii="Times New Roman" w:hAnsi="Times New Roman" w:cs="Times New Roman"/>
            </w:rPr>
          </w:pPr>
          <w:r w:rsidRPr="001E6EF5">
            <w:rPr>
              <w:rFonts w:ascii="Times New Roman" w:hAnsi="Times New Roman" w:cs="Times New Roman"/>
              <w:bCs/>
              <w:sz w:val="20"/>
              <w:szCs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lastRenderedPageBreak/>
        <w:br w:type="page"/>
      </w:r>
    </w:p>
    <w:p w14:paraId="6E508D09" w14:textId="23854510" w:rsidR="00511749" w:rsidRPr="008273CD" w:rsidRDefault="00511749" w:rsidP="008273CD">
      <w:pPr>
        <w:pStyle w:val="Heading1"/>
        <w:jc w:val="center"/>
        <w:rPr>
          <w:sz w:val="28"/>
          <w:szCs w:val="28"/>
        </w:rPr>
      </w:pPr>
      <w:bookmarkStart w:id="11" w:name="_Toc106188866"/>
      <w:r>
        <w:rPr>
          <w:sz w:val="28"/>
        </w:rPr>
        <w:lastRenderedPageBreak/>
        <w:t>Kapitel 1: Indledning</w:t>
      </w:r>
      <w:bookmarkEnd w:id="11"/>
    </w:p>
    <w:p w14:paraId="4DB9FF2C" w14:textId="5BDDEC7E" w:rsidR="00A7406B" w:rsidRPr="00835148" w:rsidRDefault="00A7406B" w:rsidP="00883C74">
      <w:pPr>
        <w:pStyle w:val="Heading1"/>
      </w:pPr>
      <w:bookmarkStart w:id="12" w:name="_Toc106188867"/>
      <w:r>
        <w:t>Afsnit 1: Supplerende definitioner for del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I dette afsnit hedder det:</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I denne del:</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"Bemyndiget embedsmand" fortolkes i overensstemmelse med punkt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"Bot” er en automatiseret onlinekonto, et softwareprogram eller en proces, hvor alle eller i det væsentlige alle handlinger eller opslag på kontoen, i programmet eller processen ikke er resultatet af en person.</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"Desinformation" forstås i denne del og denne lov som enhver falsk eller vildledende valginformation på internettet, der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kan forvolde offentlig skade, og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på grund af arten og karakteren af dets indhold, kontekst eller enhver anden relevant omstændighed giver anledning til den konklusion, at det blev skabt eller formidlet for at bedrage</w:t>
      </w:r>
      <w:bookmarkEnd w:id="13"/>
      <w: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"Valgkampagneperiode" forstås:</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som en periode (herunder en valgperiode), der bliver fastsat fra tid til anden og i forbindelse med ethvert valg eller en folkeafstemning fra Kommissionens side, som begynder på en dato før et forestående valg eller en folkeafstemning og slutter på valgdagen på det tidspunkt, hvor valghandlingerne afsluttes, og hvor datoer fastsættes i en meddelelse offentliggjort af Kommissionen på en måde, den finder passende, mindst syv dage før den tidligere dato,</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som den periode, der begynder tre måneder før den seneste dato, hvor et valg ifølge loven skal afholdes og slutter, når valgperioden udløber, eller</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hvis litra a og b ikke finder anvendelse, valgperioden.</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"Valgperiode” betyder i denne del perioden, der begynder på dagen for vedtagelse af en udskrivelse af valget og slutter på afstemningsdagen på det tidspunkt, hvor afstemningen slutter.</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"Lookalike-målretning” er brug af data fra et eksisterende onlinepublikum til at identificere andre personer, der har lignende karakteristika eller er involveret i lignende aktiviteter på en onlineplatform.</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"Manipulerende eller uautentisk adfærd” er taktikker, teknikker og procedurer, der</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udgør vildledende brug af tjenester eller funktioner, der leveres af onlineplatforme, herunder brugeradfærd, der har til formål kunstigt at forstærke rækkevidden af eller opfattet offentlig støtte til bestemt indhold,</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sandsynligvis vil påvirke de oplysninger, der er synlige for andre brugere af platformen,</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på grund af deres art og karakter, sammenhæng eller enhver anden relevant omstændighed må konkluderes, at de har til formål at føre til spredning, offentliggørelse eller øget udbredelse af falske eller vildledende online-valginformation, og</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kan forårsage offentlig skade.</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"Mikromålretning" er en målretningsmetode, der involverer brug af dataanalyseteknikker og -værktøjer eller andre metoder til at håndtere, overføre eller formidle en skræddersyet politisk onlinereklame enten til en bestemt person eller gruppe af personer eller til at øge udbredelsen, rækkevidden eller synligheden af en politisk onlinereklame.</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"Misinformation" i denne del og denne lov er al falsk eller vildledende onlineinformation for valgprocessen, der kan forårsage offentlig skade, uanset om informationerne blev skabt eller formidlet med viden om deres falskhed eller vildledende karakter eller med nogen hensigt om at forårsage en sådan skade.</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Ved "online-valginformation" betyder:</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eventuel onlineinformation for valgprocessen eller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alt onlineindhold, der vedrører: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en kandidat ved et valg,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et politisk parti, der har kandidater, der stiller op til et valg,</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spørgsmål, der er relevante for et valg, eller</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spørgsmål, der er relevante for en folkeafstemning.</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 xml:space="preserve">"onlineinformation for valgprocessen” er onlineindhold af faktuel karakter vedrørende afholdelsen af et valg eller en folkeafstemning, herunder, men ikke begrænset til, registrering af vælgere eller kandidater, afstemningstider og -steder, ordninger for postafstemning, hemmeligholdelse af stemmesedler, optælling af stemmer og ethvert andet faktuelt indhold vedrørende afholdelsen af et bestemt </w:t>
      </w:r>
      <w:r>
        <w:rPr>
          <w:rFonts w:ascii="Times New Roman" w:hAnsi="Times New Roman"/>
        </w:rPr>
        <w:lastRenderedPageBreak/>
        <w:t>valg eller en bestemt folkeafstemning eller til valg eller folkeafstemninger mere generelt.</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"Onlineplatform” er ethvert offentligt tilgængeligt websted, webapplikation eller digital applikation, der er tilgængelig for offentligheden eller en del af offentligheden, der:</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har mindst 100.000 unikke månedlige brugere i staten i en periode på mindst syv måneder i løbet af de 12 måneder, der går umiddelbart forud for datoen for en udskrivelse af valget, og</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viser indhold med politiske formål, herunder, men ikke begrænset til, politiske onlinereklamer.</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"Politisk onlinereklame" har den betydning, der er angivet i del 4.</w:t>
      </w:r>
    </w:p>
    <w:p w14:paraId="6D559116" w14:textId="5A148C44"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"Politiske formål" har den betydning, der er tillagt den ved afsnit 22, stk. 2, litra aa, i </w:t>
      </w:r>
      <w:hyperlink r:id="rId14">
        <w:r>
          <w:rPr>
            <w:rFonts w:ascii="Times New Roman" w:hAnsi="Times New Roman"/>
            <w:u w:val="single"/>
          </w:rPr>
          <w:t>Electoral Act 1997</w:t>
        </w:r>
      </w:hyperlink>
      <w: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Ved "udskrivelse af valget" forstås en udskrivelse foretaget af ministeren om udnævnelse af en dag for afholdelse af en afstemning, som:</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tilfælde af et Dáil-valg foretages i henhold til afsnit 96 i </w:t>
      </w:r>
      <w:r>
        <w:rPr>
          <w:u w:val="single"/>
        </w:rPr>
        <w:t>Electoral Act 1992,</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tilfælde af valg til Europa-Parlamentet foretages i henhold til afsnit 10 i </w:t>
      </w:r>
      <w:r>
        <w:rPr>
          <w:u w:val="single"/>
        </w:rPr>
        <w:t>Act of 1997,</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tilfælde af lokalvalg foretages i henhold til afsnit 26 i </w:t>
      </w:r>
      <w:r>
        <w:rPr>
          <w:u w:val="single"/>
        </w:rPr>
        <w:t>Local Government Act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tilfælde af et præsidentvalg foretages i henhold til afsnit 6, stk. 1, litra c, i </w:t>
      </w:r>
      <w:r>
        <w:rPr>
          <w:u w:val="single"/>
        </w:rPr>
        <w:t>Presidential Elections Act 1993</w:t>
      </w:r>
      <w:r>
        <w:t>,</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i tilfælde af en folkeafstemning foretages i henhold til afsnit 10 eller afsnit 12 i </w:t>
      </w:r>
      <w:r>
        <w:rPr>
          <w:u w:val="single"/>
        </w:rPr>
        <w:t>Act of 1994</w:t>
      </w:r>
      <w:r>
        <w:t>, eller</w:t>
      </w:r>
    </w:p>
    <w:p w14:paraId="4B10A3B0" w14:textId="6155E27F"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i tilfælde af et valg til det irske Senat foretages i henhold til afsnit 12 i </w:t>
      </w:r>
      <w:hyperlink r:id="rId15">
        <w:r>
          <w:rPr>
            <w:u w:val="single"/>
          </w:rPr>
          <w:t>Seanad Electoral</w:t>
        </w:r>
      </w:hyperlink>
      <w:r>
        <w:t>(</w:t>
      </w:r>
      <w:r>
        <w:rPr>
          <w:u w:val="single"/>
        </w:rPr>
        <w:t>University Members) Act 1937 og i henhold til afsnit 24 i Seanad Electoral (Panel Members) Act 1947,</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"Offentlig skade” er enhver alvorlig trussel mod rimeligheden eller integriteten af et valg eller en folkeafstemning.</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 xml:space="preserve">"Anbefalingssystem” er et helt eller delvist automatiseret system, der anvendes af en onlineplatform til at foreslå specifikke oplysninger til tjenemodtagerne i sin onlinegrænseflade, herunder som følge af en søgning indledt af modtageren, eller </w:t>
      </w:r>
      <w:r>
        <w:rPr>
          <w:rFonts w:ascii="Times New Roman" w:hAnsi="Times New Roman"/>
        </w:rPr>
        <w:lastRenderedPageBreak/>
        <w:t>på anden måde bestemme den relative rækkefølge eller fremtrædende placering af de viste oplysninger.</w:t>
      </w:r>
    </w:p>
    <w:p w14:paraId="3DB1D383" w14:textId="68215284" w:rsidR="00FE377C" w:rsidRPr="00835148" w:rsidRDefault="00FE377C" w:rsidP="00883C74">
      <w:pPr>
        <w:pStyle w:val="Heading1"/>
      </w:pPr>
      <w:bookmarkStart w:id="14" w:name="_Toc106188868"/>
      <w:r>
        <w:t>Afsnit 2: Kommissionens funktioner med hensyn til online-valginformation og manipulerende eller uautentisk adfærd</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I dette afsnit hedder det:</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Det er Kommissionens opgave at beskytte rimeligheden og integriteten af valg og folkeafstemninger i overensstemmelse med denne del.</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Kommissionen har til opgave at overvåge, undersøge og bekæmpe udbredelsen af:</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desinformation og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misinformation.</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Det er Kommissionens opgave at overvåge, undersøge og identificere manipulerende eller uautentisk adfærd.</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Det er Kommissionens opgave at overvåge, undersøge og identificere tendenser med hensyn til: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desinformation,</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misinformation og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manipulerende eller uautentisk adfærd.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Det er Kommissionens opgave at fremme offentlighedens bevidsthed om misinformation, desinformation og manipulerende eller uautentisk adfærd, og den kan oprette eller fremme uddannelses- eller informationsprogrammer med henblik på udøvelsen af denne funktion.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Kommissionen har beføjelse til at indgå kontrakter og andre aftaler med personer eller institutioner i staten eller andetsteds.</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8886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Afsnit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Det rådgivende udvalgs oprettelse og rolle</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I dette afsnit hedder det:</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Kommissionen opretter et rådgivende udvalg for online-valginformation (i denne del benævnt "det rådgivende udvalg") til at rådgive Kommissionen.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Det rådgivende udvalg rådgiver efter anmodning og, hvis det er relevant, på eget initiativ Kommissionen om: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lastRenderedPageBreak/>
        <w:t>arten og virkningen af desinformation og misinformation, og,</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hvor det er praktisk muligt, om Kommissionens anvendelse af dens beføjelser i henhold til denne del.</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Det rådgivende udvalg består af højst seks personer udpeget af Kommissionen med ekspertise i:</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valg- og folkeafstemningsprocessen i staten,</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fremme rimelighed og integritet i forbindelse med valg og folkeafstemninger og</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anvendelse af informationsteknologi og onlineformidling af oplysninger i forbindelse med valg og folkeafstemninger.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88870"/>
      <w:bookmarkEnd w:id="66"/>
      <w:bookmarkEnd w:id="67"/>
      <w:bookmarkEnd w:id="68"/>
      <w:bookmarkEnd w:id="69"/>
      <w:bookmarkEnd w:id="70"/>
      <w:r>
        <w:t>Afsnit 4: Interessentrådets oprettelse og rolle</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I dette afsnit hedder det</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Kommissionen opretter et interessentråd, der skal rådgive Kommissionen om udarbejdelse og anvendelse af adfærdskodekser.</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Interessentrådet skal bestå af højst 15 personer, der udpeges af Kommissionen til at afspejle synspunkterne hos medlemmerne af det irske parlament samt synspunkterne i trykte, tv- og online-medier og i individuelle politiske partier.</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Kapitel 2: Forpligtelser for brugere af onlineplatforme og på onlineplatforme</w:t>
      </w:r>
    </w:p>
    <w:p w14:paraId="202A1993" w14:textId="5E0AEEEA" w:rsidR="00BF3C23" w:rsidRDefault="00BF3C23" w:rsidP="00883C74">
      <w:pPr>
        <w:pStyle w:val="Heading1"/>
      </w:pPr>
      <w:bookmarkStart w:id="72" w:name="_Toc106188871"/>
      <w:r>
        <w:t>[Afsnit 5 er slettet]</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188872"/>
      <w:r>
        <w:t>Afsnit 6: Onlineplatformes forpligtelse til at give oplysninger til Kommissionen</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I dette afsnit hedder det:</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Hvis en onlineplatform i løbet af en valgkampagneperiode er tilfreds med oplysninger, som den er bekendt med, herunder via en indberetning, der modtages via en klagemekanisme, der er oprettet i henhold til afsnit 7, kan dens tjenester anvendes med henblik på: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desinformation,</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misinformation, eller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manipulerende eller uautentisk adfærd,</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onlineplatformen underretter Kommissionen om en sådan desinformation, misinformation eller manipulerende eller uautentisk adfærd uden unødig forsinkelse.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Med forbehold for stk. 1 skal en onlineplatform med over 1 mio. unikke månedlige brugere i staten hurtigst muligt ved begyndelsen af en valgkampagneperiode udarbejde og fremsende en rapport til Kommissionen, hvori der redegøres for eventuelle væsentlige risici for rimeligheden eller integriteten af et valg eller en folkeafstemning, som desinformation, misinformation eller manipulerende eller uautentisk adfærd på dens tjenester udgør.</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Den rapport, der er nævnt i afsnit 2, skal mindst omfatte:</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oplysninger om udbredelsen af relevant misinformation og desinformation i onlineplatformens tjeneste, herunder meddelelser modtaget under afsnit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oplysninger om forekomsten af manipulerende eller uautentisk adfærd på onlineplatformens tjeneste, herunder meddelelser modtaget under afsnit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oplysninger om forekomsten af mikromålretning eller lookalike-målretning på de tjenester, der leveres af onlineplatformen, og</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 xml:space="preserve">oplysninger om eventuelle risici i forbindelse med driften af ethvert anbefalingssystem, der anvendes af onlineplatformen til at distribuere og fremme indhold.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Oplysningerne i den rapport, der er omhandlet i punkt 2, skal omfatte ikke-tekniske resuméer af de forhold, der er anført i punkt 3, litra a til 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Kommissionen overvåger onlineplatformes overholdelse af denne chefs krav. </w:t>
      </w:r>
    </w:p>
    <w:p w14:paraId="629AD04A" w14:textId="4B923B99" w:rsidR="00AD5419" w:rsidRPr="00835148" w:rsidRDefault="00AD5419" w:rsidP="00883C74">
      <w:pPr>
        <w:pStyle w:val="Heading1"/>
      </w:pPr>
      <w:bookmarkStart w:id="74" w:name="_Toc106188873"/>
      <w:r>
        <w:t>Afsnit 7: Onlineplatforms forpligtelse til at indføre indberetningsmekanisme</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I dette afsnit hedder det:</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Onlineplatforme indfører mekanismer, der gør det muligt for enhver person eller enhed at indberette tilstedeværelsen på platformene af oplysninger, som den pågældende person eller enhed anser for at være:</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desinformation, eller</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misinformation.</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Onlineplatforme indfører mekanismer, der gør det muligt for enhver person eller enhed at indberette tilstedeværelsen i deres tjeneste af specifikke aktiviteter eller adfærd med hensyn til online-valginformation, som den pågældende person eller enhed anser for at udgøre manipulerende eller uautentisk adfærd.</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De mekanismer, der er omhandlet i stk. 1 og 2 skal være lette at få adgang til, brugervenlige og gøre det muligt udelukkende at indgive indberetninger ad elektronisk vej.</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Onlineplatforme vurderer, behandler og fastslår uden unødig forsinkelse gyldigheden af de betænkeligheder, der rejses i forbindelse med indberetninger modtaget i henhold til stk. 1 eller 2.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Onlineplatforme fører en fortegnelse over alle de indberetninger, der modtages i henhold til stk. 1 eller 2 og resultatet af den beslutningsproces, der er omhandlet i stk. 4, i en periode på to år efter udløbet af den relevante valgperiode.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Onlineplatforme stiller de i stk. 5 omhandlede fortegnelser til rådighed for Kommissionen med henblik på inspektion med passende varsel.</w:t>
      </w:r>
    </w:p>
    <w:p w14:paraId="2A6361BF" w14:textId="6F696EA4" w:rsidR="00AD5419" w:rsidRPr="008273CD" w:rsidRDefault="00AD5419" w:rsidP="001E6EF5">
      <w:pPr>
        <w:pStyle w:val="Heading1"/>
        <w:keepNext/>
        <w:jc w:val="center"/>
        <w:rPr>
          <w:sz w:val="28"/>
          <w:szCs w:val="28"/>
        </w:rPr>
      </w:pPr>
      <w:bookmarkStart w:id="75" w:name="_Toc106188874"/>
      <w:r>
        <w:rPr>
          <w:sz w:val="28"/>
        </w:rPr>
        <w:t>Kapitel 3: Kommissionens beføjelser</w:t>
      </w:r>
      <w:bookmarkEnd w:id="75"/>
    </w:p>
    <w:p w14:paraId="289914F5" w14:textId="47AA4F6A" w:rsidR="00511749" w:rsidRPr="00835148" w:rsidRDefault="00511749" w:rsidP="00883C74">
      <w:pPr>
        <w:pStyle w:val="Heading1"/>
      </w:pPr>
      <w:bookmarkStart w:id="76" w:name="_Toc106188875"/>
      <w:r>
        <w:lastRenderedPageBreak/>
        <w:t>Afsnit 8: Kommissionens overvågning af online-valginformation og undersøgelser vedrørende samme</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t>I dette afsnit hedder det:</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Kommissionen kan med henblik på udførelsen af sine funktioner i henhold til denne del overvåge online-valginformation.</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Hvis Kommissionen har grund til at tro, at bestemte online-valginformation kan</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udgøre desinformation,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udgøre misinformation eller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involvere manipulerende eller uautentisk adfærd, herunder anvendelse af skjulte bots,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kan Kommissionen gennemgå eller undersøge, eller udpege en bemyndiget embedsmand til at gennemgå eller undersøge ethvert sådant spørgsmål.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Kommissionen kan foretage sådanne undersøgelser, som den finder hensigtsmæssige, eller pålægge en bemyndiget embedsmand at foretage sådanne undersøgelser, og Kommissionen eller en bemyndiget embedsmand kan kræve, at enhver person straks fremlægger alle oplysninger, dokumenter eller ting, som den pågældende person er i besiddelse af eller køber, og som Kommissionen eller den bemyndigede embedsmand måtte kræve med henblik på en undersøgelse.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Alle bemyndigede embedsmænds undersøgelsesbeføjelser i henhold til del 4 med hensyn til politiske onlinereklamer eller andet skal kunne udøves </w:t>
      </w:r>
      <w:r>
        <w:rPr>
          <w:rFonts w:ascii="Times New Roman" w:hAnsi="Times New Roman"/>
          <w:i/>
        </w:rPr>
        <w:t xml:space="preserve">mutatis mutandis </w:t>
      </w:r>
      <w:r>
        <w:rPr>
          <w:rFonts w:ascii="Times New Roman" w:hAnsi="Times New Roman"/>
        </w:rPr>
        <w:t xml:space="preserve">for så vidt angår Kommissionens funktioner i henhold til denne del på samme måde med hensyn til falsk (eller vildledende) online-valginformation og manipulerende eller uautentisk adfærd. </w:t>
      </w:r>
    </w:p>
    <w:p w14:paraId="2712EF5A" w14:textId="77777777" w:rsidR="000F1EE0" w:rsidRDefault="000F1EE0" w:rsidP="0054587C">
      <w:pPr>
        <w:pStyle w:val="ListParagraph"/>
        <w:ind w:left="1418"/>
        <w:jc w:val="both"/>
        <w:rPr>
          <w:rFonts w:ascii="Times New Roman" w:hAnsi="Times New Roman" w:cs="Times New Roman"/>
          <w:szCs w:val="24"/>
          <w:lang w:val="en-IE"/>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Hvis en bemyndiget embedsmand indgiver en rapport til Kommissionen om falsk (eller vildledende) online-valginformation eller manipulerende eller uautentisk adfærd i henhold til stk. 5, tager Kommissionen hensyn til denne rapport, alle indgivelser og eventuelle henstillinger fra den bemyndigede embedsmand eller ansatte i Kommissionen, der forelægges den.</w:t>
      </w:r>
    </w:p>
    <w:p w14:paraId="0E40789A" w14:textId="77777777" w:rsidR="000F1EE0" w:rsidRPr="0054587C" w:rsidRDefault="000F1EE0" w:rsidP="0054587C">
      <w:pPr>
        <w:pStyle w:val="ListParagraph"/>
        <w:rPr>
          <w:rFonts w:ascii="Times New Roman" w:hAnsi="Times New Roman" w:cs="Times New Roman"/>
          <w:szCs w:val="24"/>
          <w:lang w:val="en-IE"/>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Kommissionen kan, når den finder det hensigtsmæssigt, opfordre enhver person, som der efter den bemyndigede medarbejders eller ansattes opfattelse er rimelig grund til at antage muligvis overtræder, kan have overtrådt eller har overtrådt sine forpligtelser i henhold til denne del, til at fremsætte yderligere skriftlige indgivelser til Kommissionen inden for den frist, den har fastsat i forbindelse </w:t>
      </w:r>
      <w:r>
        <w:rPr>
          <w:rFonts w:ascii="Times New Roman" w:hAnsi="Times New Roman"/>
        </w:rPr>
        <w:lastRenderedPageBreak/>
        <w:t xml:space="preserve">med udtalelsen, og den rapport, som den bemyndigede embedsmand eller ansatte har forelagt Kommissionen. </w:t>
      </w:r>
    </w:p>
    <w:p w14:paraId="3F5C6539" w14:textId="77777777" w:rsidR="000F1EE0" w:rsidRPr="0054587C" w:rsidRDefault="000F1EE0" w:rsidP="0054587C">
      <w:pPr>
        <w:pStyle w:val="ListParagraph"/>
        <w:rPr>
          <w:rFonts w:ascii="Times New Roman" w:hAnsi="Times New Roman" w:cs="Times New Roman"/>
          <w:szCs w:val="24"/>
          <w:lang w:val="en-IE"/>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Efter gennemgang af rapporten og eventuelle henstillinger fra den bemyndigede embedsmand i henhold til stk. 5 eller en ansat i Kommissionen og eventuelle yderligere indgivelser i henhold til stk. 6, kan Kommissionen </w:t>
      </w:r>
    </w:p>
    <w:p w14:paraId="21B60AE3" w14:textId="77777777" w:rsidR="000F1EE0" w:rsidRDefault="000F1EE0" w:rsidP="000F1EE0">
      <w:pPr>
        <w:pStyle w:val="ListParagraph"/>
        <w:ind w:left="1418"/>
        <w:jc w:val="both"/>
        <w:rPr>
          <w:rFonts w:ascii="Times New Roman" w:hAnsi="Times New Roman" w:cs="Times New Roman"/>
          <w:szCs w:val="24"/>
          <w:lang w:val="en-IE"/>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ikke træffe yderligere foranstaltninger,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hvis den finder det godtgjort, at en overtrædelse finder sted eller har fundet sted, udøve en af de beføjelser, der er til rådighed under afsnit 10, over for enhver person, som efter Kommissionens opfattelse overtræder eller har overtrådt kravene i denne del,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offentliggøre rapporten om undersøgelsen, eller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hvis den finder det godtgjort, at en overtrædelse finder sted eller har fundet sted, indlede retsforfølgning for enhver overtrædelse, der måtte være begået i overensstemmelse med afsnit 24, 25 og 26.</w:t>
      </w:r>
    </w:p>
    <w:p w14:paraId="7DA53FB5" w14:textId="77777777" w:rsidR="0038298A" w:rsidRDefault="0038298A" w:rsidP="0096718D">
      <w:pPr>
        <w:pStyle w:val="ListParagraph"/>
        <w:spacing w:before="240" w:after="240"/>
        <w:ind w:left="1440"/>
        <w:contextualSpacing w:val="0"/>
        <w:jc w:val="both"/>
        <w:rPr>
          <w:rFonts w:ascii="Times New Roman" w:hAnsi="Times New Roman" w:cs="Times New Roman"/>
          <w:szCs w:val="24"/>
          <w:lang w:val="en-IE"/>
        </w:rPr>
      </w:pPr>
    </w:p>
    <w:p w14:paraId="57A69D5C" w14:textId="27364FBC" w:rsidR="00231DDE" w:rsidRPr="00883C74" w:rsidRDefault="00231DDE" w:rsidP="003354AE">
      <w:pPr>
        <w:pStyle w:val="Heading1"/>
      </w:pPr>
      <w:bookmarkStart w:id="77" w:name="_Toc106188876"/>
      <w:r>
        <w:t>Afsnit 8A: Delegation af Kommissionens beføjelser til den administrerende direktør (eller et andet medlem af Kommissionen)</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I dette afsnit hedder det:</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Kommissionen kan ved et påbud delegere udøvelsen af sine beføjelser under afsnit 10, som Kommissionen finder passende, til Kommissionens administrerende direktør (eller til et andet medlem af Kommissionen), og den administrerende direktør (eller et andet medlem af Kommissionen) udfører de opgaver, der er passende i forhold til de beføjelser, der er uddelegeret på denne måde, og træffer med henblik herpå afgørelse i stedet for Kommissionen.</w:t>
      </w:r>
    </w:p>
    <w:p w14:paraId="0566BE66" w14:textId="77777777" w:rsidR="00473A30" w:rsidRDefault="00473A30" w:rsidP="004A5780">
      <w:pPr>
        <w:pStyle w:val="ListParagraph"/>
        <w:ind w:left="1440"/>
        <w:jc w:val="both"/>
        <w:rPr>
          <w:rFonts w:ascii="Times New Roman" w:hAnsi="Times New Roman" w:cs="Times New Roman"/>
          <w:lang w:val="en-IE"/>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Når en delegation er foretaget i henhold til stk. 2:</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a) </w:t>
      </w:r>
      <w:r>
        <w:rPr>
          <w:rFonts w:ascii="Times New Roman" w:hAnsi="Times New Roman"/>
        </w:rPr>
        <w:tab/>
        <w:t>skal den administrerende direktør for Kommissionen (eller et andet medlem af Kommissionen) udøve de delegerede beføjelser under Kommissionens generelle ledelse og kontrol,</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 xml:space="preserve">b) </w:t>
      </w:r>
      <w:r>
        <w:rPr>
          <w:rFonts w:ascii="Times New Roman" w:hAnsi="Times New Roman"/>
        </w:rPr>
        <w:tab/>
        <w:t xml:space="preserve">skal den administrerende direktør for Kommissionen (eller et andet medlem af Kommissionen) udøve de delegerede beføjelser i overensstemmelse med eventuelle begrænsninger i delegationen for så </w:t>
      </w:r>
      <w:r>
        <w:rPr>
          <w:rFonts w:ascii="Times New Roman" w:hAnsi="Times New Roman"/>
        </w:rPr>
        <w:lastRenderedPageBreak/>
        <w:t>vidt angår den periode, i hvilken eller i hvilket omfang han eller hun skal udøve denne beføjelse,</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 xml:space="preserve">c) </w:t>
      </w:r>
      <w:r>
        <w:rPr>
          <w:rFonts w:ascii="Times New Roman" w:hAnsi="Times New Roman"/>
        </w:rPr>
        <w:tab/>
        <w:t>skal en bestemmelse i eller i henhold til denne eller enhver anden retsakt, der tillægger Kommissionen beføjelser eller regulerer den måde, hvorpå en beføjelse skal udøves, få, hvis og i det omfang den finder anvendelse på de delegerede beføjelser, virkning med henblik på udøvelsen af beføjelserne af den administrerende direktør (eller et andet medlem af Kommissionen) med udskiftning af Kommissionens administrerende direktør (eller et andet medlem af Kommissionen) til Kommissionen, og enhver sådan bestemmelse læses i overensstemmelse hermed.</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Hvis en beføjelse delegeres i henhold til dette afsnit, overdrages beføjelsen fortsat til Kommissionen, men den overdrages samtidig med den administrerende direktør for Kommissionen (eller et andet medlem af Kommissionen), som den er delegeret til, og således at den kan udøves af enten Kommissionen eller den administrerende direktør for Kommissionen (eller et andet medlem af Kommissionen).</w:t>
      </w:r>
    </w:p>
    <w:p w14:paraId="0D79649F" w14:textId="77777777" w:rsidR="00B95721" w:rsidRPr="00406C29" w:rsidRDefault="00B95721" w:rsidP="004A5780">
      <w:pPr>
        <w:pStyle w:val="ListParagraph"/>
        <w:ind w:left="1440"/>
        <w:jc w:val="both"/>
        <w:rPr>
          <w:rFonts w:ascii="Times New Roman" w:hAnsi="Times New Roman" w:cs="Times New Roman"/>
          <w:lang w:val="en-IE"/>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Kommissionen kan ved et påbud ændre eller tilbagekalde en delegation, der er foretaget i henhold til dette afsnit.</w:t>
      </w:r>
    </w:p>
    <w:p w14:paraId="770C7821" w14:textId="77777777" w:rsidR="00B95721" w:rsidRPr="00406C29" w:rsidRDefault="00B95721" w:rsidP="004A5780">
      <w:pPr>
        <w:pStyle w:val="ListParagraph"/>
        <w:ind w:left="1440"/>
        <w:jc w:val="both"/>
        <w:rPr>
          <w:rFonts w:ascii="Times New Roman" w:hAnsi="Times New Roman" w:cs="Times New Roman"/>
          <w:lang w:val="en-IE"/>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Kommissionen kan til enhver tid forelægge materiale eller oplysninger, der hidrører fra en undersøgelse i henhold til afsnit 8, herunder enhver rapport udarbejdet af en bemyndiget embedsmand, til Kommissionens administrerende direktør (eller et andet medlem af Kommissionen) og gør dette, hvis det skønnes, at oplysningerne kan være nødvendige for at muliggøre en korrekt udøvelse af beføjelser i henhold til afsnit 10, som har uddelegeret til Kommissionens administrerende direktør (eller et andet medlem af Kommissionen) i henhold til dette afsnit.</w:t>
      </w:r>
    </w:p>
    <w:p w14:paraId="04BCABA0" w14:textId="77777777" w:rsidR="00375AED" w:rsidRPr="00850779" w:rsidRDefault="00375AED" w:rsidP="004A5780">
      <w:pPr>
        <w:pStyle w:val="ListParagraph"/>
        <w:ind w:left="1440"/>
        <w:jc w:val="both"/>
        <w:rPr>
          <w:rFonts w:ascii="Times New Roman" w:hAnsi="Times New Roman" w:cs="Times New Roman"/>
          <w:lang w:val="en-IE"/>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Enhver mangel ved en delegation i henhold til dette afsnit eller fraværet af en delegation med hensyn til en beføjelse, der udøves af Kommissionens administrerende direktør (eller et andet medlem af Kommissionen), der handler i god tro på vegne af Kommissionen, kan ikke i sig selv ophæve udøvelsen af beføjelser i henhold til afsnit 10 af Kommissionens administrerende direktør (eller et andet medlem af Kommissionen).</w:t>
      </w:r>
    </w:p>
    <w:p w14:paraId="13115A0C" w14:textId="613F3A09" w:rsidR="00CF5CC6" w:rsidRPr="00835148" w:rsidRDefault="00CF5CC6" w:rsidP="001E6EF5">
      <w:pPr>
        <w:pStyle w:val="Heading1"/>
        <w:keepNext/>
        <w:jc w:val="center"/>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88877"/>
      <w:bookmarkEnd w:id="78"/>
      <w:bookmarkEnd w:id="79"/>
      <w:bookmarkEnd w:id="80"/>
      <w:bookmarkEnd w:id="81"/>
      <w:bookmarkEnd w:id="82"/>
      <w:bookmarkEnd w:id="83"/>
      <w:bookmarkEnd w:id="84"/>
      <w:bookmarkEnd w:id="85"/>
      <w:bookmarkEnd w:id="86"/>
      <w:bookmarkEnd w:id="87"/>
      <w:bookmarkEnd w:id="88"/>
      <w:r>
        <w:t>Afsnit 9: Krav til udøvelsen af Kommissionens beføjelser i henhold til denne del</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Kommissionen udøver kun sine beføjelser i henhold til afsnit 10, hvis Kommissionen finder det godtgjort, at det er i offentlighedens interesse at gøre dette, under hensyntagen til alle omstændigheder, herunder rettighederne for </w:t>
      </w:r>
      <w:r>
        <w:rPr>
          <w:rFonts w:ascii="Times New Roman" w:hAnsi="Times New Roman"/>
        </w:rPr>
        <w:lastRenderedPageBreak/>
        <w:t>enhver person, som Kommissionen ved, kan blive berørt af udøvelsen af sådanne beføjelser.</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Med forbehold af stk. 1 skal Kommissionen ved behandlingen af anvendelsen af beføjelserne i henhold til afsnit 10 tage behørigt hensyn til følgende forhold:</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den forfatningsmæssige ret til ytringsfrihed,</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den forfatningsmæssige ret til foreningsfrihed,</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den forfatningsmæssige ret til at deltage i offentlige anliggender, og</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statens forfatningsmæssige forpligtelse til at forsvare og sikre rimeligheden og integriteten af valg og folkeafstemninger.</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Ved vurderingen af udøvelsen af de beføjelser, der er omhandlet i afsnit 10, tager Kommissionen desuden hensyn til følgende spørgsmål: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behovet for at sikre en økonomisk og effektiv udnyttelse af Kommissionens ressourcer,</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den pågældende trussels væsentlighed, da den vedrører valgets eller folkeafstemningens overordnede integritet og rimelighed,</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eventuelle retningslinjer, der er offentliggjort i henhold til stk. 3 i dette afsnit.</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Kommissionen fastsætter retningslinjer for om Kommissionen, eller hvis der er udstedt en delegationspåbud under afsnit 8A, Kommissionens administrerende direktør (eller et andet medlem af Kommissionen) på behørig vis udøver Kommissionens beføjelser i henhold til denne del. Disse retningslinjer kan omfatte:</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foranstaltninger til at sikre, at udøvelsen af Kommissionens beføjelser er gennemsigtig for offentligheden og i overensstemmelse med bedste internationale praksis,</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foranstaltninger, der skal være retningsgivende for Kommissionens vurdering af væsentlighed med henblik på udøvelsen af sine beføjelser i henhold til dette afsnit eller ethvert af dem.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Enhver meddelelse eller et påbud, der udstedes i henhold til afsnit 10, skal: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indeholde en begrundelse for Kommissionens opfattelse af, at det er hensigtsmæssigt at udstede en sådan meddelelse eller et sådant påbud,</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angive det klokkeslæt og den dato, inden for hvilken den person, som meddelelsen eller påbuddet er rettet til, skal efterkomme meddelelsen </w:t>
      </w:r>
      <w:r>
        <w:rPr>
          <w:rFonts w:ascii="Times New Roman" w:hAnsi="Times New Roman"/>
        </w:rPr>
        <w:lastRenderedPageBreak/>
        <w:t>eller påbuddet,</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angive dato og klokkeslæt for, hvornår den person, som en meddelelse eller et påbud er rettet til, skal bekræfte over for Kommissionen, at meddelelsen eller påbuddet er blevet efterkommet,</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angive, at den person, som meddelelsen eller påbuddet er rettet til, kan appellere meddelelsen eller påbuddet i henhold til afsnit 15, og at en sådan appel skal indgives via portalen på Kommissionens websted inden for en frist på syv dage fra meddelelsen eller påbuddet,</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anføre, at hvis en sådan appel ikke fremsættes i overensstemmelse med afsnit 15, anses meddelelsen eller påbuddet for ikke at være bestridt,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angive, at manglende overholdelse af en meddelelse eller et påbud kan medføre, at der pålægges en administrativ bøde, og</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angive, at det er strafbart ikke at efterkomme en meddelelse eller et påbud, der er udstedt i henhold til afsnit 10.</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For at undgå tvivl kan Kommissionen beslutte, at det under hensyntagen til alle omstændigheder er hensigtsmæssigt at udstede mere end én meddelelse eller ét påbud i forbindelse med det samme onlineindhold eller -adfærd.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88878"/>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Afsnit 10: Kommissionens beføjelser</w:t>
      </w:r>
      <w:bookmarkEnd w:id="435"/>
    </w:p>
    <w:p w14:paraId="69E362D2" w14:textId="5A36DF05" w:rsidR="003C524C" w:rsidRPr="00835148" w:rsidRDefault="003C524C" w:rsidP="00F6269D">
      <w:pPr>
        <w:pStyle w:val="Heading2"/>
      </w:pPr>
      <w:bookmarkStart w:id="436" w:name="_Toc106188879"/>
      <w:r>
        <w:t>Afsnit 10(i): Beføjelse til at udstede en meddelelse om fjernelse af indhold</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I dette afsnit hedder det:</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Hvis:</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Kommissionen i løbet af valgkampagneperioden finder det godtgjort ud fra den tilgængelige information, uanset om de er indhentet via dens overvågning af online-valginformation eller indgivet af en anden person eller på anden måde, at eventuel online-valginformation udgør desinformation, eller</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Kommissionen til enhver tid med de tilgængelige oplysninger finder det godtgjort, uanset om de er indhentet via overvågning af online-valginformation eller indgivet af en anden person eller på anden måde, at eventuel onlineinformation for valgprocessen udgør misinformation,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 xml:space="preserve">og hvis Kommissionen finder det godtgjort, at det er nødvendigt at udstede en sådan meddelelse for at beskytte rimeligheden eller integriteten af valget eller folkeafstemningen, kan Kommissionen udstede en meddelelse om fjernelse af indhold, hvori det kræves, at enhver fysisk eller juridisk person, herunder </w:t>
      </w:r>
      <w:r>
        <w:rPr>
          <w:rFonts w:ascii="Times New Roman" w:hAnsi="Times New Roman"/>
        </w:rPr>
        <w:lastRenderedPageBreak/>
        <w:t>enhver operatør eller vært for en onlineplatform, inden for en bestemt frist fjerner det indhold, som meddelelsen om fjernelse af indhold vedrører.</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En meddelelse i henhold til dette afsnit skal:</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indeholde en begrundelse for Kommissionens udtalelse om, at betingelserne i stk. 1 er opfyldt,</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indeholde den nøjagtige onlineplacering for den online-valginformation, der er omhandlet i stk. 1, litra a eller b, og om nødvendigt alle yderligere data, der gør det muligt at identificere informationen,</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indeholde en erklæring fra Kommissionen om de online-valginformationer, der er omhandlet i stk. 1, litra a eller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underrette modtageren om, at han eller hun skal foranledige, at erklæringen i litra c anbringes på den onlineplacering, der er omhandlet i litra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underrette modtageren om retten til appellere meddelelsen i henhold til afsnit 15 inden for fem dage.</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Den i stk. 3, litra c, omhandlede erklæring skal klart angive: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at der er tale om en forskriftsmæssig erklæring, der skal offentliggøres i henhold til en meddelelse fra Kommissionen om fjernelse af visse former for indhold, der er synligt på den pågældende onlineplacering, og som Kommissionen har krævet i henhold til dette afsnit,</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at denne handling er truffet, fordi det indhold, der tidligere blev offentliggjort på stedet, udgjorde desinformation eller misinformation,</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en sammenfatning af årsagerne til Kommissionens udtalelse om, at det var nødvendigt at kræve fjernelse af informationen for at beskytte rimeligheden eller integriteten af valget eller folkeafstemningen, alt efter hvad der er relevant, og</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at enhver fysisk eller juridisk person, der er direkte berørt af meddelelsen, kan appellere meddelelsen i henhold til afsnit 15 inden for fem dage.</w:t>
      </w:r>
    </w:p>
    <w:p w14:paraId="75DC705B" w14:textId="2F2F5DC7" w:rsidR="003C524C" w:rsidRPr="00835148" w:rsidRDefault="003C524C" w:rsidP="00F6269D">
      <w:pPr>
        <w:pStyle w:val="Heading2"/>
        <w:spacing w:before="480" w:after="240"/>
      </w:pPr>
      <w:bookmarkStart w:id="437" w:name="_Toc97143779"/>
      <w:bookmarkStart w:id="438" w:name="_Toc106188880"/>
      <w:bookmarkEnd w:id="437"/>
      <w:r>
        <w:t>Afsnit 10(ii): Beføjelse til at udstede en ændringsmeddelelse</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I dette afsnit hedder det:</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Hvis:</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Kommissionen i løbet af valgkampagneperioden finder det godtgjort ud fra den tilgængelige information, uanset om de er indhentet via dens overvågning af online-valginformation eller indgivet af en anden person eller på anden måde, at eventuel online-valginformation udgør desinformation, eller</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Kommissionen til enhver tid med de tilgængelige oplysninger finder det godtgjort, uanset om de er indhentet via dens overvågning af online-valginformation eller indgivet af en anden person eller på anden måde, at eventuel onlineinformation for valgprocessen udgør misinformation,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og hvis Kommissionen finder det godtgjort, at det er nødvendigt at udstede en sådan meddelelse for at beskytte rimeligheden eller integriteten af valget eller folkeafstemningen, og han eller hun kan udstede en ændringsmeddelelse, der pålægger enhver fysisk eller juridisk person, som den er rettet til, herunder enhver operatør eller vært for en onlineplatform, at meddele alle slutbrugere en erklæring, der er foreskrevet af Kommissionen i henhold til dette afsnit.</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En meddelelse i henhold til dette afsnit skal:</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medtage en begrundelse for </w:t>
      </w:r>
      <w:bookmarkStart w:id="439" w:name="_Hlk103674927"/>
      <w:r>
        <w:rPr>
          <w:rFonts w:ascii="Times New Roman" w:hAnsi="Times New Roman"/>
        </w:rPr>
        <w:t>Kommissionens</w:t>
      </w:r>
      <w:bookmarkEnd w:id="439"/>
      <w:r>
        <w:rPr>
          <w:rFonts w:ascii="Times New Roman" w:hAnsi="Times New Roman"/>
        </w:rPr>
        <w:t xml:space="preserve"> opfattelse af, at betingelserne i stk. 1 er opfyldt,</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indeholde den nøjagtige onlineplacering for den online-valginformation, der er omhandlet i stk. 1, litra a eller b, og om nødvendigt alle yderligere data, der gør det muligt at identificere informationen,</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indeholde en erklæring fra Kommissionen om de online-valginformationer, der er omhandlet i stk. 1, litra a eller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underrette modtageren om, at han eller hun skal foranledige, at erklæringen i litra c anbringes på den onlineplacering, der er omhandlet i litra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underrette modtageren om retten til appellere meddelelsen i henhold til afsnit 15 inden for fem dage.</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Den i stk. 3, litra c, omhandlede erklæring skal klart angive:</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at det er en foreskrevet erklæring, der skal offentliggøres i henhold til en ændringsmeddelelse udstedt af Kommissionen, i henhold til hvilken Kommissionen i henhold til dette afsnit har krævet, at bestemt indhold, </w:t>
      </w:r>
      <w:r>
        <w:rPr>
          <w:rFonts w:ascii="Times New Roman" w:hAnsi="Times New Roman"/>
        </w:rPr>
        <w:lastRenderedPageBreak/>
        <w:t>der er synligt på den pågældende onlineplacering, korrigeres,</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at denne handling er truffet, fordi indholdet på onlineplaceringen udgjorde desinformation eller misinformation,</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en sammenfatning af begrundelsen for Kommissionens opfattelse af, at det under alle omstændigheder var hensigtsmæssigt at udstede en ændringsmeddelelse, og</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at enhver fysisk eller juridisk person, der er direkte berørt af meddelelsen, kan appellere meddelelsen i henhold til afsnit 15 inden for fem dage.</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Den i stk. 3, litra c, omhandlede erklæring kan også indeholde en eller flere af følgende:</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en erklæring, hvori det angives, i hvilke henseender indholdet var falsk eller vildledende,</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en korrekt meddelelse om oplysninger, og</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de supplerende oplysninger eller erklæringer, som Kommissionen finder hensigtsmæssige under hensyntagen til alle omstændighederne. </w:t>
      </w:r>
    </w:p>
    <w:p w14:paraId="67658C98" w14:textId="74DD1000" w:rsidR="003C524C" w:rsidRPr="00835148" w:rsidRDefault="003C524C" w:rsidP="00F6269D">
      <w:pPr>
        <w:pStyle w:val="Heading2"/>
        <w:spacing w:before="480" w:after="240"/>
      </w:pPr>
      <w:bookmarkStart w:id="440" w:name="_Toc106188881"/>
      <w:r>
        <w:t>Afsnit 10(iii): Beføjelse til at udstede en mærkningspåbud</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I dette afsnit hedder det:</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Hvis:</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Kommissionen i løbet af valgkampagneperioden finder det godtgjort ud fra den tilgængelige information, uanset om de er indhentet via dens overvågning af online-valginformation eller indgivet af en anden person eller på anden måde, at eventuel online-valginformation udgør desinformation, eller</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Kommissionen til enhver tid med de tilgængelige oplysninger finder det godtgjort, uanset om de er indhentet via dens overvågning af online-valginformation eller indgivet af en anden person eller på anden måde, at eventuel onlineinformation for valgprocessen udgør misinformation,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og hvis Kommissionen finder det godtgjort, at udstedelsen af et sådant påbud under alle omstændigheder er hensigtsmæssig, kan han eller hun i afventning af en yderligere undersøgelse fra Kommissionens side udstede et mærkningspåbud, der pålægger onlineplatformen at oplyse, at det pågældende </w:t>
      </w:r>
      <w:r>
        <w:rPr>
          <w:rFonts w:ascii="Times New Roman" w:hAnsi="Times New Roman"/>
        </w:rPr>
        <w:lastRenderedPageBreak/>
        <w:t xml:space="preserve">indhold i øjeblikket undersøges af Kommissionen i henhold til denne del for at afgøre, om der er tale om desinformation eller misinformation.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Et påbud i henhold til dette afsnit skal:</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indeholde en begrundelse for Kommissionens udtalelse om, at betingelserne i stk. 1 er opfyldt,</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indeholde den nøjagtige onlineplacering for den online-valginformation, der er omhandlet i stk. 1, litra a eller b, og om nødvendigt alle yderligere data, der gør det muligt at identificere informationen,</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indeholde en erklæring fra Kommissionen om de online-valginformationer, der er omhandlet i stk. 1, litra a eller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underrette modtageren om, at han eller hun skal foranledige, at erklæringen i litra c anbringes på den onlineplacering, der er omhandlet i litra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underrette modtageren om retten til at appellere påbuddet i henhold til afsnit 15 inden for fem dage.</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Den i stk. 3, litra c, omhandlede erklæring skal klart angive: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at der er tale om en erklæring, der skal offentliggøres i henhold til et mærkningspåbud udstedt af Kommissionen i henhold til dette afsnit, hvis han eller hun er af den opfattelse, at den pågældende erklæring kan indeholde desinformation eller misinformation,</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at udstedelsen af påbuddet ikke er en konstatering af, at indholdet enten er desinformation eller misinformation,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en sammenfatning af grundene til, at Kommissionen mener, at kravene i stk. 1 er opfyldt,</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at der vil blive truffet afgørelse om, hvorvidt indholdet er desinformation eller misinformation, indtil der er foretaget yderligere undersøgelser, og</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at enhver fysisk eller juridisk person, der er direkte berørt af påbuddet, kan appellere påbuddet i henhold til afsnit 15 inden for fem dage.</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Påbuddet kan også indeholde sådanne yderligere oplysninger eller erklæringer, som Kommissionen finder hensigtsmæssige under hensyntagen til alle omstændighederne.</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Kommissionen træffer den afgørelse, der er omhandlet i afsnit 3, litra d, så snart det med rimelighed er praktisk muligt, og skal derefter enten:</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give den person, som mærkningspåbuddet blev rettet til, meddelelse om, at mærkningspåbuddet er blevet tilbagekaldt, eller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udøve en anden magt, som han eller hun anser for nødvendig.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Hvis Kommissionen giver den i stk. 6, litra a, omhandlede vejledning, skal den i stk. 3 omhandlede erklæring nedtages. </w:t>
      </w:r>
    </w:p>
    <w:p w14:paraId="309394E6" w14:textId="6B40018E" w:rsidR="003C524C" w:rsidRPr="00835148" w:rsidRDefault="003C524C" w:rsidP="00F6269D">
      <w:pPr>
        <w:pStyle w:val="Heading2"/>
        <w:spacing w:before="480" w:after="240"/>
      </w:pPr>
      <w:bookmarkStart w:id="441" w:name="_Toc106188882"/>
      <w:r>
        <w:t>Afsnit 10(iv): Beføjelse til at udstede et påbud om adgangsblokering</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I dette afsnit hedder det:</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Hvis:</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Kommissionen i løbet af valgkampagneperioden finder det godtgjort ud fra tilgængelig information, uanset om de er indhentet via dens overvågning af online-valginformation eller indgivet af en anden person eller på anden måde, i forbindelse med en tidligere identificeret onlineplacering, at eventuel online-valginformation udgør desinformation, eller</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Kommissionen på et hvilket som helst tidspunkt i løbet af valgperioden (eller valgkampagneperioden) eller på anden måde finder det godtgjort ud fra tilgængelig information, uanset om den er indhentet via dens overvågning af online-valginformation eller indgivet af en anden person eller på anden måde, i forbindelse med en tidligere identificeret onlineplacering, at eventuel onlineinformation for valgprocessen udgør misinformation,</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og hvis Kommissionen finder det godtgjort, at udstedelsen af et sådant påbud er nødvendig for at beskytte rimeligheden eller integriteten af valget eller folkeafstemningen, kan den pågældende udstede et påbud om adgangsblokering, der pålægger enhver operatør eller vært for en onlineplatform at tage rimelige skridt til at deaktivere slutbrugernes adgang til onlineplaceringen.</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En "tidligere identificeret onlineplacering" under dette afsnit er en onlineplacering, hvor to eller flere tidligere forskellige dele af onlineindhold har været genstand for meddelelser i henhold til dette afsnit inden for samme valgperiode, hvilken valgperiode er den samme som den valgperiode, for hvilken det foreslås at afgive påbuddet om adgangsblokering.</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Et påbud i henhold til dette afsnit skal:</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indeholde en begrundelse for Kommissionens udtalelse om, at betingelserne i stk. 1 er opfyldt,</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indeholde den nøjagtige, tidligere identificerede onlineplacering for de online-valginformationer, der er omhandlet i stk. 1, litra a eller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indeholde en erklæring, som Kommissionen har foreskrevet med hensyn til den tidligere identificerede onlineplacering,</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underrette modtageren om, at han eller hun skal foranledige, at erklæringen i litra c anbringes på den tidligere identificerede onlineplacering, der er omhandlet i litra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underrette modtageren om retten til at appellere påbuddet i henhold til afsnit 15 inden for fem dage.</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Den i stk. 3, litra c, omhandlede erklæring skal klart angive: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at der er udstedt et påbud om adgangsblokering i henhold til dette afsnit,</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en sammenfatning af grundene til, at Kommissionen har afgivet påbuddet, og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yderligere oplysninger, som måtte være foreskrevet i retningslinjer, eller som Kommissionen under alle omstændigheder anser for nødvendige eller hensigtsmæssige.</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Påbuddet kan også indeholde sådanne yderligere oplysninger eller erklæringer, som Kommissionen finder hensigtsmæssige under hensyntagen til alle omstændighederne.</w:t>
      </w:r>
    </w:p>
    <w:p w14:paraId="10614316" w14:textId="276DB608" w:rsidR="003C524C" w:rsidRPr="00835148" w:rsidRDefault="003C524C" w:rsidP="00F6269D">
      <w:pPr>
        <w:pStyle w:val="Heading2"/>
        <w:spacing w:before="480" w:after="240"/>
        <w:jc w:val="both"/>
      </w:pPr>
      <w:bookmarkStart w:id="442" w:name="_Toc106188883"/>
      <w:r>
        <w:t>Afsnit 10 (v): Beføjelser til at regulere manipulerende eller uautentisk adfærd, herunder skjult bot-aktivitet</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I dette afsnit hedder det: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Hvis Kommissionen i løbet af valgkampen finder det godtgjort, at</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bot-aktivitet, der udgør manipulerende eller uautentisk adfærd eller anvendelse af en skjult bot i strid med afsnit 24, finder sted eller har fundet sted, og</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det er nødvendigt at udstede en meddelelse i henhold til dette underafsnit for at beskytte rimeligheden eller integriteten af et valg eller en folkeafstemning,</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lastRenderedPageBreak/>
        <w:t>kan Kommissionen udstede en meddelelse, hvori den pålægger enhver operatør eller vært for en onlineplatform at offentliggøre en erklæring, der informerer alle berørte slutbrugere om manipulerende eller uautentisk adfærd eller anvendelse af en skjult bot, der er i strid med afsnit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Den erklæring, der skal offentliggøres i henhold til stk. 1, skal klart angive: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at Kommissionen i medfør af dette afsnit har udstedt en meddelelse om bot-aktivitet,</w:t>
      </w:r>
      <w:r>
        <w:rPr>
          <w:rFonts w:ascii="Times New Roman" w:hAnsi="Times New Roman"/>
        </w:rPr>
        <w:t xml:space="preserve"> der udgør manipulerende eller uautentisk adfærd,</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at denne handling er blevet truffet, fordi bot-aktiviteten truede rimeligheden eller integriteten af et kommende valg eller en folkeafstemning,</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en begrundelse </w:t>
      </w:r>
      <w:r>
        <w:rPr>
          <w:rFonts w:ascii="Times New Roman" w:hAnsi="Times New Roman"/>
          <w:bdr w:val="none" w:sz="0" w:space="0" w:color="auto" w:frame="1"/>
        </w:rPr>
        <w:t>for Kommissionens udtalelse om, at det var hensigtsmæssigt at kræve mærkning af aktiviteten under alle omstændigheder, og</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at enhver fysisk eller juridisk person, der er direkte berørt af meddelelsen, kan appellere meddelelsen i henhold til afsnit 15 inden for fem dage.</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Hvis Kommissionen i løbet af valgperioden finder det godtgjort, at</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der er forekommet manipulerende eller uautentisk adfærd (herunder hvis en sådan adfærd indebærer brug af bots), og</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det er nødvendigt at udstede en meddelelse i henhold til dette underafsnit for at beskytte rimeligheden eller integriteten af et valg eller en folkeafstemning,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kan Kommissionen udstede en meddelelse, hvori den pålægger enhver operatør eller vært for en onlineplatform at tage rimelige skridt til at fjerne eller forhindre en sådan adfærd.</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En meddelelse i henhold til stk. 3 skal klart angive, at</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Kommissionen i medfør af dette afsnit har udstedt en meddelelse om, at den pågældende adfærd bringes til ophør, fordi den er blevet identificeret som </w:t>
      </w:r>
      <w:r>
        <w:rPr>
          <w:rFonts w:ascii="Times New Roman" w:hAnsi="Times New Roman"/>
        </w:rPr>
        <w:t>manipulerende eller uautentisk adfærd,</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Kommissionen har truffet denne foranstaltning, fordi den identificerede aktivitet truede rimeligheden eller integriteten af et kommende valg eller en folkeafstemning, og</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en begrundelse </w:t>
      </w:r>
      <w:r>
        <w:rPr>
          <w:rFonts w:ascii="Times New Roman" w:hAnsi="Times New Roman"/>
          <w:bdr w:val="none" w:sz="0" w:space="0" w:color="auto" w:frame="1"/>
        </w:rPr>
        <w:t>for Kommissionens opfattelse, at det var hensigtsmæssigt at kræve fjernelse af oplysningerne, og</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lastRenderedPageBreak/>
        <w:t>at enhver fysisk eller juridisk person, der er direkte berørt af meddelelsen, kan appellere meddelelsen i henhold til afsnit 15 inden for fem dage.</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88884"/>
      <w:bookmarkEnd w:id="443"/>
      <w:bookmarkEnd w:id="444"/>
      <w:bookmarkEnd w:id="445"/>
      <w:r>
        <w:t>(Afsnit 11 er blevet slettet)</w:t>
      </w:r>
      <w:bookmarkEnd w:id="446"/>
    </w:p>
    <w:p w14:paraId="18188DF2" w14:textId="449D75DA" w:rsidR="00351F7D" w:rsidRPr="00835148" w:rsidRDefault="00351F7D" w:rsidP="00883C74">
      <w:pPr>
        <w:pStyle w:val="Heading1"/>
      </w:pPr>
      <w:bookmarkStart w:id="447" w:name="_Toc106188885"/>
      <w:r>
        <w:t>Afsnit 12: Begæring til retten om et påbud om overholdelse af en meddelelse eller et påbud</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I dette afsnit hedder det:</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Kommissionen kan begære High Court om et påbud om overholdelse af en meddelelse eller et påbud, der er udstedt i henhold til afsnit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En sådan begæring fremsættes efter meddelelse til den person, for hvem meddelelsen eller påbuddet er blevet forkyndt for Kommissionen. </w:t>
      </w:r>
    </w:p>
    <w:p w14:paraId="5E0785DB" w14:textId="67DB838A" w:rsidR="00351F7D" w:rsidRPr="00835148" w:rsidRDefault="00351F7D" w:rsidP="00883C74">
      <w:pPr>
        <w:pStyle w:val="Heading1"/>
      </w:pPr>
      <w:bookmarkStart w:id="448" w:name="_Toc106188886"/>
      <w:r>
        <w:t>Afsnit 13: Beføjelse til at udstede advarsler til offentligheden om aktiviteter, der kan forstyrre rimeligheden eller integriteten af et valg eller en folkeafstemning</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I dette afsnit hedder det:</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Kommissionen kan kommunikere med offentligheden eller en hvilken som helst del af offentligheden i forbindelse med falsk (eller vildledende) online-valginformation, falsk (eller vildledende) valgprocesinformation eller anvendelse af manipulerende eller uautentisk adfærd, hvis den finder en sådan kommunikation hensigtsmæssig for at fremme dens uddannelsesmæssige funktioner eller andre funktioner.</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Kommissionen kan også udstede advarsler til offentligheden, hvis den mener, at der er en trussel mod rimeligheden eller integriteten af et valg eller en folkeafstemning, således at det er i offentlighedens interesse at henlede opmærksomheden på en sådan opfattet trussel. Enhver sådan meddelelse kan bl.a. angive arten, kilden og alvoren af den opfattede trussel, og alle foranstaltninger, som Kommissionen foreslår at træffe eller overveje i forbindelse hermed, samt eventuelle henstillinger om, at offentligheden eller andre skal gribe ind over for den. </w:t>
      </w:r>
    </w:p>
    <w:p w14:paraId="01439B97" w14:textId="1CBD8DEF" w:rsidR="00351F7D" w:rsidRPr="00835148" w:rsidRDefault="00351F7D" w:rsidP="00883C74">
      <w:pPr>
        <w:pStyle w:val="Heading1"/>
      </w:pPr>
      <w:bookmarkStart w:id="449" w:name="_Toc106188887"/>
      <w:r>
        <w:t>Afsnit 14: Mekanisme for offentligheden til at indberette formodede tilfælde af desinformation, misinformation og manipulerende eller uautentisk adfærd</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I dette afsnit hedder det:</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Kommissionen kan stille en facilitet til direkte indberetning til rådighed på sit eget websted, som gør det muligt for offentligheden at indberette:</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lastRenderedPageBreak/>
        <w:t>formodede tilfælde af misinformation i valgperioden (eller valgkampagneperioden),</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formodede tilfælde af misinformation på et hvilket som helst tidspunkt, eller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mistanke om manipulerende eller uautentisk adfærd, herunder skjult anvendelse af bots, i valgperioden (eller valgkampagneperioden).</w:t>
      </w:r>
    </w:p>
    <w:p w14:paraId="11CA4728" w14:textId="1F80FCE0" w:rsidR="00351F7D" w:rsidRPr="008273CD" w:rsidRDefault="00351F7D" w:rsidP="008273CD">
      <w:pPr>
        <w:pStyle w:val="Heading1"/>
        <w:jc w:val="center"/>
        <w:rPr>
          <w:sz w:val="28"/>
          <w:szCs w:val="28"/>
        </w:rPr>
      </w:pPr>
      <w:bookmarkStart w:id="450" w:name="_Toc106188888"/>
      <w:r>
        <w:rPr>
          <w:sz w:val="28"/>
        </w:rPr>
        <w:t>Kapitel 4: Proceduremæssige rettigheder</w:t>
      </w:r>
      <w:bookmarkEnd w:id="450"/>
    </w:p>
    <w:p w14:paraId="27E6F90E" w14:textId="54105180" w:rsidR="003C524C" w:rsidRPr="00835148" w:rsidRDefault="003C524C" w:rsidP="00883C74">
      <w:pPr>
        <w:pStyle w:val="Heading1"/>
      </w:pPr>
      <w:bookmarkStart w:id="451" w:name="_Toc106188889"/>
      <w:r>
        <w:t>Afsnit 15: Ret til at appellere en meddelelse eller et påbud</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I dette afsnit hedder det</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Der kan appelleres til en appelinstans i Kommissionen for så vidt angår enhver meddelelse eller påbud, der er forkyndt i henhold til afsnit 10, senest tre dage efter den dato, hvor meddelelsen eller påbuddet blev forkyndt, men indgivelsen af en appel må ikke, indtil appellen er afsluttet, påvirke gennemførelsen af meddelelsen eller påbuddet, medmindre appelinstansen under hensyntagen til, at der foreligger ekstraordinære omstændigheder, bestemmer andet.</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En appel i henhold til litra a kan indgives af enhver fysisk eller juridisk person, der er direkte berørt af meddelelsen eller påbuddet, herunder en onlineplatform.</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c) En appel kan ikke accepteres, medmindre den er indgivet af en fysisk person (på egne vegne eller på vegne af en navngivet juridisk person), og denne fysiske person skal oplyse sit PPS-nummer, sit kontakttelefonnummer og opfylde andre krav, der måtte være foreskrevet for at sikre appellantens gode tro, således som det måtte være angivet af Kommissionen.</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En appel i henhold til stk.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skal ske skriftligt via en portal, der stilles til rådighed på Kommissionens websted til dette formål,</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skal angive alle de grunde, der ligger til grund for appellen, og forelægge appelinstansen alle de dokumenter og beviser, der skal påberåbes til støtte for disse grunde, og </w:t>
      </w:r>
    </w:p>
    <w:p w14:paraId="0DEB6A4E" w14:textId="327C0A1F" w:rsidR="007A3BB8" w:rsidRPr="003A319A" w:rsidRDefault="004D74F5" w:rsidP="008273CD">
      <w:pPr>
        <w:spacing w:before="240" w:after="240"/>
        <w:ind w:left="1440"/>
        <w:jc w:val="both"/>
      </w:pPr>
      <w:r>
        <w:rPr>
          <w:rFonts w:ascii="Times New Roman" w:hAnsi="Times New Roman"/>
        </w:rPr>
        <w:t xml:space="preserve">c) rettes til formanden for appelinstansen og afleveres eller sendes med henblik på at nå frem til formanden inden for den frist, der er fastsat i stk.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En appelinstans består af et eller flere medlemmer af Kommissionen og skal være uafhængigt af den oprindelige beslutningstager.</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lastRenderedPageBreak/>
        <w:t xml:space="preserve">Appelinstansen træffer afgørelse om en appel uden mundtlig forhandling, medmindre den under hensyntagen til de særlige omstændigheder i appelsagen finder det nødvendigt at afholde en mundtlig høring for at kunne afgøre appellen korrekt og retfærdigt.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Kommissionen kan fastsætte sådanne regler og fastsætte sådanne procedurer i forbindelse med gennemførelsen af appeller og mundtlige høringer, som den finder passende, og offentliggør disse regler og procedurer på et websted, der vedligeholdes af eller på vegne af Kommissionen. </w:t>
      </w:r>
    </w:p>
    <w:p w14:paraId="13095EC5" w14:textId="77777777" w:rsidR="007A3BB8" w:rsidRPr="0054587C" w:rsidRDefault="007A3BB8" w:rsidP="0054587C">
      <w:pPr>
        <w:pStyle w:val="ListParagraph"/>
        <w:rPr>
          <w:rFonts w:ascii="Times New Roman" w:hAnsi="Times New Roman" w:cs="Times New Roman"/>
          <w:szCs w:val="24"/>
          <w:lang w:val="en-IE"/>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Formanden for appelinstansen skal have skønsbeføjelser med hensyn til afholdelsen af en mundtlig høring i henhold til denne afdeling og skal gennemføre høringen eller sikre, at høringen gennemføres hurtigt og uden unødig formaliteter.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Ved afgørelsen af en appel i henhold til denne afdeling: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skal appelinstansen tage stilling til grundene til appellen, der er anført i henhold til stk. 2, litra b,</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skal appelinstansen anse meddelelsen eller påbuddet og alle andre oplysninger i forbindelse med meddelelsen eller påbuddet for at være relevante for afgørelsen, efter dens opfattelse, og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kan appelinstansen, hvis den finder det nødvendigt eller hensigtsmæssigt med henblik på en retfærdig og korrekt afgørelse af appellen, tage hensyn til sådanne indgivelser, dokumenter eller beviser, der ikke er indeholdt i meddelelsen eller påbuddet, som appelinstansen finder passende.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Ved afgørelsen af en appel i henhold til denne afdeling kan appelinstansen, hvis den finder det godtgjort, at det er rimeligt at gøre det,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bekræfte meddelelsen eller påbuddet,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ændre meddelelsen eller påbuddet på sådanne vilkår, som den finder passende, eller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annullere meddelelsen eller påbuddet.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Hvis appelinstansen i appelsagen ændrer meddelelsen eller påbuddet, får meddelelsen eller påbuddet som ændret virkning straks ved afgørelsen af appellen.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Appelinstansen kan med henblik på at sikre en effektiv, retfærdig og rettidig afgørelse af en appel fastsætte procedurer for gennemførelsen af apellen.</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Appelinstansen kan skriftligt anmode om oplysninger fra enhver person inden for den frist, der er fastsat i anmodningen, som det med rimelighed kan kræve med henblik på udførelsen af dets funktioner i henhold til dette afsnit.</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Det er strafbart at indgive en appel i en anden persons navn eller i et falsk navn eller på vegne af et selskab uden samtykke fra selskabets direktører (eller som fastsat i selskabets vedtægter).</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En appel skal behandles og afgøres, så snart det er praktisk muligt.</w:t>
      </w:r>
    </w:p>
    <w:p w14:paraId="2E1EC866" w14:textId="77777777" w:rsidR="003A319A" w:rsidRPr="0054587C" w:rsidRDefault="003A319A" w:rsidP="0054587C">
      <w:pPr>
        <w:spacing w:before="240" w:after="240"/>
        <w:ind w:left="720"/>
        <w:jc w:val="both"/>
        <w:rPr>
          <w:rFonts w:ascii="Times New Roman" w:hAnsi="Times New Roman" w:cs="Times New Roman"/>
          <w:szCs w:val="24"/>
          <w:lang w:val="en-IE"/>
        </w:rPr>
      </w:pPr>
    </w:p>
    <w:p w14:paraId="27844604" w14:textId="4027FC42" w:rsidR="00876C43" w:rsidRDefault="00876C43" w:rsidP="00883C74">
      <w:pPr>
        <w:pStyle w:val="Heading1"/>
      </w:pPr>
      <w:bookmarkStart w:id="452" w:name="_Toc106188890"/>
      <w:r>
        <w:t>Afsnit 15A: Domstolskontrol</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I dette afsnit hedder det</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Intet i denne del skal fortolkes således, at den begrænser den ret, som en person, der berøres af en afgørelse fra Kommissionen, har til at indbringe en anmodning til High Court om at søge om hjælp i form af en begæring om domstolskontrol.</w:t>
      </w:r>
    </w:p>
    <w:p w14:paraId="1E952317" w14:textId="581D568D" w:rsidR="00351F7D" w:rsidRPr="008273CD" w:rsidRDefault="00351F7D" w:rsidP="008273CD">
      <w:pPr>
        <w:pStyle w:val="Heading1"/>
        <w:spacing w:before="480"/>
        <w:jc w:val="center"/>
        <w:rPr>
          <w:sz w:val="28"/>
          <w:szCs w:val="28"/>
        </w:rPr>
      </w:pPr>
      <w:bookmarkStart w:id="453" w:name="_Toc106188891"/>
      <w:r>
        <w:rPr>
          <w:sz w:val="28"/>
        </w:rPr>
        <w:t>Kapitel 5: Adfærdskodekser</w:t>
      </w:r>
      <w:bookmarkEnd w:id="453"/>
    </w:p>
    <w:p w14:paraId="1582C091" w14:textId="1816809C" w:rsidR="00351F7D" w:rsidRPr="00835148" w:rsidRDefault="00351F7D" w:rsidP="00883C74">
      <w:pPr>
        <w:pStyle w:val="Heading1"/>
      </w:pPr>
      <w:bookmarkStart w:id="454" w:name="_Toc106188892"/>
      <w:r>
        <w:t>Afsnit 16: Bekendtgørelse af adfærdskodekser</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I dette afsnit hedder det:</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Kommissionen kan offentliggøre en eller flere adfærdskodekser for så vidt angår online-valginformation eller onlineinformation for valgprocessen.</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En kodeks, der er omhandlet i stk. 1, kan rettes til nogle eller alle: onlineplatforme, kandidater, parter og/eller tredjeparter.</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Forud for offentliggørelsen af en adfærdskodeks som omhandlet i stk. 1 kan Kommissionen rådføre sig med det rådgivende udvalg, interessentrådet og/eller enhver anden gruppe, som Kommissionen indkalder til dette formål.</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En adfærdskodeks, der er offentliggjort i henhold til stk. 1, og som vedrører andre online-valginformationer end onlineinformation for valgprocessen, har kun virkning i en valgperiode.</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Kommissionen kan afgøre, om en adfærdskodeks er en valgfri adfærdskodeks eller en obligatorisk adfærdskodeks.</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Ved offentliggørelsen af en adfærdskodeks i henhold til stk. 1 tager Kommissionen hensyn til følgende principper og politikker:</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behovet for at beskytte de demokratiske værdier i samfundet,</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offentlighedens interesse i at have en velinformeret vælger,</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den trussel mod de demokratiske værdier, som misinformation og desinformation udgør,</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retten til ytringsfrihed,</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retten til forsamlingsfrihed.</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(indsæt andre principper og politikker, hvis det er relevant)</w:t>
      </w:r>
    </w:p>
    <w:p w14:paraId="1A292176" w14:textId="01C4BC6F" w:rsidR="00673C0B" w:rsidRPr="008273CD" w:rsidRDefault="00673C0B" w:rsidP="008273CD">
      <w:pPr>
        <w:pStyle w:val="Heading1"/>
        <w:jc w:val="center"/>
        <w:rPr>
          <w:sz w:val="28"/>
          <w:szCs w:val="28"/>
        </w:rPr>
      </w:pPr>
      <w:bookmarkStart w:id="455" w:name="_Toc106188893"/>
      <w:r>
        <w:rPr>
          <w:sz w:val="28"/>
        </w:rPr>
        <w:t>Kapitel 6: Samarbejde med andre offentlige organer</w:t>
      </w:r>
      <w:bookmarkEnd w:id="455"/>
    </w:p>
    <w:p w14:paraId="36F56B55" w14:textId="1305A307" w:rsidR="00673C0B" w:rsidRPr="00835148" w:rsidRDefault="00673C0B" w:rsidP="00883C74">
      <w:pPr>
        <w:pStyle w:val="Heading1"/>
      </w:pPr>
      <w:bookmarkStart w:id="456" w:name="_Toc106188894"/>
      <w:r>
        <w:t>Afsnit 17: Kommissionen rådfører sig med andre relevante myndigheder</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I dette afsnit hedder det:</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I valgperiodens varighed rådfører Kommissionen sig, hvor det er relevant, med og tager hensyn til oplysninger fra:</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Data Protection Commission,</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An Garda Síochána,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Online Safety Commission, og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kommunikationsministeren, der handler i sin egenskab af kompetent myndighed i henhold til Den Europæiske Unions forordning (foranstaltninger, der skal sikre et højt fælles sikkerhedsniveau for net- og informationssystemer) 2018 (SI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Hvis i en valgperiode (eller valgkampagneperiode) eller inden for seks måneder efter en forventet valgperiode</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Data Protection Commission,</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An Garda Síochána,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Online Safety Commission, eller</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kommunikationsministeren, der handler i sin egenskab af kompetent myndighed i henhold til Den Europæiske Unions forordning (foranstaltninger, der skal sikre et højt fælles </w:t>
      </w:r>
      <w:r>
        <w:rPr>
          <w:rFonts w:ascii="Times New Roman" w:hAnsi="Times New Roman"/>
        </w:rPr>
        <w:lastRenderedPageBreak/>
        <w:t>sikkerhedsniveau for net- og informationssystemer) 2018 (SI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t xml:space="preserve">modtager eller får kendskab til oplysninger om aktiviteter eller tendenser inden for rammerne af dens lovbestemte opgave med potentielle konsekvenser for et valg, underretter denne myndighed straks Kommissionen om de pågældende oplysninger, aktiviteter eller tendenser.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Kommissionen indgår aftaler om udveksling af oplysninger med de organer, der er anført under afsnit 22, stk. 1, litra a-d, som omhandlet i </w:t>
      </w:r>
      <w:r>
        <w:rPr>
          <w:rFonts w:ascii="Times New Roman" w:hAnsi="Times New Roman"/>
          <w:u w:val="single"/>
        </w:rPr>
        <w:t>Data Sharing and Governance Act 2019</w:t>
      </w:r>
      <w:r>
        <w:rPr>
          <w:rFonts w:ascii="Times New Roman" w:hAnsi="Times New Roman"/>
        </w:rPr>
        <w:t>.</w:t>
      </w:r>
    </w:p>
    <w:p w14:paraId="6DF4CF56" w14:textId="66481358" w:rsidR="003C524C" w:rsidRPr="008273CD" w:rsidRDefault="00351F7D" w:rsidP="008273CD">
      <w:pPr>
        <w:pStyle w:val="Heading1"/>
        <w:spacing w:before="480"/>
        <w:jc w:val="center"/>
        <w:rPr>
          <w:sz w:val="28"/>
          <w:szCs w:val="28"/>
        </w:rPr>
      </w:pPr>
      <w:bookmarkStart w:id="457" w:name="_Toc106188895"/>
      <w:r>
        <w:rPr>
          <w:sz w:val="28"/>
        </w:rPr>
        <w:t xml:space="preserve">Kapitel 7: </w:t>
      </w:r>
      <w:bookmarkStart w:id="458" w:name="_Toc99116983"/>
      <w:bookmarkStart w:id="459" w:name="_Toc99122364"/>
      <w:bookmarkEnd w:id="458"/>
      <w:bookmarkEnd w:id="459"/>
      <w:r>
        <w:rPr>
          <w:sz w:val="28"/>
        </w:rPr>
        <w:t>(SLETTET)</w:t>
      </w:r>
      <w:bookmarkEnd w:id="457"/>
    </w:p>
    <w:p w14:paraId="5555D5B7" w14:textId="40896DFF" w:rsidR="00DC775D" w:rsidRPr="00DC775D" w:rsidRDefault="00DC775D" w:rsidP="00883C74">
      <w:pPr>
        <w:pStyle w:val="Heading1"/>
      </w:pPr>
      <w:bookmarkStart w:id="460" w:name="_Toc106188896"/>
      <w:r>
        <w:t>(Afsnit 18 til 20 er slettet)</w:t>
      </w:r>
      <w:bookmarkEnd w:id="460"/>
    </w:p>
    <w:p w14:paraId="630C691C" w14:textId="1F063181" w:rsidR="003C524C" w:rsidRPr="008273CD" w:rsidRDefault="00351F7D" w:rsidP="008273CD">
      <w:pPr>
        <w:pStyle w:val="Heading1"/>
        <w:spacing w:before="480"/>
        <w:jc w:val="center"/>
        <w:rPr>
          <w:sz w:val="28"/>
          <w:szCs w:val="28"/>
        </w:rPr>
      </w:pPr>
      <w:bookmarkStart w:id="461" w:name="_Toc106188897"/>
      <w:r>
        <w:rPr>
          <w:sz w:val="28"/>
        </w:rPr>
        <w:t>Kapitel 8: Overtrædelser og straffe</w:t>
      </w:r>
      <w:bookmarkEnd w:id="461"/>
    </w:p>
    <w:p w14:paraId="6E2943F7" w14:textId="5471FFCF" w:rsidR="003C524C" w:rsidRPr="00835148" w:rsidRDefault="003C524C" w:rsidP="00883C74">
      <w:pPr>
        <w:pStyle w:val="Heading1"/>
      </w:pPr>
      <w:bookmarkStart w:id="462" w:name="_Toc106188898"/>
      <w:r>
        <w:t>Afsnit 21: Overtrædelse af en meddelelse eller et påbud udstedt i henhold til afsnit</w:t>
      </w:r>
      <w:r w:rsidR="001E6EF5">
        <w:t> </w:t>
      </w:r>
      <w:r>
        <w:t>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I dette afsnit hedder det:</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Det er strafbart at undlade at efterkomme en meddelelse eller et påbud, der er udstedt i henhold til afsnit 10.</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En person, der er fundet skyldig i en lovovertrædelse i henhold til dette afsnit, straffes:</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med en klasse A-bøde, fængselsstraf i højst 12 måneder eller begge dele ved summarisk domfældelse, eller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med en bøde eller fængselsstraf, som ikke overstiger 5 år, eller begge dele ved domfældelse efter tiltale.</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88899"/>
      <w:bookmarkEnd w:id="463"/>
      <w:bookmarkEnd w:id="464"/>
      <w:bookmarkEnd w:id="465"/>
      <w:bookmarkEnd w:id="466"/>
      <w:bookmarkEnd w:id="467"/>
      <w:bookmarkEnd w:id="468"/>
      <w:bookmarkEnd w:id="469"/>
      <w:bookmarkEnd w:id="470"/>
      <w:r>
        <w:t>Afsnit 22: Overtrædelse af en obligatorisk adfærdskodeks</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I dette afsnit hedder det: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Det er strafbart for en person, der er omfattet af en obligatorisk adfærdskodeks, at undlade at overholde denne adfærdskodeks i den relevante anvendelsesperiode for adfærdskodeksen.</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En person, der er fundet skyldig i en lovovertrædelse i henhold til dette afsnit, straffes:</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med en klasse A-bøde, fængselsstraf i højst 12 måneder eller begge dele ved summarisk domfældelse, eller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med en bøde eller fængselsstraf, som ikke overstiger 5 år, eller begge dele ved domfældelse efter tiltale.</w:t>
      </w:r>
    </w:p>
    <w:p w14:paraId="316B003E" w14:textId="0274888B" w:rsidR="00CA2822" w:rsidRPr="00835148" w:rsidRDefault="00CA2822" w:rsidP="00883C74">
      <w:pPr>
        <w:pStyle w:val="Heading1"/>
      </w:pPr>
      <w:bookmarkStart w:id="472" w:name="_Toc106188900"/>
      <w:r>
        <w:t>Afsnit 23: Lovovertrædelser i forbindelse med desinformation og misinformation</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I dette afsnit hedder det: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En person, der, eller enhver direktør for et organ eller en forening, som i løbet af valgperioden (eller valgkampagneperioden) med henblik på at påvirke resultatet af et valg eller en folkeafstemning eller for at angribe rimeligheden eller integriteten af det pågældende valg eller folkeafstemning, foretager eller offentliggør: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en falsk erklæring om en kandidats tilbagetrækning fra et valg, eller</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en urigtig erklæring om fakta, der har til formål at få en eller flere vælgere til at afholde sig fra at stemme, herunder, men ikke begrænset til, en erklæring, er misinformation som omhandlet i afsnit 1, eller</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en erklæring online, der foregiver at være fra en anden person,</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begår en lovovertrædelse, medmindre den pågældende kan godtgøre, at han eller hun havde rimelig grund til at tro og troede, at erklæringen var sand.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En person, der er fundet skyldig i en lovovertrædelse i henhold til dette afsnit, straffes:</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med en klasse A-bøde, fængselsstraf i højst 12 måneder eller begge dele ved summarisk domfældelse, eller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med en bøde eller fængselsstraf, som ikke overstiger 5 år, eller begge dele ved domfældelse efter tiltale.</w:t>
      </w:r>
    </w:p>
    <w:p w14:paraId="0DD378A1" w14:textId="5BE0B54F" w:rsidR="00CA2822" w:rsidRPr="00835148" w:rsidRDefault="00CA2822" w:rsidP="00883C74">
      <w:pPr>
        <w:pStyle w:val="Heading1"/>
      </w:pPr>
      <w:bookmarkStart w:id="473" w:name="_Toc106188901"/>
      <w:r>
        <w:t>Afsnit 24: Overtrædelse ved anvendelse af en skjult bot til at vildlede personer med henblik på at påvirke et valg</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I dette afsnit hedder det:</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Enhver person, der bevidst bruger en bot eller får en bot til at blive brugt på en sådan måde, at der genereres flere onlinetilstedeværelser, der:</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lastRenderedPageBreak/>
        <w:t xml:space="preserve">er rettet mod at påvirke resultatet af et valg eller en folkeafstemning,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er konstrueret eller beregnet til at vildlede personer med hensyn til botternes kunstige identitet, og</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kan forårsage offentlig skade,</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t>begår en lovovertrædelse.</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Det skal kunne påvises, at anvendelsen af botten blev afsløret på en måde, der var klar, iøjnefaldende og rimeligt udformet med henblik på at informere personer, som botten interagerede eller kommunikerede med eller havde til hensigt at interagere eller kommunikere med, at den var en bot.</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En person, der er fundet skyldig i en lovovertrædelse i henhold til dette afsnit, straffes:</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med en klasse A-bøde, fængselsstraf i højst 12 måneder eller begge dele ved summarisk domfældelse, eller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med en bøde eller fængselsstraf, som ikke overstiger 5 år, eller begge dele ved domfældelse efter tiltale.</w:t>
      </w:r>
    </w:p>
    <w:p w14:paraId="06DE4E50" w14:textId="40C556CE" w:rsidR="00DC775D" w:rsidRDefault="00DC775D" w:rsidP="001E6EF5">
      <w:pPr>
        <w:pStyle w:val="Heading1"/>
        <w:spacing w:before="120" w:after="120"/>
      </w:pPr>
      <w:bookmarkStart w:id="474" w:name="_Toc106188902"/>
      <w:r>
        <w:t>(Afsnit 25 er slettet)</w:t>
      </w:r>
      <w:bookmarkEnd w:id="474"/>
    </w:p>
    <w:p w14:paraId="36798607" w14:textId="734DB324" w:rsidR="00CA2822" w:rsidRPr="00835148" w:rsidRDefault="00CA2822" w:rsidP="001E6EF5">
      <w:pPr>
        <w:pStyle w:val="Heading1"/>
        <w:spacing w:before="120" w:after="120"/>
      </w:pPr>
      <w:bookmarkStart w:id="475" w:name="_Toc106188903"/>
      <w:r>
        <w:t>Afsnit 26: Overtrædelse af forpligtelser på onlineplatforme</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I dette afsnit hedder det:</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En onlineplatforms manglende overholdelse af sine forpligtelser i henhold til punkt 6 og 7 er en lovovertrædelse.</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En person, der er fundet skyldig i en lovovertrædelse i henhold til dette afsnit, straffes:</w:t>
      </w:r>
    </w:p>
    <w:p w14:paraId="4B7E051A" w14:textId="0E2FAE72" w:rsidR="00B76CA3" w:rsidRPr="00835148" w:rsidRDefault="00B76CA3" w:rsidP="001E6EF5">
      <w:pPr>
        <w:pStyle w:val="ListParagraph"/>
        <w:widowControl w:val="0"/>
        <w:numPr>
          <w:ilvl w:val="0"/>
          <w:numId w:val="110"/>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med en klasse A-bøde, fængselsstraf i højst 12 måneder eller begge dele ved summarisk domfældelse, eller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med en bøde eller fængselsstraf, som ikke overstiger 5 år, eller begge dele ved domfældelse efter tiltale.</w:t>
      </w:r>
    </w:p>
    <w:p w14:paraId="53A21A58" w14:textId="0FC48AF9" w:rsidR="00010433" w:rsidRDefault="00EE2578" w:rsidP="008273CD">
      <w:pPr>
        <w:pStyle w:val="Heading1"/>
        <w:rPr>
          <w:rFonts w:eastAsiaTheme="majorEastAsia"/>
        </w:rPr>
      </w:pPr>
      <w:bookmarkStart w:id="476" w:name="_Toc106188904"/>
      <w:r>
        <w:t>(Afsnit 27 er slettet)</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88905"/>
      <w:r>
        <w:rPr>
          <w:sz w:val="28"/>
        </w:rPr>
        <w:t>Kapitel 9: Diverse bestemmelser</w:t>
      </w:r>
      <w:bookmarkEnd w:id="479"/>
    </w:p>
    <w:p w14:paraId="67BDB5CB" w14:textId="77AE4C8E" w:rsidR="00C21EA1" w:rsidRPr="00835148" w:rsidRDefault="001E6A2D" w:rsidP="00883C74">
      <w:pPr>
        <w:pStyle w:val="Heading1"/>
      </w:pPr>
      <w:bookmarkStart w:id="480" w:name="_Toc106188906"/>
      <w:r>
        <w:t>Afsnit 28: Immunitet mod retsforfølgelse</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lastRenderedPageBreak/>
        <w:t>I dette afsnit hedder det:</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Kommissionen udfører sine opgaver i god tro og i offentlighedens og vælgernes interesse i almindelighed under hensyntagen til de disponible ressourcer.  Der må ikke anlægges sag mod den udelukkende på grund af en påstået manglende opfyldelse af dens formål.</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Der kan ikke anlægges sag mod et medlem af Kommissionen på grund af en handling eller undladelse, der er foretaget under udøvelsen af hans eller hendes hverv i henhold til denne del.</w:t>
      </w:r>
    </w:p>
    <w:p w14:paraId="4F37C77D" w14:textId="3D3028BF" w:rsidR="00C8031E" w:rsidRPr="005647BF" w:rsidRDefault="007A44B6" w:rsidP="00883C74">
      <w:pPr>
        <w:pStyle w:val="Heading1"/>
      </w:pPr>
      <w:bookmarkStart w:id="481" w:name="_Toc99549951"/>
      <w:bookmarkStart w:id="482" w:name="_Toc99550700"/>
      <w:bookmarkStart w:id="483" w:name="_Toc106188907"/>
      <w:bookmarkEnd w:id="481"/>
      <w:bookmarkEnd w:id="482"/>
      <w:r>
        <w:t>Afsnit 29: Forkyndelse af meddelelser eller påbud udstedt i henhold til afsnit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I dette afsnit hedder det:</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Forkyndelse af en meddelelse eller et påbud udstedt i henhold til afsnit 10 skal ske i overensstemmelse med afsnit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Bemærk: Bestemmelserne i dette afsnit er tilpasset fra s. 154 i Local Government Act 2001 (som ændret).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1407365">
    <w:abstractNumId w:val="60"/>
  </w:num>
  <w:num w:numId="2" w16cid:durableId="1298029229">
    <w:abstractNumId w:val="76"/>
  </w:num>
  <w:num w:numId="3" w16cid:durableId="476265177">
    <w:abstractNumId w:val="56"/>
  </w:num>
  <w:num w:numId="4" w16cid:durableId="258761140">
    <w:abstractNumId w:val="50"/>
  </w:num>
  <w:num w:numId="5" w16cid:durableId="1081410638">
    <w:abstractNumId w:val="101"/>
  </w:num>
  <w:num w:numId="6" w16cid:durableId="1416512179">
    <w:abstractNumId w:val="103"/>
  </w:num>
  <w:num w:numId="7" w16cid:durableId="973368365">
    <w:abstractNumId w:val="87"/>
  </w:num>
  <w:num w:numId="8" w16cid:durableId="135343552">
    <w:abstractNumId w:val="72"/>
  </w:num>
  <w:num w:numId="9" w16cid:durableId="614559270">
    <w:abstractNumId w:val="26"/>
  </w:num>
  <w:num w:numId="10" w16cid:durableId="1111438160">
    <w:abstractNumId w:val="30"/>
  </w:num>
  <w:num w:numId="11" w16cid:durableId="108671644">
    <w:abstractNumId w:val="22"/>
  </w:num>
  <w:num w:numId="12" w16cid:durableId="920406146">
    <w:abstractNumId w:val="67"/>
  </w:num>
  <w:num w:numId="13" w16cid:durableId="2072654550">
    <w:abstractNumId w:val="65"/>
  </w:num>
  <w:num w:numId="14" w16cid:durableId="464198294">
    <w:abstractNumId w:val="106"/>
  </w:num>
  <w:num w:numId="15" w16cid:durableId="550389692">
    <w:abstractNumId w:val="36"/>
  </w:num>
  <w:num w:numId="16" w16cid:durableId="1533687084">
    <w:abstractNumId w:val="10"/>
  </w:num>
  <w:num w:numId="17" w16cid:durableId="1052919413">
    <w:abstractNumId w:val="84"/>
  </w:num>
  <w:num w:numId="18" w16cid:durableId="907374993">
    <w:abstractNumId w:val="41"/>
  </w:num>
  <w:num w:numId="19" w16cid:durableId="523129845">
    <w:abstractNumId w:val="28"/>
  </w:num>
  <w:num w:numId="20" w16cid:durableId="1776443126">
    <w:abstractNumId w:val="53"/>
  </w:num>
  <w:num w:numId="21" w16cid:durableId="1247155084">
    <w:abstractNumId w:val="52"/>
  </w:num>
  <w:num w:numId="22" w16cid:durableId="967272814">
    <w:abstractNumId w:val="96"/>
  </w:num>
  <w:num w:numId="23" w16cid:durableId="1458140311">
    <w:abstractNumId w:val="21"/>
  </w:num>
  <w:num w:numId="24" w16cid:durableId="1449663128">
    <w:abstractNumId w:val="6"/>
  </w:num>
  <w:num w:numId="25" w16cid:durableId="1621917650">
    <w:abstractNumId w:val="7"/>
  </w:num>
  <w:num w:numId="26" w16cid:durableId="562719186">
    <w:abstractNumId w:val="27"/>
  </w:num>
  <w:num w:numId="27" w16cid:durableId="1989163418">
    <w:abstractNumId w:val="47"/>
  </w:num>
  <w:num w:numId="28" w16cid:durableId="1065764559">
    <w:abstractNumId w:val="83"/>
  </w:num>
  <w:num w:numId="29" w16cid:durableId="595476127">
    <w:abstractNumId w:val="32"/>
  </w:num>
  <w:num w:numId="30" w16cid:durableId="1210536120">
    <w:abstractNumId w:val="23"/>
  </w:num>
  <w:num w:numId="31" w16cid:durableId="956135607">
    <w:abstractNumId w:val="81"/>
  </w:num>
  <w:num w:numId="32" w16cid:durableId="2082872609">
    <w:abstractNumId w:val="16"/>
  </w:num>
  <w:num w:numId="33" w16cid:durableId="238515580">
    <w:abstractNumId w:val="31"/>
  </w:num>
  <w:num w:numId="34" w16cid:durableId="283779483">
    <w:abstractNumId w:val="94"/>
  </w:num>
  <w:num w:numId="35" w16cid:durableId="1742406964">
    <w:abstractNumId w:val="19"/>
  </w:num>
  <w:num w:numId="36" w16cid:durableId="1494565472">
    <w:abstractNumId w:val="46"/>
  </w:num>
  <w:num w:numId="37" w16cid:durableId="1904293224">
    <w:abstractNumId w:val="89"/>
  </w:num>
  <w:num w:numId="38" w16cid:durableId="1013797741">
    <w:abstractNumId w:val="59"/>
  </w:num>
  <w:num w:numId="39" w16cid:durableId="1765956015">
    <w:abstractNumId w:val="42"/>
  </w:num>
  <w:num w:numId="40" w16cid:durableId="972096263">
    <w:abstractNumId w:val="20"/>
  </w:num>
  <w:num w:numId="41" w16cid:durableId="2045054544">
    <w:abstractNumId w:val="77"/>
  </w:num>
  <w:num w:numId="42" w16cid:durableId="780953108">
    <w:abstractNumId w:val="98"/>
  </w:num>
  <w:num w:numId="43" w16cid:durableId="2021854024">
    <w:abstractNumId w:val="18"/>
  </w:num>
  <w:num w:numId="44" w16cid:durableId="1417283725">
    <w:abstractNumId w:val="64"/>
  </w:num>
  <w:num w:numId="45" w16cid:durableId="2056079651">
    <w:abstractNumId w:val="39"/>
  </w:num>
  <w:num w:numId="46" w16cid:durableId="2029136259">
    <w:abstractNumId w:val="73"/>
  </w:num>
  <w:num w:numId="47" w16cid:durableId="393435857">
    <w:abstractNumId w:val="90"/>
  </w:num>
  <w:num w:numId="48" w16cid:durableId="370081875">
    <w:abstractNumId w:val="60"/>
  </w:num>
  <w:num w:numId="49" w16cid:durableId="1841893861">
    <w:abstractNumId w:val="60"/>
  </w:num>
  <w:num w:numId="50" w16cid:durableId="723454356">
    <w:abstractNumId w:val="2"/>
  </w:num>
  <w:num w:numId="51" w16cid:durableId="1866405093">
    <w:abstractNumId w:val="49"/>
  </w:num>
  <w:num w:numId="52" w16cid:durableId="1933198309">
    <w:abstractNumId w:val="74"/>
  </w:num>
  <w:num w:numId="53" w16cid:durableId="281110141">
    <w:abstractNumId w:val="78"/>
  </w:num>
  <w:num w:numId="54" w16cid:durableId="1447849288">
    <w:abstractNumId w:val="48"/>
  </w:num>
  <w:num w:numId="55" w16cid:durableId="151721611">
    <w:abstractNumId w:val="3"/>
  </w:num>
  <w:num w:numId="56" w16cid:durableId="1311132705">
    <w:abstractNumId w:val="13"/>
  </w:num>
  <w:num w:numId="57" w16cid:durableId="1897625800">
    <w:abstractNumId w:val="12"/>
  </w:num>
  <w:num w:numId="58" w16cid:durableId="1308126095">
    <w:abstractNumId w:val="60"/>
  </w:num>
  <w:num w:numId="59" w16cid:durableId="97911910">
    <w:abstractNumId w:val="75"/>
  </w:num>
  <w:num w:numId="60" w16cid:durableId="1837989693">
    <w:abstractNumId w:val="60"/>
  </w:num>
  <w:num w:numId="61" w16cid:durableId="443698784">
    <w:abstractNumId w:val="60"/>
  </w:num>
  <w:num w:numId="62" w16cid:durableId="1793359855">
    <w:abstractNumId w:val="60"/>
  </w:num>
  <w:num w:numId="63" w16cid:durableId="455103825">
    <w:abstractNumId w:val="69"/>
  </w:num>
  <w:num w:numId="64" w16cid:durableId="778833612">
    <w:abstractNumId w:val="60"/>
  </w:num>
  <w:num w:numId="65" w16cid:durableId="110637495">
    <w:abstractNumId w:val="70"/>
  </w:num>
  <w:num w:numId="66" w16cid:durableId="543834954">
    <w:abstractNumId w:val="66"/>
  </w:num>
  <w:num w:numId="67" w16cid:durableId="2113550592">
    <w:abstractNumId w:val="86"/>
  </w:num>
  <w:num w:numId="68" w16cid:durableId="1926109384">
    <w:abstractNumId w:val="57"/>
  </w:num>
  <w:num w:numId="69" w16cid:durableId="386532930">
    <w:abstractNumId w:val="92"/>
  </w:num>
  <w:num w:numId="70" w16cid:durableId="1305156563">
    <w:abstractNumId w:val="105"/>
  </w:num>
  <w:num w:numId="71" w16cid:durableId="994793855">
    <w:abstractNumId w:val="5"/>
  </w:num>
  <w:num w:numId="72" w16cid:durableId="1516572951">
    <w:abstractNumId w:val="24"/>
  </w:num>
  <w:num w:numId="73" w16cid:durableId="535121171">
    <w:abstractNumId w:val="0"/>
  </w:num>
  <w:num w:numId="74" w16cid:durableId="1785660224">
    <w:abstractNumId w:val="88"/>
  </w:num>
  <w:num w:numId="75" w16cid:durableId="1880972329">
    <w:abstractNumId w:val="15"/>
  </w:num>
  <w:num w:numId="76" w16cid:durableId="1502089133">
    <w:abstractNumId w:val="60"/>
  </w:num>
  <w:num w:numId="77" w16cid:durableId="1203984537">
    <w:abstractNumId w:val="60"/>
  </w:num>
  <w:num w:numId="78" w16cid:durableId="454295970">
    <w:abstractNumId w:val="60"/>
  </w:num>
  <w:num w:numId="79" w16cid:durableId="1920214810">
    <w:abstractNumId w:val="60"/>
  </w:num>
  <w:num w:numId="80" w16cid:durableId="781652081">
    <w:abstractNumId w:val="60"/>
  </w:num>
  <w:num w:numId="81" w16cid:durableId="244262182">
    <w:abstractNumId w:val="60"/>
  </w:num>
  <w:num w:numId="82" w16cid:durableId="1179734138">
    <w:abstractNumId w:val="60"/>
  </w:num>
  <w:num w:numId="83" w16cid:durableId="1327246793">
    <w:abstractNumId w:val="60"/>
  </w:num>
  <w:num w:numId="84" w16cid:durableId="664357810">
    <w:abstractNumId w:val="60"/>
  </w:num>
  <w:num w:numId="85" w16cid:durableId="1467042456">
    <w:abstractNumId w:val="60"/>
  </w:num>
  <w:num w:numId="86" w16cid:durableId="1734160313">
    <w:abstractNumId w:val="8"/>
  </w:num>
  <w:num w:numId="87" w16cid:durableId="652222288">
    <w:abstractNumId w:val="79"/>
  </w:num>
  <w:num w:numId="88" w16cid:durableId="1501580720">
    <w:abstractNumId w:val="1"/>
  </w:num>
  <w:num w:numId="89" w16cid:durableId="2143620802">
    <w:abstractNumId w:val="51"/>
  </w:num>
  <w:num w:numId="90" w16cid:durableId="1739858643">
    <w:abstractNumId w:val="97"/>
  </w:num>
  <w:num w:numId="91" w16cid:durableId="397441696">
    <w:abstractNumId w:val="25"/>
  </w:num>
  <w:num w:numId="92" w16cid:durableId="43062312">
    <w:abstractNumId w:val="35"/>
  </w:num>
  <w:num w:numId="93" w16cid:durableId="269510331">
    <w:abstractNumId w:val="9"/>
  </w:num>
  <w:num w:numId="94" w16cid:durableId="946235836">
    <w:abstractNumId w:val="55"/>
  </w:num>
  <w:num w:numId="95" w16cid:durableId="1158691844">
    <w:abstractNumId w:val="60"/>
  </w:num>
  <w:num w:numId="96" w16cid:durableId="396054197">
    <w:abstractNumId w:val="63"/>
  </w:num>
  <w:num w:numId="97" w16cid:durableId="1368412789">
    <w:abstractNumId w:val="102"/>
  </w:num>
  <w:num w:numId="98" w16cid:durableId="483008495">
    <w:abstractNumId w:val="62"/>
  </w:num>
  <w:num w:numId="99" w16cid:durableId="1530532345">
    <w:abstractNumId w:val="61"/>
  </w:num>
  <w:num w:numId="100" w16cid:durableId="269432498">
    <w:abstractNumId w:val="37"/>
  </w:num>
  <w:num w:numId="101" w16cid:durableId="1283608314">
    <w:abstractNumId w:val="71"/>
  </w:num>
  <w:num w:numId="102" w16cid:durableId="1167015889">
    <w:abstractNumId w:val="104"/>
  </w:num>
  <w:num w:numId="103" w16cid:durableId="337542989">
    <w:abstractNumId w:val="80"/>
  </w:num>
  <w:num w:numId="104" w16cid:durableId="648904069">
    <w:abstractNumId w:val="60"/>
  </w:num>
  <w:num w:numId="105" w16cid:durableId="1582523506">
    <w:abstractNumId w:val="4"/>
  </w:num>
  <w:num w:numId="106" w16cid:durableId="385446288">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1812215150">
    <w:abstractNumId w:val="54"/>
  </w:num>
  <w:num w:numId="108" w16cid:durableId="1175799563">
    <w:abstractNumId w:val="85"/>
  </w:num>
  <w:num w:numId="109" w16cid:durableId="858856341">
    <w:abstractNumId w:val="38"/>
  </w:num>
  <w:num w:numId="110" w16cid:durableId="442111700">
    <w:abstractNumId w:val="91"/>
  </w:num>
  <w:num w:numId="111" w16cid:durableId="739836551">
    <w:abstractNumId w:val="43"/>
  </w:num>
  <w:num w:numId="112" w16cid:durableId="1533107063">
    <w:abstractNumId w:val="100"/>
  </w:num>
  <w:num w:numId="113" w16cid:durableId="1822309788">
    <w:abstractNumId w:val="17"/>
  </w:num>
  <w:num w:numId="114" w16cid:durableId="465855686">
    <w:abstractNumId w:val="60"/>
  </w:num>
  <w:num w:numId="115" w16cid:durableId="1447771875">
    <w:abstractNumId w:val="82"/>
  </w:num>
  <w:num w:numId="116" w16cid:durableId="759520719">
    <w:abstractNumId w:val="44"/>
  </w:num>
  <w:num w:numId="117" w16cid:durableId="148525479">
    <w:abstractNumId w:val="11"/>
  </w:num>
  <w:num w:numId="118" w16cid:durableId="184248148">
    <w:abstractNumId w:val="93"/>
  </w:num>
  <w:num w:numId="119" w16cid:durableId="1972395295">
    <w:abstractNumId w:val="34"/>
  </w:num>
  <w:num w:numId="120" w16cid:durableId="1681080656">
    <w:abstractNumId w:val="99"/>
  </w:num>
  <w:num w:numId="121" w16cid:durableId="871386823">
    <w:abstractNumId w:val="95"/>
  </w:num>
  <w:num w:numId="122" w16cid:durableId="1747071541">
    <w:abstractNumId w:val="68"/>
  </w:num>
  <w:num w:numId="123" w16cid:durableId="1906180563">
    <w:abstractNumId w:val="58"/>
  </w:num>
  <w:num w:numId="124" w16cid:durableId="1909418029">
    <w:abstractNumId w:val="45"/>
  </w:num>
  <w:num w:numId="125" w16cid:durableId="266622730">
    <w:abstractNumId w:val="14"/>
  </w:num>
  <w:num w:numId="126" w16cid:durableId="1703095397">
    <w:abstractNumId w:val="29"/>
  </w:num>
  <w:num w:numId="127" w16cid:durableId="94136735">
    <w:abstractNumId w:val="40"/>
  </w:num>
  <w:num w:numId="128" w16cid:durableId="1587567312">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E6EF5"/>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da-DK"/>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da-DK"/>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da-DK"/>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da-DK"/>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da-DK"/>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da-DK"/>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da-DK"/>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da-DK"/>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8346</Words>
  <Characters>47574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