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ΣΧΕΔΙΟ ΝΟΜΟΥ</w:t>
      </w:r>
    </w:p>
    <w:p w14:paraId="58D6E3A3" w14:textId="18E2AD2E" w:rsidR="008803E5" w:rsidRPr="00835148" w:rsidRDefault="008803E5" w:rsidP="00883C74">
      <w:pPr>
        <w:pStyle w:val="TOCHeading"/>
        <w:spacing w:before="240"/>
        <w:jc w:val="center"/>
      </w:pPr>
      <w:r>
        <w:t>ΜΕΡΟΣ 4Α ΤΟΥ ΝΟΜΟΣΧΕΔΙΟΥ ΓΙΑ ΤΗΝ ΕΚΛΟΓΙΚΗ ΜΕΤΑΡΡΥΘΜΙΣΗ ΤΟΥ 2022</w:t>
      </w:r>
    </w:p>
    <w:p w14:paraId="2B7A6478" w14:textId="04763F9F" w:rsidR="003C524C" w:rsidRPr="00835148" w:rsidRDefault="003C524C" w:rsidP="00883C74">
      <w:pPr>
        <w:pStyle w:val="TOCHeading"/>
        <w:spacing w:before="240" w:after="120"/>
        <w:jc w:val="center"/>
      </w:pPr>
      <w:r>
        <w:t xml:space="preserve">ΡΥΘΜΙΣΗ ΤΗΣ ΠΛΗΡΟΦΟΡΗΣΗΣ ΓΙΑ ΤΗΝ ΕΚΛΟΓΙΚH ΔΙΑΔΙΚΑΣIΑ ΣΤΟ ΔΙΑΔIΚΤΥΟ, ΤΩΝ ΠΛΗΡΟΦΟΡΙΩΝ ΣΧΕΤΙΚΑ ΜΕ ΤΙΣ ΕΚΛΟΓΕΣ ΚΑΙ ΤΗΣ ΧΕΙΡΙΣΤΙΚΗΣ Ή ΜΗ ΑΥΘΕΝΤΙΚΗΣ ΣΥΜΠΕΡΙΦΟΡΑΣ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243879" w:rsidRDefault="003C524C" w:rsidP="009A3E29">
      <w:pPr>
        <w:jc w:val="center"/>
        <w:rPr>
          <w:rFonts w:ascii="Times New Roman" w:hAnsi="Times New Roman" w:cs="Times New Roman"/>
          <w:sz w:val="20"/>
          <w:szCs w:val="20"/>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Πίνακας περιεχομένων</w:t>
          </w:r>
        </w:p>
        <w:p w14:paraId="4B3BA204" w14:textId="570EFA8E" w:rsidR="00243879" w:rsidRPr="00243879" w:rsidRDefault="003C524C">
          <w:pPr>
            <w:pStyle w:val="TOC1"/>
            <w:rPr>
              <w:rFonts w:asciiTheme="minorHAnsi" w:eastAsiaTheme="minorEastAsia" w:hAnsiTheme="minorHAnsi" w:cstheme="minorBidi"/>
              <w:b w:val="0"/>
              <w:bCs w:val="0"/>
              <w:sz w:val="20"/>
              <w:szCs w:val="20"/>
              <w:lang w:val="en-US"/>
            </w:rPr>
          </w:pPr>
          <w:r w:rsidRPr="00883C74">
            <w:rPr>
              <w:b w:val="0"/>
              <w:sz w:val="20"/>
            </w:rPr>
            <w:fldChar w:fldCharType="begin"/>
          </w:r>
          <w:r w:rsidRPr="00883C74">
            <w:rPr>
              <w:b w:val="0"/>
              <w:sz w:val="20"/>
            </w:rPr>
            <w:instrText xml:space="preserve"> TOC \o "1-3" \h \z \u </w:instrText>
          </w:r>
          <w:r w:rsidRPr="00883C74">
            <w:rPr>
              <w:b w:val="0"/>
              <w:sz w:val="20"/>
            </w:rPr>
            <w:fldChar w:fldCharType="separate"/>
          </w:r>
          <w:hyperlink w:anchor="_Toc106188777" w:history="1">
            <w:r w:rsidR="00243879" w:rsidRPr="00243879">
              <w:rPr>
                <w:rStyle w:val="Hyperlink"/>
                <w:b w:val="0"/>
                <w:bCs w:val="0"/>
                <w:sz w:val="20"/>
                <w:szCs w:val="20"/>
              </w:rPr>
              <w:t>Κεφάλαιο 1: Προκαταρκτικές διατάξεις</w:t>
            </w:r>
            <w:r w:rsidR="00243879" w:rsidRPr="00243879">
              <w:rPr>
                <w:b w:val="0"/>
                <w:bCs w:val="0"/>
                <w:webHidden/>
                <w:sz w:val="20"/>
                <w:szCs w:val="20"/>
              </w:rPr>
              <w:tab/>
            </w:r>
            <w:r w:rsidR="00243879" w:rsidRPr="00243879">
              <w:rPr>
                <w:b w:val="0"/>
                <w:bCs w:val="0"/>
                <w:webHidden/>
                <w:sz w:val="20"/>
                <w:szCs w:val="20"/>
              </w:rPr>
              <w:fldChar w:fldCharType="begin"/>
            </w:r>
            <w:r w:rsidR="00243879" w:rsidRPr="00243879">
              <w:rPr>
                <w:b w:val="0"/>
                <w:bCs w:val="0"/>
                <w:webHidden/>
                <w:sz w:val="20"/>
                <w:szCs w:val="20"/>
              </w:rPr>
              <w:instrText xml:space="preserve"> PAGEREF _Toc106188777 \h </w:instrText>
            </w:r>
            <w:r w:rsidR="00243879" w:rsidRPr="00243879">
              <w:rPr>
                <w:b w:val="0"/>
                <w:bCs w:val="0"/>
                <w:webHidden/>
                <w:sz w:val="20"/>
                <w:szCs w:val="20"/>
              </w:rPr>
            </w:r>
            <w:r w:rsidR="00243879" w:rsidRPr="00243879">
              <w:rPr>
                <w:b w:val="0"/>
                <w:bCs w:val="0"/>
                <w:webHidden/>
                <w:sz w:val="20"/>
                <w:szCs w:val="20"/>
              </w:rPr>
              <w:fldChar w:fldCharType="separate"/>
            </w:r>
            <w:r w:rsidR="00243879">
              <w:rPr>
                <w:b w:val="0"/>
                <w:bCs w:val="0"/>
                <w:webHidden/>
                <w:sz w:val="20"/>
                <w:szCs w:val="20"/>
              </w:rPr>
              <w:t>3</w:t>
            </w:r>
            <w:r w:rsidR="00243879" w:rsidRPr="00243879">
              <w:rPr>
                <w:b w:val="0"/>
                <w:bCs w:val="0"/>
                <w:webHidden/>
                <w:sz w:val="20"/>
                <w:szCs w:val="20"/>
              </w:rPr>
              <w:fldChar w:fldCharType="end"/>
            </w:r>
          </w:hyperlink>
        </w:p>
        <w:p w14:paraId="49C35AC7" w14:textId="781C1E7D" w:rsidR="00243879" w:rsidRPr="00243879" w:rsidRDefault="00243879">
          <w:pPr>
            <w:pStyle w:val="TOC1"/>
            <w:rPr>
              <w:rFonts w:asciiTheme="minorHAnsi" w:eastAsiaTheme="minorEastAsia" w:hAnsiTheme="minorHAnsi" w:cstheme="minorBidi"/>
              <w:b w:val="0"/>
              <w:bCs w:val="0"/>
              <w:sz w:val="20"/>
              <w:szCs w:val="20"/>
              <w:lang w:val="en-US"/>
            </w:rPr>
          </w:pPr>
          <w:hyperlink w:anchor="_Toc106188778" w:history="1">
            <w:r w:rsidRPr="00243879">
              <w:rPr>
                <w:rStyle w:val="Hyperlink"/>
                <w:b w:val="0"/>
                <w:bCs w:val="0"/>
                <w:sz w:val="20"/>
                <w:szCs w:val="20"/>
              </w:rPr>
              <w:t>Άρθρο 1: Πρόσθετοι ορισμοί για το μέρος 4Α</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_Toc106188778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w:t>
            </w:r>
            <w:r w:rsidRPr="00243879">
              <w:rPr>
                <w:b w:val="0"/>
                <w:bCs w:val="0"/>
                <w:webHidden/>
                <w:sz w:val="20"/>
                <w:szCs w:val="20"/>
              </w:rPr>
              <w:fldChar w:fldCharType="end"/>
            </w:r>
          </w:hyperlink>
        </w:p>
        <w:p w14:paraId="667E70A3" w14:textId="1CFA5D8B" w:rsidR="00243879" w:rsidRPr="00243879" w:rsidRDefault="00243879">
          <w:pPr>
            <w:pStyle w:val="TOC1"/>
            <w:rPr>
              <w:rFonts w:asciiTheme="minorHAnsi" w:eastAsiaTheme="minorEastAsia" w:hAnsiTheme="minorHAnsi" w:cstheme="minorBidi"/>
              <w:b w:val="0"/>
              <w:bCs w:val="0"/>
              <w:sz w:val="20"/>
              <w:szCs w:val="20"/>
              <w:lang w:val="en-US"/>
            </w:rPr>
          </w:pPr>
          <w:hyperlink w:anchor="_Toc106188779" w:history="1">
            <w:r w:rsidRPr="00243879">
              <w:rPr>
                <w:rStyle w:val="Hyperlink"/>
                <w:b w:val="0"/>
                <w:bCs w:val="0"/>
                <w:sz w:val="20"/>
                <w:szCs w:val="20"/>
              </w:rPr>
              <w:t>Άρθρο 2: Καθήκοντα της Επιτροπής όσον αφορά τις πληροφορίες για τις εκλογές στο Διαδίκτυο και τη χειριστική ή μη αυθεντική συμπεριφορά</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_Toc106188779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6</w:t>
            </w:r>
            <w:r w:rsidRPr="00243879">
              <w:rPr>
                <w:b w:val="0"/>
                <w:bCs w:val="0"/>
                <w:webHidden/>
                <w:sz w:val="20"/>
                <w:szCs w:val="20"/>
              </w:rPr>
              <w:fldChar w:fldCharType="end"/>
            </w:r>
          </w:hyperlink>
        </w:p>
        <w:p w14:paraId="1BB41015" w14:textId="6E2FA964" w:rsidR="00243879" w:rsidRPr="00243879" w:rsidRDefault="00243879">
          <w:pPr>
            <w:pStyle w:val="TOC1"/>
            <w:rPr>
              <w:rFonts w:asciiTheme="minorHAnsi" w:eastAsiaTheme="minorEastAsia" w:hAnsiTheme="minorHAnsi" w:cstheme="minorBidi"/>
              <w:b w:val="0"/>
              <w:bCs w:val="0"/>
              <w:sz w:val="20"/>
              <w:szCs w:val="20"/>
              <w:lang w:val="en-US"/>
            </w:rPr>
          </w:pPr>
          <w:hyperlink w:anchor="_Toc106188780" w:history="1">
            <w:r w:rsidRPr="00243879">
              <w:rPr>
                <w:rStyle w:val="Hyperlink"/>
                <w:b w:val="0"/>
                <w:bCs w:val="0"/>
                <w:sz w:val="20"/>
                <w:szCs w:val="20"/>
              </w:rPr>
              <w:t>Άρθρο 3: Συγκρότηση και ρόλος της συμβουλευτικής επιτροπής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_Toc106188780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7</w:t>
            </w:r>
            <w:r w:rsidRPr="00243879">
              <w:rPr>
                <w:b w:val="0"/>
                <w:bCs w:val="0"/>
                <w:webHidden/>
                <w:sz w:val="20"/>
                <w:szCs w:val="20"/>
              </w:rPr>
              <w:fldChar w:fldCharType="end"/>
            </w:r>
          </w:hyperlink>
        </w:p>
        <w:p w14:paraId="65D9BA90" w14:textId="61020855" w:rsidR="00243879" w:rsidRPr="00243879" w:rsidRDefault="00243879">
          <w:pPr>
            <w:pStyle w:val="TOC1"/>
            <w:rPr>
              <w:rFonts w:asciiTheme="minorHAnsi" w:eastAsiaTheme="minorEastAsia" w:hAnsiTheme="minorHAnsi" w:cstheme="minorBidi"/>
              <w:b w:val="0"/>
              <w:bCs w:val="0"/>
              <w:sz w:val="20"/>
              <w:szCs w:val="20"/>
              <w:lang w:val="en-US"/>
            </w:rPr>
          </w:pPr>
          <w:hyperlink w:anchor="_Toc106188781" w:history="1">
            <w:r w:rsidRPr="00243879">
              <w:rPr>
                <w:rStyle w:val="Hyperlink"/>
                <w:b w:val="0"/>
                <w:bCs w:val="0"/>
                <w:sz w:val="20"/>
                <w:szCs w:val="20"/>
              </w:rPr>
              <w:t>Άρθρο 4: Συγκρότηση και ρόλος του συμβουλίου ενδιαφερομένων μερών</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_Toc106188781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8</w:t>
            </w:r>
            <w:r w:rsidRPr="00243879">
              <w:rPr>
                <w:b w:val="0"/>
                <w:bCs w:val="0"/>
                <w:webHidden/>
                <w:sz w:val="20"/>
                <w:szCs w:val="20"/>
              </w:rPr>
              <w:fldChar w:fldCharType="end"/>
            </w:r>
          </w:hyperlink>
        </w:p>
        <w:p w14:paraId="6CD70458" w14:textId="66571B0D" w:rsidR="00243879" w:rsidRPr="00243879" w:rsidRDefault="00243879">
          <w:pPr>
            <w:pStyle w:val="TOC1"/>
            <w:rPr>
              <w:rFonts w:asciiTheme="minorHAnsi" w:eastAsiaTheme="minorEastAsia" w:hAnsiTheme="minorHAnsi" w:cstheme="minorBidi"/>
              <w:b w:val="0"/>
              <w:bCs w:val="0"/>
              <w:sz w:val="20"/>
              <w:szCs w:val="20"/>
              <w:lang w:val="en-US"/>
            </w:rPr>
          </w:pPr>
          <w:hyperlink w:anchor="_Toc106188782" w:history="1">
            <w:r w:rsidRPr="00243879">
              <w:rPr>
                <w:rStyle w:val="Hyperlink"/>
                <w:b w:val="0"/>
                <w:bCs w:val="0"/>
                <w:sz w:val="20"/>
                <w:szCs w:val="20"/>
              </w:rPr>
              <w:t>[Το άρθρο 5 διαγράφεται]</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_Toc106188782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9</w:t>
            </w:r>
            <w:r w:rsidRPr="00243879">
              <w:rPr>
                <w:b w:val="0"/>
                <w:bCs w:val="0"/>
                <w:webHidden/>
                <w:sz w:val="20"/>
                <w:szCs w:val="20"/>
              </w:rPr>
              <w:fldChar w:fldCharType="end"/>
            </w:r>
          </w:hyperlink>
        </w:p>
        <w:p w14:paraId="0FCEA29A" w14:textId="735C6F9B" w:rsidR="00243879" w:rsidRPr="00243879" w:rsidRDefault="00243879">
          <w:pPr>
            <w:pStyle w:val="TOC1"/>
            <w:rPr>
              <w:rFonts w:asciiTheme="minorHAnsi" w:eastAsiaTheme="minorEastAsia" w:hAnsiTheme="minorHAnsi" w:cstheme="minorBidi"/>
              <w:b w:val="0"/>
              <w:bCs w:val="0"/>
              <w:sz w:val="20"/>
              <w:szCs w:val="20"/>
              <w:lang w:val="en-US"/>
            </w:rPr>
          </w:pPr>
          <w:hyperlink w:anchor="_Toc106188783" w:history="1">
            <w:r w:rsidRPr="00243879">
              <w:rPr>
                <w:rStyle w:val="Hyperlink"/>
                <w:b w:val="0"/>
                <w:bCs w:val="0"/>
                <w:sz w:val="20"/>
                <w:szCs w:val="20"/>
              </w:rPr>
              <w:t>Άρθρο 6: Υποχρέωση των επιγραμμικών πλατφορμών να παρέχουν πληροφορίες στην Επιτροπή</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_Toc106188783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9</w:t>
            </w:r>
            <w:r w:rsidRPr="00243879">
              <w:rPr>
                <w:b w:val="0"/>
                <w:bCs w:val="0"/>
                <w:webHidden/>
                <w:sz w:val="20"/>
                <w:szCs w:val="20"/>
              </w:rPr>
              <w:fldChar w:fldCharType="end"/>
            </w:r>
          </w:hyperlink>
        </w:p>
        <w:p w14:paraId="0540A087" w14:textId="7A185029" w:rsidR="00243879" w:rsidRPr="00243879" w:rsidRDefault="00243879">
          <w:pPr>
            <w:pStyle w:val="TOC1"/>
            <w:rPr>
              <w:rFonts w:asciiTheme="minorHAnsi" w:eastAsiaTheme="minorEastAsia" w:hAnsiTheme="minorHAnsi" w:cstheme="minorBidi"/>
              <w:b w:val="0"/>
              <w:bCs w:val="0"/>
              <w:sz w:val="20"/>
              <w:szCs w:val="20"/>
              <w:lang w:val="en-US"/>
            </w:rPr>
          </w:pPr>
          <w:hyperlink w:anchor="_Toc106188784" w:history="1">
            <w:r w:rsidRPr="00243879">
              <w:rPr>
                <w:rStyle w:val="Hyperlink"/>
                <w:b w:val="0"/>
                <w:bCs w:val="0"/>
                <w:sz w:val="20"/>
                <w:szCs w:val="20"/>
              </w:rPr>
              <w:t>Άρθρο 7: Υποχρέωση της επιγραμμικής πλατφόρμας να θέσει σε εφαρμογή μηχανισμό κοινοποίησης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_Toc106188784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10</w:t>
            </w:r>
            <w:r w:rsidRPr="00243879">
              <w:rPr>
                <w:b w:val="0"/>
                <w:bCs w:val="0"/>
                <w:webHidden/>
                <w:sz w:val="20"/>
                <w:szCs w:val="20"/>
              </w:rPr>
              <w:fldChar w:fldCharType="end"/>
            </w:r>
          </w:hyperlink>
        </w:p>
        <w:p w14:paraId="1B5AFF76" w14:textId="45991536" w:rsidR="00243879" w:rsidRPr="00243879" w:rsidRDefault="00243879">
          <w:pPr>
            <w:pStyle w:val="TOC1"/>
            <w:rPr>
              <w:rFonts w:asciiTheme="minorHAnsi" w:eastAsiaTheme="minorEastAsia" w:hAnsiTheme="minorHAnsi" w:cstheme="minorBidi"/>
              <w:b w:val="0"/>
              <w:bCs w:val="0"/>
              <w:sz w:val="20"/>
              <w:szCs w:val="20"/>
              <w:lang w:val="en-US"/>
            </w:rPr>
          </w:pPr>
          <w:hyperlink w:anchor="_Toc106188785" w:history="1">
            <w:r w:rsidRPr="00243879">
              <w:rPr>
                <w:rStyle w:val="Hyperlink"/>
                <w:b w:val="0"/>
                <w:bCs w:val="0"/>
                <w:sz w:val="20"/>
                <w:szCs w:val="20"/>
              </w:rPr>
              <w:t>Κεφάλαιο 3: Εξουσίες της Επιτροπής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_Toc106188785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11</w:t>
            </w:r>
            <w:r w:rsidRPr="00243879">
              <w:rPr>
                <w:b w:val="0"/>
                <w:bCs w:val="0"/>
                <w:webHidden/>
                <w:sz w:val="20"/>
                <w:szCs w:val="20"/>
              </w:rPr>
              <w:fldChar w:fldCharType="end"/>
            </w:r>
          </w:hyperlink>
        </w:p>
        <w:p w14:paraId="0D070FFC" w14:textId="60581983" w:rsidR="00243879" w:rsidRPr="00243879" w:rsidRDefault="00243879">
          <w:pPr>
            <w:pStyle w:val="TOC1"/>
            <w:rPr>
              <w:rFonts w:asciiTheme="minorHAnsi" w:eastAsiaTheme="minorEastAsia" w:hAnsiTheme="minorHAnsi" w:cstheme="minorBidi"/>
              <w:b w:val="0"/>
              <w:bCs w:val="0"/>
              <w:sz w:val="20"/>
              <w:szCs w:val="20"/>
              <w:lang w:val="en-US"/>
            </w:rPr>
          </w:pPr>
          <w:hyperlink w:anchor="_Toc106188786" w:history="1">
            <w:r w:rsidRPr="00243879">
              <w:rPr>
                <w:rStyle w:val="Hyperlink"/>
                <w:b w:val="0"/>
                <w:bCs w:val="0"/>
                <w:sz w:val="20"/>
                <w:szCs w:val="20"/>
              </w:rPr>
              <w:t>Άρθρο 8: Παρακολούθηση των πληροφοριών για τις εκλογές στο Διαδίκτυο από την Επιτροπή και έρευνες σχετικά με το ίδιο θέμα</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_Toc106188786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11</w:t>
            </w:r>
            <w:r w:rsidRPr="00243879">
              <w:rPr>
                <w:b w:val="0"/>
                <w:bCs w:val="0"/>
                <w:webHidden/>
                <w:sz w:val="20"/>
                <w:szCs w:val="20"/>
              </w:rPr>
              <w:fldChar w:fldCharType="end"/>
            </w:r>
          </w:hyperlink>
        </w:p>
        <w:p w14:paraId="62FD0046" w14:textId="22E5CE6E" w:rsidR="00243879" w:rsidRPr="00243879" w:rsidRDefault="00243879">
          <w:pPr>
            <w:pStyle w:val="TOC1"/>
            <w:rPr>
              <w:rFonts w:asciiTheme="minorHAnsi" w:eastAsiaTheme="minorEastAsia" w:hAnsiTheme="minorHAnsi" w:cstheme="minorBidi"/>
              <w:b w:val="0"/>
              <w:bCs w:val="0"/>
              <w:sz w:val="20"/>
              <w:szCs w:val="20"/>
              <w:lang w:val="en-US"/>
            </w:rPr>
          </w:pPr>
          <w:hyperlink w:anchor="_Toc106188787" w:history="1">
            <w:r w:rsidRPr="00243879">
              <w:rPr>
                <w:rStyle w:val="Hyperlink"/>
                <w:b w:val="0"/>
                <w:bCs w:val="0"/>
                <w:sz w:val="20"/>
                <w:szCs w:val="20"/>
              </w:rPr>
              <w:t>Άρθρο 8Α: Ανάθεση των εξουσιών της Επιτροπής στον γενικό διευθυντή (ή άλλο μέλος της Επιτροπής)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_Toc106188787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13</w:t>
            </w:r>
            <w:r w:rsidRPr="00243879">
              <w:rPr>
                <w:b w:val="0"/>
                <w:bCs w:val="0"/>
                <w:webHidden/>
                <w:sz w:val="20"/>
                <w:szCs w:val="20"/>
              </w:rPr>
              <w:fldChar w:fldCharType="end"/>
            </w:r>
          </w:hyperlink>
        </w:p>
        <w:p w14:paraId="1F007372" w14:textId="0FB157C3" w:rsidR="00243879" w:rsidRPr="00243879" w:rsidRDefault="00243879">
          <w:pPr>
            <w:pStyle w:val="TOC1"/>
            <w:rPr>
              <w:rFonts w:asciiTheme="minorHAnsi" w:eastAsiaTheme="minorEastAsia" w:hAnsiTheme="minorHAnsi" w:cstheme="minorBidi"/>
              <w:b w:val="0"/>
              <w:bCs w:val="0"/>
              <w:sz w:val="20"/>
              <w:szCs w:val="20"/>
              <w:lang w:val="en-US"/>
            </w:rPr>
          </w:pPr>
          <w:hyperlink w:anchor="_Toc106188788" w:history="1">
            <w:r w:rsidRPr="00243879">
              <w:rPr>
                <w:rStyle w:val="Hyperlink"/>
                <w:b w:val="0"/>
                <w:bCs w:val="0"/>
                <w:sz w:val="20"/>
                <w:szCs w:val="20"/>
              </w:rPr>
              <w:t>Άρθρο 9: Απαιτήσεις για την άσκηση των εξουσιών της Επιτροπής δυνάμει του παρόντος μέρους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_Toc106188788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14</w:t>
            </w:r>
            <w:r w:rsidRPr="00243879">
              <w:rPr>
                <w:b w:val="0"/>
                <w:bCs w:val="0"/>
                <w:webHidden/>
                <w:sz w:val="20"/>
                <w:szCs w:val="20"/>
              </w:rPr>
              <w:fldChar w:fldCharType="end"/>
            </w:r>
          </w:hyperlink>
        </w:p>
        <w:p w14:paraId="6F59931C" w14:textId="5B8ED7B1" w:rsidR="00243879" w:rsidRPr="00243879" w:rsidRDefault="00243879">
          <w:pPr>
            <w:pStyle w:val="TOC1"/>
            <w:rPr>
              <w:rFonts w:asciiTheme="minorHAnsi" w:eastAsiaTheme="minorEastAsia" w:hAnsiTheme="minorHAnsi" w:cstheme="minorBidi"/>
              <w:b w:val="0"/>
              <w:bCs w:val="0"/>
              <w:sz w:val="20"/>
              <w:szCs w:val="20"/>
              <w:lang w:val="en-US"/>
            </w:rPr>
          </w:pPr>
          <w:hyperlink w:anchor="_Toc106188789" w:history="1">
            <w:r w:rsidRPr="00243879">
              <w:rPr>
                <w:rStyle w:val="Hyperlink"/>
                <w:b w:val="0"/>
                <w:bCs w:val="0"/>
                <w:sz w:val="20"/>
                <w:szCs w:val="20"/>
              </w:rPr>
              <w:t>Άρθρο 10: Εξουσίες της Επιτροπής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_Toc106188789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16</w:t>
            </w:r>
            <w:r w:rsidRPr="00243879">
              <w:rPr>
                <w:b w:val="0"/>
                <w:bCs w:val="0"/>
                <w:webHidden/>
                <w:sz w:val="20"/>
                <w:szCs w:val="20"/>
              </w:rPr>
              <w:fldChar w:fldCharType="end"/>
            </w:r>
          </w:hyperlink>
        </w:p>
        <w:p w14:paraId="5A6D89F0" w14:textId="118A855D" w:rsidR="00243879" w:rsidRPr="00243879" w:rsidRDefault="00243879">
          <w:pPr>
            <w:pStyle w:val="TOC2"/>
            <w:tabs>
              <w:tab w:val="left" w:pos="720"/>
              <w:tab w:val="right" w:leader="dot" w:pos="9010"/>
            </w:tabs>
            <w:rPr>
              <w:rFonts w:eastAsiaTheme="minorEastAsia"/>
              <w:b w:val="0"/>
              <w:bCs w:val="0"/>
              <w:noProof/>
              <w:sz w:val="20"/>
              <w:szCs w:val="20"/>
              <w:lang w:val="en-US"/>
            </w:rPr>
          </w:pPr>
          <w:hyperlink w:anchor="_Toc106188790" w:history="1">
            <w:r w:rsidRPr="00243879">
              <w:rPr>
                <w:rStyle w:val="Hyperlink"/>
                <w:b w:val="0"/>
                <w:bCs w:val="0"/>
                <w:noProof/>
                <w:sz w:val="20"/>
                <w:szCs w:val="20"/>
              </w:rPr>
              <w:t>(i)</w:t>
            </w:r>
            <w:r w:rsidRPr="00243879">
              <w:rPr>
                <w:rFonts w:eastAsiaTheme="minorEastAsia"/>
                <w:b w:val="0"/>
                <w:bCs w:val="0"/>
                <w:noProof/>
                <w:sz w:val="20"/>
                <w:szCs w:val="20"/>
                <w:lang w:val="en-US"/>
              </w:rPr>
              <w:tab/>
            </w:r>
            <w:r w:rsidRPr="00243879">
              <w:rPr>
                <w:rStyle w:val="Hyperlink"/>
                <w:b w:val="0"/>
                <w:bCs w:val="0"/>
                <w:noProof/>
                <w:sz w:val="20"/>
                <w:szCs w:val="20"/>
              </w:rPr>
              <w:t>Άρθρο 10(i): Εξουσία έκδοσης ειδοποίησης απόσυρσης</w:t>
            </w:r>
            <w:r w:rsidRPr="00243879">
              <w:rPr>
                <w:b w:val="0"/>
                <w:bCs w:val="0"/>
                <w:noProof/>
                <w:webHidden/>
                <w:sz w:val="20"/>
                <w:szCs w:val="20"/>
              </w:rPr>
              <w:tab/>
            </w:r>
            <w:r w:rsidRPr="00243879">
              <w:rPr>
                <w:b w:val="0"/>
                <w:bCs w:val="0"/>
                <w:noProof/>
                <w:webHidden/>
                <w:sz w:val="20"/>
                <w:szCs w:val="20"/>
              </w:rPr>
              <w:fldChar w:fldCharType="begin"/>
            </w:r>
            <w:r w:rsidRPr="00243879">
              <w:rPr>
                <w:b w:val="0"/>
                <w:bCs w:val="0"/>
                <w:noProof/>
                <w:webHidden/>
                <w:sz w:val="20"/>
                <w:szCs w:val="20"/>
              </w:rPr>
              <w:instrText xml:space="preserve"> PAGEREF _Toc106188790 \h </w:instrText>
            </w:r>
            <w:r w:rsidRPr="00243879">
              <w:rPr>
                <w:b w:val="0"/>
                <w:bCs w:val="0"/>
                <w:noProof/>
                <w:webHidden/>
                <w:sz w:val="20"/>
                <w:szCs w:val="20"/>
              </w:rPr>
            </w:r>
            <w:r w:rsidRPr="00243879">
              <w:rPr>
                <w:b w:val="0"/>
                <w:bCs w:val="0"/>
                <w:noProof/>
                <w:webHidden/>
                <w:sz w:val="20"/>
                <w:szCs w:val="20"/>
              </w:rPr>
              <w:fldChar w:fldCharType="separate"/>
            </w:r>
            <w:r>
              <w:rPr>
                <w:b w:val="0"/>
                <w:bCs w:val="0"/>
                <w:noProof/>
                <w:webHidden/>
                <w:sz w:val="20"/>
                <w:szCs w:val="20"/>
              </w:rPr>
              <w:t>16</w:t>
            </w:r>
            <w:r w:rsidRPr="00243879">
              <w:rPr>
                <w:b w:val="0"/>
                <w:bCs w:val="0"/>
                <w:noProof/>
                <w:webHidden/>
                <w:sz w:val="20"/>
                <w:szCs w:val="20"/>
              </w:rPr>
              <w:fldChar w:fldCharType="end"/>
            </w:r>
          </w:hyperlink>
        </w:p>
        <w:p w14:paraId="3751A444" w14:textId="30BDB3EA" w:rsidR="00243879" w:rsidRPr="00243879" w:rsidRDefault="00243879">
          <w:pPr>
            <w:pStyle w:val="TOC2"/>
            <w:tabs>
              <w:tab w:val="left" w:pos="720"/>
              <w:tab w:val="right" w:leader="dot" w:pos="9010"/>
            </w:tabs>
            <w:rPr>
              <w:rFonts w:eastAsiaTheme="minorEastAsia"/>
              <w:b w:val="0"/>
              <w:bCs w:val="0"/>
              <w:noProof/>
              <w:sz w:val="20"/>
              <w:szCs w:val="20"/>
              <w:lang w:val="en-US"/>
            </w:rPr>
          </w:pPr>
          <w:hyperlink w:anchor="_Toc106188791" w:history="1">
            <w:r w:rsidRPr="00243879">
              <w:rPr>
                <w:rStyle w:val="Hyperlink"/>
                <w:b w:val="0"/>
                <w:bCs w:val="0"/>
                <w:noProof/>
                <w:sz w:val="20"/>
                <w:szCs w:val="20"/>
              </w:rPr>
              <w:t>(ii)</w:t>
            </w:r>
            <w:r w:rsidRPr="00243879">
              <w:rPr>
                <w:rFonts w:eastAsiaTheme="minorEastAsia"/>
                <w:b w:val="0"/>
                <w:bCs w:val="0"/>
                <w:noProof/>
                <w:sz w:val="20"/>
                <w:szCs w:val="20"/>
                <w:lang w:val="en-US"/>
              </w:rPr>
              <w:tab/>
            </w:r>
            <w:r w:rsidRPr="00243879">
              <w:rPr>
                <w:rStyle w:val="Hyperlink"/>
                <w:b w:val="0"/>
                <w:bCs w:val="0"/>
                <w:noProof/>
                <w:sz w:val="20"/>
                <w:szCs w:val="20"/>
              </w:rPr>
              <w:t>Άρθρο 10(ii): Εξουσία έκδοσης ειδοποίησης διόρθωσης</w:t>
            </w:r>
            <w:r w:rsidRPr="00243879">
              <w:rPr>
                <w:b w:val="0"/>
                <w:bCs w:val="0"/>
                <w:noProof/>
                <w:webHidden/>
                <w:sz w:val="20"/>
                <w:szCs w:val="20"/>
              </w:rPr>
              <w:tab/>
            </w:r>
            <w:r w:rsidRPr="00243879">
              <w:rPr>
                <w:b w:val="0"/>
                <w:bCs w:val="0"/>
                <w:noProof/>
                <w:webHidden/>
                <w:sz w:val="20"/>
                <w:szCs w:val="20"/>
              </w:rPr>
              <w:fldChar w:fldCharType="begin"/>
            </w:r>
            <w:r w:rsidRPr="00243879">
              <w:rPr>
                <w:b w:val="0"/>
                <w:bCs w:val="0"/>
                <w:noProof/>
                <w:webHidden/>
                <w:sz w:val="20"/>
                <w:szCs w:val="20"/>
              </w:rPr>
              <w:instrText xml:space="preserve"> PAGEREF _Toc106188791 \h </w:instrText>
            </w:r>
            <w:r w:rsidRPr="00243879">
              <w:rPr>
                <w:b w:val="0"/>
                <w:bCs w:val="0"/>
                <w:noProof/>
                <w:webHidden/>
                <w:sz w:val="20"/>
                <w:szCs w:val="20"/>
              </w:rPr>
            </w:r>
            <w:r w:rsidRPr="00243879">
              <w:rPr>
                <w:b w:val="0"/>
                <w:bCs w:val="0"/>
                <w:noProof/>
                <w:webHidden/>
                <w:sz w:val="20"/>
                <w:szCs w:val="20"/>
              </w:rPr>
              <w:fldChar w:fldCharType="separate"/>
            </w:r>
            <w:r>
              <w:rPr>
                <w:b w:val="0"/>
                <w:bCs w:val="0"/>
                <w:noProof/>
                <w:webHidden/>
                <w:sz w:val="20"/>
                <w:szCs w:val="20"/>
              </w:rPr>
              <w:t>17</w:t>
            </w:r>
            <w:r w:rsidRPr="00243879">
              <w:rPr>
                <w:b w:val="0"/>
                <w:bCs w:val="0"/>
                <w:noProof/>
                <w:webHidden/>
                <w:sz w:val="20"/>
                <w:szCs w:val="20"/>
              </w:rPr>
              <w:fldChar w:fldCharType="end"/>
            </w:r>
          </w:hyperlink>
        </w:p>
        <w:p w14:paraId="521783A4" w14:textId="73B82E0D" w:rsidR="00243879" w:rsidRPr="00243879" w:rsidRDefault="00243879">
          <w:pPr>
            <w:pStyle w:val="TOC2"/>
            <w:tabs>
              <w:tab w:val="left" w:pos="960"/>
              <w:tab w:val="right" w:leader="dot" w:pos="9010"/>
            </w:tabs>
            <w:rPr>
              <w:rFonts w:eastAsiaTheme="minorEastAsia"/>
              <w:b w:val="0"/>
              <w:bCs w:val="0"/>
              <w:noProof/>
              <w:sz w:val="20"/>
              <w:szCs w:val="20"/>
              <w:lang w:val="en-US"/>
            </w:rPr>
          </w:pPr>
          <w:hyperlink w:anchor="_Toc106188792" w:history="1">
            <w:r w:rsidRPr="00243879">
              <w:rPr>
                <w:rStyle w:val="Hyperlink"/>
                <w:b w:val="0"/>
                <w:bCs w:val="0"/>
                <w:noProof/>
                <w:sz w:val="20"/>
                <w:szCs w:val="20"/>
              </w:rPr>
              <w:t>(iii)</w:t>
            </w:r>
            <w:r w:rsidRPr="00243879">
              <w:rPr>
                <w:rFonts w:eastAsiaTheme="minorEastAsia"/>
                <w:b w:val="0"/>
                <w:bCs w:val="0"/>
                <w:noProof/>
                <w:sz w:val="20"/>
                <w:szCs w:val="20"/>
                <w:lang w:val="en-US"/>
              </w:rPr>
              <w:tab/>
            </w:r>
            <w:r w:rsidRPr="00243879">
              <w:rPr>
                <w:rStyle w:val="Hyperlink"/>
                <w:b w:val="0"/>
                <w:bCs w:val="0"/>
                <w:noProof/>
                <w:sz w:val="20"/>
                <w:szCs w:val="20"/>
              </w:rPr>
              <w:t>Άρθρο 10(iii): Εξουσία έκδοσης εντολής επισήμανσης</w:t>
            </w:r>
            <w:r w:rsidRPr="00243879">
              <w:rPr>
                <w:b w:val="0"/>
                <w:bCs w:val="0"/>
                <w:noProof/>
                <w:webHidden/>
                <w:sz w:val="20"/>
                <w:szCs w:val="20"/>
              </w:rPr>
              <w:tab/>
            </w:r>
            <w:r w:rsidRPr="00243879">
              <w:rPr>
                <w:b w:val="0"/>
                <w:bCs w:val="0"/>
                <w:noProof/>
                <w:webHidden/>
                <w:sz w:val="20"/>
                <w:szCs w:val="20"/>
              </w:rPr>
              <w:fldChar w:fldCharType="begin"/>
            </w:r>
            <w:r w:rsidRPr="00243879">
              <w:rPr>
                <w:b w:val="0"/>
                <w:bCs w:val="0"/>
                <w:noProof/>
                <w:webHidden/>
                <w:sz w:val="20"/>
                <w:szCs w:val="20"/>
              </w:rPr>
              <w:instrText xml:space="preserve"> PAGEREF _Toc106188792 \h </w:instrText>
            </w:r>
            <w:r w:rsidRPr="00243879">
              <w:rPr>
                <w:b w:val="0"/>
                <w:bCs w:val="0"/>
                <w:noProof/>
                <w:webHidden/>
                <w:sz w:val="20"/>
                <w:szCs w:val="20"/>
              </w:rPr>
            </w:r>
            <w:r w:rsidRPr="00243879">
              <w:rPr>
                <w:b w:val="0"/>
                <w:bCs w:val="0"/>
                <w:noProof/>
                <w:webHidden/>
                <w:sz w:val="20"/>
                <w:szCs w:val="20"/>
              </w:rPr>
              <w:fldChar w:fldCharType="separate"/>
            </w:r>
            <w:r>
              <w:rPr>
                <w:b w:val="0"/>
                <w:bCs w:val="0"/>
                <w:noProof/>
                <w:webHidden/>
                <w:sz w:val="20"/>
                <w:szCs w:val="20"/>
              </w:rPr>
              <w:t>19</w:t>
            </w:r>
            <w:r w:rsidRPr="00243879">
              <w:rPr>
                <w:b w:val="0"/>
                <w:bCs w:val="0"/>
                <w:noProof/>
                <w:webHidden/>
                <w:sz w:val="20"/>
                <w:szCs w:val="20"/>
              </w:rPr>
              <w:fldChar w:fldCharType="end"/>
            </w:r>
          </w:hyperlink>
        </w:p>
        <w:p w14:paraId="6B221A98" w14:textId="4B454A13" w:rsidR="00243879" w:rsidRPr="00243879" w:rsidRDefault="00243879">
          <w:pPr>
            <w:pStyle w:val="TOC2"/>
            <w:tabs>
              <w:tab w:val="left" w:pos="960"/>
              <w:tab w:val="right" w:leader="dot" w:pos="9010"/>
            </w:tabs>
            <w:rPr>
              <w:rFonts w:eastAsiaTheme="minorEastAsia"/>
              <w:b w:val="0"/>
              <w:bCs w:val="0"/>
              <w:noProof/>
              <w:sz w:val="20"/>
              <w:szCs w:val="20"/>
              <w:lang w:val="en-US"/>
            </w:rPr>
          </w:pPr>
          <w:hyperlink w:anchor="_Toc106188793" w:history="1">
            <w:r w:rsidRPr="00243879">
              <w:rPr>
                <w:rStyle w:val="Hyperlink"/>
                <w:b w:val="0"/>
                <w:bCs w:val="0"/>
                <w:noProof/>
                <w:sz w:val="20"/>
                <w:szCs w:val="20"/>
              </w:rPr>
              <w:t>(iv)</w:t>
            </w:r>
            <w:r w:rsidRPr="00243879">
              <w:rPr>
                <w:rFonts w:eastAsiaTheme="minorEastAsia"/>
                <w:b w:val="0"/>
                <w:bCs w:val="0"/>
                <w:noProof/>
                <w:sz w:val="20"/>
                <w:szCs w:val="20"/>
                <w:lang w:val="en-US"/>
              </w:rPr>
              <w:tab/>
            </w:r>
            <w:r w:rsidRPr="00243879">
              <w:rPr>
                <w:rStyle w:val="Hyperlink"/>
                <w:b w:val="0"/>
                <w:bCs w:val="0"/>
                <w:noProof/>
                <w:sz w:val="20"/>
                <w:szCs w:val="20"/>
              </w:rPr>
              <w:t>Άρθρο 10(iv): Εξουσία έκδοσης εντολής αποκλεισμού πρόσβασης</w:t>
            </w:r>
            <w:r w:rsidRPr="00243879">
              <w:rPr>
                <w:b w:val="0"/>
                <w:bCs w:val="0"/>
                <w:noProof/>
                <w:webHidden/>
                <w:sz w:val="20"/>
                <w:szCs w:val="20"/>
              </w:rPr>
              <w:tab/>
            </w:r>
            <w:r w:rsidRPr="00243879">
              <w:rPr>
                <w:b w:val="0"/>
                <w:bCs w:val="0"/>
                <w:noProof/>
                <w:webHidden/>
                <w:sz w:val="20"/>
                <w:szCs w:val="20"/>
              </w:rPr>
              <w:fldChar w:fldCharType="begin"/>
            </w:r>
            <w:r w:rsidRPr="00243879">
              <w:rPr>
                <w:b w:val="0"/>
                <w:bCs w:val="0"/>
                <w:noProof/>
                <w:webHidden/>
                <w:sz w:val="20"/>
                <w:szCs w:val="20"/>
              </w:rPr>
              <w:instrText xml:space="preserve"> PAGEREF _Toc106188793 \h </w:instrText>
            </w:r>
            <w:r w:rsidRPr="00243879">
              <w:rPr>
                <w:b w:val="0"/>
                <w:bCs w:val="0"/>
                <w:noProof/>
                <w:webHidden/>
                <w:sz w:val="20"/>
                <w:szCs w:val="20"/>
              </w:rPr>
            </w:r>
            <w:r w:rsidRPr="00243879">
              <w:rPr>
                <w:b w:val="0"/>
                <w:bCs w:val="0"/>
                <w:noProof/>
                <w:webHidden/>
                <w:sz w:val="20"/>
                <w:szCs w:val="20"/>
              </w:rPr>
              <w:fldChar w:fldCharType="separate"/>
            </w:r>
            <w:r>
              <w:rPr>
                <w:b w:val="0"/>
                <w:bCs w:val="0"/>
                <w:noProof/>
                <w:webHidden/>
                <w:sz w:val="20"/>
                <w:szCs w:val="20"/>
              </w:rPr>
              <w:t>21</w:t>
            </w:r>
            <w:r w:rsidRPr="00243879">
              <w:rPr>
                <w:b w:val="0"/>
                <w:bCs w:val="0"/>
                <w:noProof/>
                <w:webHidden/>
                <w:sz w:val="20"/>
                <w:szCs w:val="20"/>
              </w:rPr>
              <w:fldChar w:fldCharType="end"/>
            </w:r>
          </w:hyperlink>
        </w:p>
        <w:p w14:paraId="16632844" w14:textId="3ACDD4A5" w:rsidR="00243879" w:rsidRPr="00243879" w:rsidRDefault="00243879">
          <w:pPr>
            <w:pStyle w:val="TOC2"/>
            <w:tabs>
              <w:tab w:val="left" w:pos="720"/>
              <w:tab w:val="right" w:leader="dot" w:pos="9010"/>
            </w:tabs>
            <w:rPr>
              <w:rFonts w:eastAsiaTheme="minorEastAsia"/>
              <w:b w:val="0"/>
              <w:bCs w:val="0"/>
              <w:noProof/>
              <w:sz w:val="20"/>
              <w:szCs w:val="20"/>
              <w:lang w:val="en-US"/>
            </w:rPr>
          </w:pPr>
          <w:hyperlink w:anchor="_Toc106188794" w:history="1">
            <w:r w:rsidRPr="00243879">
              <w:rPr>
                <w:rStyle w:val="Hyperlink"/>
                <w:b w:val="0"/>
                <w:bCs w:val="0"/>
                <w:noProof/>
                <w:sz w:val="20"/>
                <w:szCs w:val="20"/>
              </w:rPr>
              <w:t>(v)</w:t>
            </w:r>
            <w:r w:rsidRPr="00243879">
              <w:rPr>
                <w:rFonts w:eastAsiaTheme="minorEastAsia"/>
                <w:b w:val="0"/>
                <w:bCs w:val="0"/>
                <w:noProof/>
                <w:sz w:val="20"/>
                <w:szCs w:val="20"/>
                <w:lang w:val="en-US"/>
              </w:rPr>
              <w:tab/>
            </w:r>
            <w:r w:rsidRPr="00243879">
              <w:rPr>
                <w:rStyle w:val="Hyperlink"/>
                <w:b w:val="0"/>
                <w:bCs w:val="0"/>
                <w:noProof/>
                <w:sz w:val="20"/>
                <w:szCs w:val="20"/>
              </w:rPr>
              <w:t>Άρθρο 10(v): Εξουσίες ρύθμισης χειριστικής ή μη αυθεντικής συμπεριφοράς, συμπεριλαμβανομένης της μη κοινοποιημένης δραστηριότητας μποτ</w:t>
            </w:r>
            <w:r w:rsidRPr="00243879">
              <w:rPr>
                <w:b w:val="0"/>
                <w:bCs w:val="0"/>
                <w:noProof/>
                <w:webHidden/>
                <w:sz w:val="20"/>
                <w:szCs w:val="20"/>
              </w:rPr>
              <w:tab/>
            </w:r>
            <w:r w:rsidRPr="00243879">
              <w:rPr>
                <w:b w:val="0"/>
                <w:bCs w:val="0"/>
                <w:noProof/>
                <w:webHidden/>
                <w:sz w:val="20"/>
                <w:szCs w:val="20"/>
              </w:rPr>
              <w:fldChar w:fldCharType="begin"/>
            </w:r>
            <w:r w:rsidRPr="00243879">
              <w:rPr>
                <w:b w:val="0"/>
                <w:bCs w:val="0"/>
                <w:noProof/>
                <w:webHidden/>
                <w:sz w:val="20"/>
                <w:szCs w:val="20"/>
              </w:rPr>
              <w:instrText xml:space="preserve"> PAGEREF _Toc106188794 \h </w:instrText>
            </w:r>
            <w:r w:rsidRPr="00243879">
              <w:rPr>
                <w:b w:val="0"/>
                <w:bCs w:val="0"/>
                <w:noProof/>
                <w:webHidden/>
                <w:sz w:val="20"/>
                <w:szCs w:val="20"/>
              </w:rPr>
            </w:r>
            <w:r w:rsidRPr="00243879">
              <w:rPr>
                <w:b w:val="0"/>
                <w:bCs w:val="0"/>
                <w:noProof/>
                <w:webHidden/>
                <w:sz w:val="20"/>
                <w:szCs w:val="20"/>
              </w:rPr>
              <w:fldChar w:fldCharType="separate"/>
            </w:r>
            <w:r>
              <w:rPr>
                <w:b w:val="0"/>
                <w:bCs w:val="0"/>
                <w:noProof/>
                <w:webHidden/>
                <w:sz w:val="20"/>
                <w:szCs w:val="20"/>
              </w:rPr>
              <w:t>22</w:t>
            </w:r>
            <w:r w:rsidRPr="00243879">
              <w:rPr>
                <w:b w:val="0"/>
                <w:bCs w:val="0"/>
                <w:noProof/>
                <w:webHidden/>
                <w:sz w:val="20"/>
                <w:szCs w:val="20"/>
              </w:rPr>
              <w:fldChar w:fldCharType="end"/>
            </w:r>
          </w:hyperlink>
        </w:p>
        <w:p w14:paraId="750C73AB" w14:textId="585B29FC" w:rsidR="00243879" w:rsidRPr="00243879" w:rsidRDefault="00243879">
          <w:pPr>
            <w:pStyle w:val="TOC1"/>
            <w:rPr>
              <w:rFonts w:asciiTheme="minorHAnsi" w:eastAsiaTheme="minorEastAsia" w:hAnsiTheme="minorHAnsi" w:cstheme="minorBidi"/>
              <w:b w:val="0"/>
              <w:bCs w:val="0"/>
              <w:sz w:val="20"/>
              <w:szCs w:val="20"/>
              <w:lang w:val="en-US"/>
            </w:rPr>
          </w:pPr>
          <w:hyperlink w:anchor="_Toc106188795" w:history="1">
            <w:r w:rsidRPr="00243879">
              <w:rPr>
                <w:rStyle w:val="Hyperlink"/>
                <w:b w:val="0"/>
                <w:bCs w:val="0"/>
                <w:sz w:val="20"/>
                <w:szCs w:val="20"/>
              </w:rPr>
              <w:t>[Το άρθρο 11  διαγράφεται]</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_Toc106188795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24</w:t>
            </w:r>
            <w:r w:rsidRPr="00243879">
              <w:rPr>
                <w:b w:val="0"/>
                <w:bCs w:val="0"/>
                <w:webHidden/>
                <w:sz w:val="20"/>
                <w:szCs w:val="20"/>
              </w:rPr>
              <w:fldChar w:fldCharType="end"/>
            </w:r>
          </w:hyperlink>
        </w:p>
        <w:p w14:paraId="79BE6572" w14:textId="42D02B35" w:rsidR="00243879" w:rsidRPr="00243879" w:rsidRDefault="00243879">
          <w:pPr>
            <w:pStyle w:val="TOC1"/>
            <w:rPr>
              <w:rFonts w:asciiTheme="minorHAnsi" w:eastAsiaTheme="minorEastAsia" w:hAnsiTheme="minorHAnsi" w:cstheme="minorBidi"/>
              <w:b w:val="0"/>
              <w:bCs w:val="0"/>
              <w:sz w:val="20"/>
              <w:szCs w:val="20"/>
              <w:lang w:val="en-US"/>
            </w:rPr>
          </w:pPr>
          <w:hyperlink w:anchor="_Toc106188796" w:history="1">
            <w:r w:rsidRPr="00243879">
              <w:rPr>
                <w:rStyle w:val="Hyperlink"/>
                <w:b w:val="0"/>
                <w:bCs w:val="0"/>
                <w:sz w:val="20"/>
                <w:szCs w:val="20"/>
              </w:rPr>
              <w:t>Άρθρο 12: Αίτηση ενώπιον δικαστηρίου για εντολή συμμόρφωσης με ειδοποίηση ή εντολή</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_Toc106188796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24</w:t>
            </w:r>
            <w:r w:rsidRPr="00243879">
              <w:rPr>
                <w:b w:val="0"/>
                <w:bCs w:val="0"/>
                <w:webHidden/>
                <w:sz w:val="20"/>
                <w:szCs w:val="20"/>
              </w:rPr>
              <w:fldChar w:fldCharType="end"/>
            </w:r>
          </w:hyperlink>
        </w:p>
        <w:p w14:paraId="1846D036" w14:textId="4194F087" w:rsidR="00243879" w:rsidRPr="00243879" w:rsidRDefault="00243879">
          <w:pPr>
            <w:pStyle w:val="TOC1"/>
            <w:rPr>
              <w:rFonts w:asciiTheme="minorHAnsi" w:eastAsiaTheme="minorEastAsia" w:hAnsiTheme="minorHAnsi" w:cstheme="minorBidi"/>
              <w:b w:val="0"/>
              <w:bCs w:val="0"/>
              <w:sz w:val="20"/>
              <w:szCs w:val="20"/>
              <w:lang w:val="en-US"/>
            </w:rPr>
          </w:pPr>
          <w:hyperlink w:anchor="_Toc106188797" w:history="1">
            <w:r w:rsidRPr="00243879">
              <w:rPr>
                <w:rStyle w:val="Hyperlink"/>
                <w:b w:val="0"/>
                <w:bCs w:val="0"/>
                <w:sz w:val="20"/>
                <w:szCs w:val="20"/>
              </w:rPr>
              <w:t>Άρθρο 13: Εξουσία έκδοσης προειδοποιήσεων προς το κοινό σχετικά με δραστηριότητες που ενδέχεται να επηρεάσουν τον δίκαιο χαρακτήρα ή την ακεραιότητα εκλογών ή δημοψηφίσματος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_Toc106188797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24</w:t>
            </w:r>
            <w:r w:rsidRPr="00243879">
              <w:rPr>
                <w:b w:val="0"/>
                <w:bCs w:val="0"/>
                <w:webHidden/>
                <w:sz w:val="20"/>
                <w:szCs w:val="20"/>
              </w:rPr>
              <w:fldChar w:fldCharType="end"/>
            </w:r>
          </w:hyperlink>
        </w:p>
        <w:p w14:paraId="6FAE5C97" w14:textId="64BE0794" w:rsidR="00243879" w:rsidRPr="00243879" w:rsidRDefault="00243879">
          <w:pPr>
            <w:pStyle w:val="TOC1"/>
            <w:rPr>
              <w:rFonts w:asciiTheme="minorHAnsi" w:eastAsiaTheme="minorEastAsia" w:hAnsiTheme="minorHAnsi" w:cstheme="minorBidi"/>
              <w:b w:val="0"/>
              <w:bCs w:val="0"/>
              <w:sz w:val="20"/>
              <w:szCs w:val="20"/>
              <w:lang w:val="en-US"/>
            </w:rPr>
          </w:pPr>
          <w:hyperlink w:anchor="_Toc106188798" w:history="1">
            <w:r w:rsidRPr="00243879">
              <w:rPr>
                <w:rStyle w:val="Hyperlink"/>
                <w:b w:val="0"/>
                <w:bCs w:val="0"/>
                <w:sz w:val="20"/>
                <w:szCs w:val="20"/>
              </w:rPr>
              <w:t>Άρθρο 14: Μηχανισμός για την αναφορά από το κοινό ύποπτων περιπτώσεων παραπληροφόρησης, εσφαλμένης πληροφόρησης και χειριστικής ή μη αυθεντικής συμπεριφοράς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_Toc106188798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25</w:t>
            </w:r>
            <w:r w:rsidRPr="00243879">
              <w:rPr>
                <w:b w:val="0"/>
                <w:bCs w:val="0"/>
                <w:webHidden/>
                <w:sz w:val="20"/>
                <w:szCs w:val="20"/>
              </w:rPr>
              <w:fldChar w:fldCharType="end"/>
            </w:r>
          </w:hyperlink>
        </w:p>
        <w:p w14:paraId="0F22F6CF" w14:textId="4A8D7038" w:rsidR="00243879" w:rsidRPr="00243879" w:rsidRDefault="00243879">
          <w:pPr>
            <w:pStyle w:val="TOC1"/>
            <w:rPr>
              <w:rFonts w:asciiTheme="minorHAnsi" w:eastAsiaTheme="minorEastAsia" w:hAnsiTheme="minorHAnsi" w:cstheme="minorBidi"/>
              <w:b w:val="0"/>
              <w:bCs w:val="0"/>
              <w:sz w:val="20"/>
              <w:szCs w:val="20"/>
              <w:lang w:val="en-US"/>
            </w:rPr>
          </w:pPr>
          <w:hyperlink w:anchor="_Toc106188799" w:history="1">
            <w:r w:rsidRPr="00243879">
              <w:rPr>
                <w:rStyle w:val="Hyperlink"/>
                <w:b w:val="0"/>
                <w:bCs w:val="0"/>
                <w:sz w:val="20"/>
                <w:szCs w:val="20"/>
              </w:rPr>
              <w:t>Κεφάλαιο 4: Δικονομικά δικαιώματα</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_Toc106188799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25</w:t>
            </w:r>
            <w:r w:rsidRPr="00243879">
              <w:rPr>
                <w:b w:val="0"/>
                <w:bCs w:val="0"/>
                <w:webHidden/>
                <w:sz w:val="20"/>
                <w:szCs w:val="20"/>
              </w:rPr>
              <w:fldChar w:fldCharType="end"/>
            </w:r>
          </w:hyperlink>
        </w:p>
        <w:p w14:paraId="4B6310AE" w14:textId="1B8EABD6" w:rsidR="00243879" w:rsidRPr="00243879" w:rsidRDefault="00243879">
          <w:pPr>
            <w:pStyle w:val="TOC1"/>
            <w:rPr>
              <w:rFonts w:asciiTheme="minorHAnsi" w:eastAsiaTheme="minorEastAsia" w:hAnsiTheme="minorHAnsi" w:cstheme="minorBidi"/>
              <w:b w:val="0"/>
              <w:bCs w:val="0"/>
              <w:sz w:val="20"/>
              <w:szCs w:val="20"/>
              <w:lang w:val="en-US"/>
            </w:rPr>
          </w:pPr>
          <w:hyperlink w:anchor="_Toc106188800" w:history="1">
            <w:r w:rsidRPr="00243879">
              <w:rPr>
                <w:rStyle w:val="Hyperlink"/>
                <w:b w:val="0"/>
                <w:bCs w:val="0"/>
                <w:sz w:val="20"/>
                <w:szCs w:val="20"/>
              </w:rPr>
              <w:t>Άρθρο 15: Δικαίωμα προσφυγής κατά ειδοποίησης ή εντολής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_Toc106188800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25</w:t>
            </w:r>
            <w:r w:rsidRPr="00243879">
              <w:rPr>
                <w:b w:val="0"/>
                <w:bCs w:val="0"/>
                <w:webHidden/>
                <w:sz w:val="20"/>
                <w:szCs w:val="20"/>
              </w:rPr>
              <w:fldChar w:fldCharType="end"/>
            </w:r>
          </w:hyperlink>
        </w:p>
        <w:p w14:paraId="3283C6DE" w14:textId="309CD32F" w:rsidR="00243879" w:rsidRPr="00243879" w:rsidRDefault="00243879">
          <w:pPr>
            <w:pStyle w:val="TOC1"/>
            <w:rPr>
              <w:rFonts w:asciiTheme="minorHAnsi" w:eastAsiaTheme="minorEastAsia" w:hAnsiTheme="minorHAnsi" w:cstheme="minorBidi"/>
              <w:b w:val="0"/>
              <w:bCs w:val="0"/>
              <w:sz w:val="20"/>
              <w:szCs w:val="20"/>
              <w:lang w:val="en-US"/>
            </w:rPr>
          </w:pPr>
          <w:hyperlink w:anchor="_Toc106188801" w:history="1">
            <w:r w:rsidRPr="00243879">
              <w:rPr>
                <w:rStyle w:val="Hyperlink"/>
                <w:b w:val="0"/>
                <w:bCs w:val="0"/>
                <w:sz w:val="20"/>
                <w:szCs w:val="20"/>
              </w:rPr>
              <w:t>Άρθρο 15Α: Δικαστικός έλεγχος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_Toc106188801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28</w:t>
            </w:r>
            <w:r w:rsidRPr="00243879">
              <w:rPr>
                <w:b w:val="0"/>
                <w:bCs w:val="0"/>
                <w:webHidden/>
                <w:sz w:val="20"/>
                <w:szCs w:val="20"/>
              </w:rPr>
              <w:fldChar w:fldCharType="end"/>
            </w:r>
          </w:hyperlink>
        </w:p>
        <w:p w14:paraId="0470FC75" w14:textId="41F446AB" w:rsidR="00243879" w:rsidRPr="00243879" w:rsidRDefault="00243879">
          <w:pPr>
            <w:pStyle w:val="TOC1"/>
            <w:rPr>
              <w:rFonts w:asciiTheme="minorHAnsi" w:eastAsiaTheme="minorEastAsia" w:hAnsiTheme="minorHAnsi" w:cstheme="minorBidi"/>
              <w:b w:val="0"/>
              <w:bCs w:val="0"/>
              <w:sz w:val="20"/>
              <w:szCs w:val="20"/>
              <w:lang w:val="en-US"/>
            </w:rPr>
          </w:pPr>
          <w:hyperlink w:anchor="_Toc106188802" w:history="1">
            <w:r w:rsidRPr="00243879">
              <w:rPr>
                <w:rStyle w:val="Hyperlink"/>
                <w:b w:val="0"/>
                <w:bCs w:val="0"/>
                <w:sz w:val="20"/>
                <w:szCs w:val="20"/>
              </w:rPr>
              <w:t>Κεφάλαιο 5: Κώδικες δεοντολογίας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_Toc106188802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28</w:t>
            </w:r>
            <w:r w:rsidRPr="00243879">
              <w:rPr>
                <w:b w:val="0"/>
                <w:bCs w:val="0"/>
                <w:webHidden/>
                <w:sz w:val="20"/>
                <w:szCs w:val="20"/>
              </w:rPr>
              <w:fldChar w:fldCharType="end"/>
            </w:r>
          </w:hyperlink>
        </w:p>
        <w:p w14:paraId="7D91C4C1" w14:textId="06F12D2F" w:rsidR="00243879" w:rsidRPr="00243879" w:rsidRDefault="00243879">
          <w:pPr>
            <w:pStyle w:val="TOC1"/>
            <w:rPr>
              <w:rFonts w:asciiTheme="minorHAnsi" w:eastAsiaTheme="minorEastAsia" w:hAnsiTheme="minorHAnsi" w:cstheme="minorBidi"/>
              <w:b w:val="0"/>
              <w:bCs w:val="0"/>
              <w:sz w:val="20"/>
              <w:szCs w:val="20"/>
              <w:lang w:val="en-US"/>
            </w:rPr>
          </w:pPr>
          <w:hyperlink w:anchor="_Toc106188803" w:history="1">
            <w:r w:rsidRPr="00243879">
              <w:rPr>
                <w:rStyle w:val="Hyperlink"/>
                <w:b w:val="0"/>
                <w:bCs w:val="0"/>
                <w:sz w:val="20"/>
                <w:szCs w:val="20"/>
              </w:rPr>
              <w:t>Άρθρο 16: Έκδοση κωδίκων δεοντολογίας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_Toc106188803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28</w:t>
            </w:r>
            <w:r w:rsidRPr="00243879">
              <w:rPr>
                <w:b w:val="0"/>
                <w:bCs w:val="0"/>
                <w:webHidden/>
                <w:sz w:val="20"/>
                <w:szCs w:val="20"/>
              </w:rPr>
              <w:fldChar w:fldCharType="end"/>
            </w:r>
          </w:hyperlink>
        </w:p>
        <w:p w14:paraId="5C361F6A" w14:textId="73709565" w:rsidR="00243879" w:rsidRPr="00243879" w:rsidRDefault="00243879">
          <w:pPr>
            <w:pStyle w:val="TOC1"/>
            <w:rPr>
              <w:rFonts w:asciiTheme="minorHAnsi" w:eastAsiaTheme="minorEastAsia" w:hAnsiTheme="minorHAnsi" w:cstheme="minorBidi"/>
              <w:b w:val="0"/>
              <w:bCs w:val="0"/>
              <w:sz w:val="20"/>
              <w:szCs w:val="20"/>
              <w:lang w:val="en-US"/>
            </w:rPr>
          </w:pPr>
          <w:hyperlink w:anchor="_Toc106188804" w:history="1">
            <w:r w:rsidRPr="00243879">
              <w:rPr>
                <w:rStyle w:val="Hyperlink"/>
                <w:b w:val="0"/>
                <w:bCs w:val="0"/>
                <w:sz w:val="20"/>
                <w:szCs w:val="20"/>
              </w:rPr>
              <w:t>Κεφάλαιο 6: Συνεργασία με άλλους δημόσιους φορείς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_Toc106188804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29</w:t>
            </w:r>
            <w:r w:rsidRPr="00243879">
              <w:rPr>
                <w:b w:val="0"/>
                <w:bCs w:val="0"/>
                <w:webHidden/>
                <w:sz w:val="20"/>
                <w:szCs w:val="20"/>
              </w:rPr>
              <w:fldChar w:fldCharType="end"/>
            </w:r>
          </w:hyperlink>
        </w:p>
        <w:p w14:paraId="236016BA" w14:textId="095BADAC" w:rsidR="00243879" w:rsidRPr="00243879" w:rsidRDefault="00243879">
          <w:pPr>
            <w:pStyle w:val="TOC1"/>
            <w:rPr>
              <w:rFonts w:asciiTheme="minorHAnsi" w:eastAsiaTheme="minorEastAsia" w:hAnsiTheme="minorHAnsi" w:cstheme="minorBidi"/>
              <w:b w:val="0"/>
              <w:bCs w:val="0"/>
              <w:sz w:val="20"/>
              <w:szCs w:val="20"/>
              <w:lang w:val="en-US"/>
            </w:rPr>
          </w:pPr>
          <w:hyperlink w:anchor="_Toc106188805" w:history="1">
            <w:r w:rsidRPr="00243879">
              <w:rPr>
                <w:rStyle w:val="Hyperlink"/>
                <w:b w:val="0"/>
                <w:bCs w:val="0"/>
                <w:sz w:val="20"/>
                <w:szCs w:val="20"/>
              </w:rPr>
              <w:t>Άρθρο 17: Διαβούλευση της Επιτροπής με λοιπές αρμόδιες αρχές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_Toc106188805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29</w:t>
            </w:r>
            <w:r w:rsidRPr="00243879">
              <w:rPr>
                <w:b w:val="0"/>
                <w:bCs w:val="0"/>
                <w:webHidden/>
                <w:sz w:val="20"/>
                <w:szCs w:val="20"/>
              </w:rPr>
              <w:fldChar w:fldCharType="end"/>
            </w:r>
          </w:hyperlink>
        </w:p>
        <w:p w14:paraId="3854A2A8" w14:textId="49A18FDB" w:rsidR="00243879" w:rsidRPr="00243879" w:rsidRDefault="00243879">
          <w:pPr>
            <w:pStyle w:val="TOC1"/>
            <w:rPr>
              <w:rFonts w:asciiTheme="minorHAnsi" w:eastAsiaTheme="minorEastAsia" w:hAnsiTheme="minorHAnsi" w:cstheme="minorBidi"/>
              <w:b w:val="0"/>
              <w:bCs w:val="0"/>
              <w:sz w:val="20"/>
              <w:szCs w:val="20"/>
              <w:lang w:val="en-US"/>
            </w:rPr>
          </w:pPr>
          <w:hyperlink w:anchor="_Toc106188806" w:history="1">
            <w:r w:rsidRPr="00243879">
              <w:rPr>
                <w:rStyle w:val="Hyperlink"/>
                <w:b w:val="0"/>
                <w:bCs w:val="0"/>
                <w:sz w:val="20"/>
                <w:szCs w:val="20"/>
              </w:rPr>
              <w:t>Κεφάλαιο 7: [ΔΙΑΓΡΑΦΕΤΑΙ]</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_Toc106188806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30</w:t>
            </w:r>
            <w:r w:rsidRPr="00243879">
              <w:rPr>
                <w:b w:val="0"/>
                <w:bCs w:val="0"/>
                <w:webHidden/>
                <w:sz w:val="20"/>
                <w:szCs w:val="20"/>
              </w:rPr>
              <w:fldChar w:fldCharType="end"/>
            </w:r>
          </w:hyperlink>
        </w:p>
        <w:p w14:paraId="21F0CCA4" w14:textId="0B9548CE" w:rsidR="00243879" w:rsidRPr="00243879" w:rsidRDefault="00243879">
          <w:pPr>
            <w:pStyle w:val="TOC1"/>
            <w:rPr>
              <w:rFonts w:asciiTheme="minorHAnsi" w:eastAsiaTheme="minorEastAsia" w:hAnsiTheme="minorHAnsi" w:cstheme="minorBidi"/>
              <w:b w:val="0"/>
              <w:bCs w:val="0"/>
              <w:sz w:val="20"/>
              <w:szCs w:val="20"/>
              <w:lang w:val="en-US"/>
            </w:rPr>
          </w:pPr>
          <w:hyperlink w:anchor="_Toc106188807" w:history="1">
            <w:r w:rsidRPr="00243879">
              <w:rPr>
                <w:rStyle w:val="Hyperlink"/>
                <w:b w:val="0"/>
                <w:bCs w:val="0"/>
                <w:sz w:val="20"/>
                <w:szCs w:val="20"/>
              </w:rPr>
              <w:t>[Τα άρθρα 18 έως 20 διαγράφονται]</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_Toc106188807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30</w:t>
            </w:r>
            <w:r w:rsidRPr="00243879">
              <w:rPr>
                <w:b w:val="0"/>
                <w:bCs w:val="0"/>
                <w:webHidden/>
                <w:sz w:val="20"/>
                <w:szCs w:val="20"/>
              </w:rPr>
              <w:fldChar w:fldCharType="end"/>
            </w:r>
          </w:hyperlink>
        </w:p>
        <w:p w14:paraId="2DE77F9A" w14:textId="789FF91A" w:rsidR="00243879" w:rsidRPr="00243879" w:rsidRDefault="00243879">
          <w:pPr>
            <w:pStyle w:val="TOC1"/>
            <w:rPr>
              <w:rFonts w:asciiTheme="minorHAnsi" w:eastAsiaTheme="minorEastAsia" w:hAnsiTheme="minorHAnsi" w:cstheme="minorBidi"/>
              <w:b w:val="0"/>
              <w:bCs w:val="0"/>
              <w:sz w:val="20"/>
              <w:szCs w:val="20"/>
              <w:lang w:val="en-US"/>
            </w:rPr>
          </w:pPr>
          <w:hyperlink w:anchor="_Toc106188808" w:history="1">
            <w:r w:rsidRPr="00243879">
              <w:rPr>
                <w:rStyle w:val="Hyperlink"/>
                <w:b w:val="0"/>
                <w:bCs w:val="0"/>
                <w:sz w:val="20"/>
                <w:szCs w:val="20"/>
              </w:rPr>
              <w:t>Κεφάλαιο 8: Αδικήματα και κυρώσεις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_Toc106188808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30</w:t>
            </w:r>
            <w:r w:rsidRPr="00243879">
              <w:rPr>
                <w:b w:val="0"/>
                <w:bCs w:val="0"/>
                <w:webHidden/>
                <w:sz w:val="20"/>
                <w:szCs w:val="20"/>
              </w:rPr>
              <w:fldChar w:fldCharType="end"/>
            </w:r>
          </w:hyperlink>
        </w:p>
        <w:p w14:paraId="2517107D" w14:textId="07B6BB13" w:rsidR="00243879" w:rsidRPr="00243879" w:rsidRDefault="00243879">
          <w:pPr>
            <w:pStyle w:val="TOC1"/>
            <w:rPr>
              <w:rFonts w:asciiTheme="minorHAnsi" w:eastAsiaTheme="minorEastAsia" w:hAnsiTheme="minorHAnsi" w:cstheme="minorBidi"/>
              <w:b w:val="0"/>
              <w:bCs w:val="0"/>
              <w:sz w:val="20"/>
              <w:szCs w:val="20"/>
              <w:lang w:val="en-US"/>
            </w:rPr>
          </w:pPr>
          <w:hyperlink w:anchor="_Toc106188809" w:history="1">
            <w:r w:rsidRPr="00243879">
              <w:rPr>
                <w:rStyle w:val="Hyperlink"/>
                <w:b w:val="0"/>
                <w:bCs w:val="0"/>
                <w:sz w:val="20"/>
                <w:szCs w:val="20"/>
              </w:rPr>
              <w:t>Άρθρο 21: Αδίκημα της μη συμμόρφωσης με ειδοποίηση ή εντολή που εκδόθηκε δυνάμει του άρθρου 10</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_Toc106188809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30</w:t>
            </w:r>
            <w:r w:rsidRPr="00243879">
              <w:rPr>
                <w:b w:val="0"/>
                <w:bCs w:val="0"/>
                <w:webHidden/>
                <w:sz w:val="20"/>
                <w:szCs w:val="20"/>
              </w:rPr>
              <w:fldChar w:fldCharType="end"/>
            </w:r>
          </w:hyperlink>
        </w:p>
        <w:p w14:paraId="00E04136" w14:textId="3BBD56A4" w:rsidR="00243879" w:rsidRPr="00243879" w:rsidRDefault="00243879">
          <w:pPr>
            <w:pStyle w:val="TOC1"/>
            <w:rPr>
              <w:rFonts w:asciiTheme="minorHAnsi" w:eastAsiaTheme="minorEastAsia" w:hAnsiTheme="minorHAnsi" w:cstheme="minorBidi"/>
              <w:b w:val="0"/>
              <w:bCs w:val="0"/>
              <w:sz w:val="20"/>
              <w:szCs w:val="20"/>
              <w:lang w:val="en-US"/>
            </w:rPr>
          </w:pPr>
          <w:hyperlink w:anchor="_Toc106188810" w:history="1">
            <w:r w:rsidRPr="00243879">
              <w:rPr>
                <w:rStyle w:val="Hyperlink"/>
                <w:b w:val="0"/>
                <w:bCs w:val="0"/>
                <w:sz w:val="20"/>
                <w:szCs w:val="20"/>
              </w:rPr>
              <w:t>Άρθρο 22: Αδίκημα της παράβασης υποχρεωτικού κώδικα δεοντολογίας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_Toc106188810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30</w:t>
            </w:r>
            <w:r w:rsidRPr="00243879">
              <w:rPr>
                <w:b w:val="0"/>
                <w:bCs w:val="0"/>
                <w:webHidden/>
                <w:sz w:val="20"/>
                <w:szCs w:val="20"/>
              </w:rPr>
              <w:fldChar w:fldCharType="end"/>
            </w:r>
          </w:hyperlink>
        </w:p>
        <w:p w14:paraId="36327821" w14:textId="5FF01AB5" w:rsidR="00243879" w:rsidRPr="00243879" w:rsidRDefault="00243879">
          <w:pPr>
            <w:pStyle w:val="TOC1"/>
            <w:rPr>
              <w:rFonts w:asciiTheme="minorHAnsi" w:eastAsiaTheme="minorEastAsia" w:hAnsiTheme="minorHAnsi" w:cstheme="minorBidi"/>
              <w:b w:val="0"/>
              <w:bCs w:val="0"/>
              <w:sz w:val="20"/>
              <w:szCs w:val="20"/>
              <w:lang w:val="en-US"/>
            </w:rPr>
          </w:pPr>
          <w:hyperlink w:anchor="_Toc106188811" w:history="1">
            <w:r w:rsidRPr="00243879">
              <w:rPr>
                <w:rStyle w:val="Hyperlink"/>
                <w:b w:val="0"/>
                <w:bCs w:val="0"/>
                <w:sz w:val="20"/>
                <w:szCs w:val="20"/>
              </w:rPr>
              <w:t>Άρθρο 23: Αδικήματα που σχετίζονται με την παραπληροφόρηση και την εσφαλμένη πληροφόρηση</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_Toc106188811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31</w:t>
            </w:r>
            <w:r w:rsidRPr="00243879">
              <w:rPr>
                <w:b w:val="0"/>
                <w:bCs w:val="0"/>
                <w:webHidden/>
                <w:sz w:val="20"/>
                <w:szCs w:val="20"/>
              </w:rPr>
              <w:fldChar w:fldCharType="end"/>
            </w:r>
          </w:hyperlink>
        </w:p>
        <w:p w14:paraId="493756B7" w14:textId="64135ADD" w:rsidR="00243879" w:rsidRPr="00243879" w:rsidRDefault="00243879">
          <w:pPr>
            <w:pStyle w:val="TOC1"/>
            <w:rPr>
              <w:rFonts w:asciiTheme="minorHAnsi" w:eastAsiaTheme="minorEastAsia" w:hAnsiTheme="minorHAnsi" w:cstheme="minorBidi"/>
              <w:b w:val="0"/>
              <w:bCs w:val="0"/>
              <w:sz w:val="20"/>
              <w:szCs w:val="20"/>
              <w:lang w:val="en-US"/>
            </w:rPr>
          </w:pPr>
          <w:hyperlink w:anchor="_Toc106188812" w:history="1">
            <w:r w:rsidRPr="00243879">
              <w:rPr>
                <w:rStyle w:val="Hyperlink"/>
                <w:b w:val="0"/>
                <w:bCs w:val="0"/>
                <w:sz w:val="20"/>
                <w:szCs w:val="20"/>
              </w:rPr>
              <w:t>Άρθρο 24: Αδίκημα της χρήσης μη κοινοποιημένου μποτ για την παραπλάνηση προσώπων με σκοπό τον επηρεασμό εκλογών</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_Toc106188812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31</w:t>
            </w:r>
            <w:r w:rsidRPr="00243879">
              <w:rPr>
                <w:b w:val="0"/>
                <w:bCs w:val="0"/>
                <w:webHidden/>
                <w:sz w:val="20"/>
                <w:szCs w:val="20"/>
              </w:rPr>
              <w:fldChar w:fldCharType="end"/>
            </w:r>
          </w:hyperlink>
        </w:p>
        <w:p w14:paraId="6B068FC8" w14:textId="52DBE0E8" w:rsidR="00243879" w:rsidRPr="00243879" w:rsidRDefault="00243879">
          <w:pPr>
            <w:pStyle w:val="TOC1"/>
            <w:rPr>
              <w:rFonts w:asciiTheme="minorHAnsi" w:eastAsiaTheme="minorEastAsia" w:hAnsiTheme="minorHAnsi" w:cstheme="minorBidi"/>
              <w:b w:val="0"/>
              <w:bCs w:val="0"/>
              <w:sz w:val="20"/>
              <w:szCs w:val="20"/>
              <w:lang w:val="en-US"/>
            </w:rPr>
          </w:pPr>
          <w:hyperlink w:anchor="_Toc106188813" w:history="1">
            <w:r w:rsidRPr="00243879">
              <w:rPr>
                <w:rStyle w:val="Hyperlink"/>
                <w:b w:val="0"/>
                <w:bCs w:val="0"/>
                <w:sz w:val="20"/>
                <w:szCs w:val="20"/>
              </w:rPr>
              <w:t>[Το άρθρο 25 διαγράφεται]</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_Toc106188813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32</w:t>
            </w:r>
            <w:r w:rsidRPr="00243879">
              <w:rPr>
                <w:b w:val="0"/>
                <w:bCs w:val="0"/>
                <w:webHidden/>
                <w:sz w:val="20"/>
                <w:szCs w:val="20"/>
              </w:rPr>
              <w:fldChar w:fldCharType="end"/>
            </w:r>
          </w:hyperlink>
        </w:p>
        <w:p w14:paraId="75C6DBAC" w14:textId="0E5C2DE1" w:rsidR="00243879" w:rsidRPr="00243879" w:rsidRDefault="00243879">
          <w:pPr>
            <w:pStyle w:val="TOC1"/>
            <w:rPr>
              <w:rFonts w:asciiTheme="minorHAnsi" w:eastAsiaTheme="minorEastAsia" w:hAnsiTheme="minorHAnsi" w:cstheme="minorBidi"/>
              <w:b w:val="0"/>
              <w:bCs w:val="0"/>
              <w:sz w:val="20"/>
              <w:szCs w:val="20"/>
              <w:lang w:val="en-US"/>
            </w:rPr>
          </w:pPr>
          <w:hyperlink w:anchor="_Toc106188814" w:history="1">
            <w:r w:rsidRPr="00243879">
              <w:rPr>
                <w:rStyle w:val="Hyperlink"/>
                <w:b w:val="0"/>
                <w:bCs w:val="0"/>
                <w:sz w:val="20"/>
                <w:szCs w:val="20"/>
              </w:rPr>
              <w:t xml:space="preserve">Άρθρο 26: Αδίκημα της μη συμμόρφωσης με τις υποχρεώσεις που επιβάλλονται </w:t>
            </w:r>
            <w:r>
              <w:rPr>
                <w:rStyle w:val="Hyperlink"/>
                <w:b w:val="0"/>
                <w:bCs w:val="0"/>
                <w:sz w:val="20"/>
                <w:szCs w:val="20"/>
              </w:rPr>
              <w:br/>
            </w:r>
            <w:r w:rsidRPr="00243879">
              <w:rPr>
                <w:rStyle w:val="Hyperlink"/>
                <w:b w:val="0"/>
                <w:bCs w:val="0"/>
                <w:sz w:val="20"/>
                <w:szCs w:val="20"/>
              </w:rPr>
              <w:t>σε επιγραμμικές πλατφόρμες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_Toc106188814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32</w:t>
            </w:r>
            <w:r w:rsidRPr="00243879">
              <w:rPr>
                <w:b w:val="0"/>
                <w:bCs w:val="0"/>
                <w:webHidden/>
                <w:sz w:val="20"/>
                <w:szCs w:val="20"/>
              </w:rPr>
              <w:fldChar w:fldCharType="end"/>
            </w:r>
          </w:hyperlink>
        </w:p>
        <w:p w14:paraId="68E6449A" w14:textId="45C55FA5" w:rsidR="00243879" w:rsidRPr="00243879" w:rsidRDefault="00243879">
          <w:pPr>
            <w:pStyle w:val="TOC1"/>
            <w:rPr>
              <w:rFonts w:asciiTheme="minorHAnsi" w:eastAsiaTheme="minorEastAsia" w:hAnsiTheme="minorHAnsi" w:cstheme="minorBidi"/>
              <w:b w:val="0"/>
              <w:bCs w:val="0"/>
              <w:sz w:val="20"/>
              <w:szCs w:val="20"/>
              <w:lang w:val="en-US"/>
            </w:rPr>
          </w:pPr>
          <w:hyperlink w:anchor="_Toc106188815" w:history="1">
            <w:r w:rsidRPr="00243879">
              <w:rPr>
                <w:rStyle w:val="Hyperlink"/>
                <w:b w:val="0"/>
                <w:bCs w:val="0"/>
                <w:sz w:val="20"/>
                <w:szCs w:val="20"/>
              </w:rPr>
              <w:t>[Το άρθρο 27 διαγράφεται]</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_Toc106188815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33</w:t>
            </w:r>
            <w:r w:rsidRPr="00243879">
              <w:rPr>
                <w:b w:val="0"/>
                <w:bCs w:val="0"/>
                <w:webHidden/>
                <w:sz w:val="20"/>
                <w:szCs w:val="20"/>
              </w:rPr>
              <w:fldChar w:fldCharType="end"/>
            </w:r>
          </w:hyperlink>
        </w:p>
        <w:p w14:paraId="64E2B02B" w14:textId="69C6CA6C" w:rsidR="00243879" w:rsidRPr="00243879" w:rsidRDefault="00243879">
          <w:pPr>
            <w:pStyle w:val="TOC1"/>
            <w:rPr>
              <w:rFonts w:asciiTheme="minorHAnsi" w:eastAsiaTheme="minorEastAsia" w:hAnsiTheme="minorHAnsi" w:cstheme="minorBidi"/>
              <w:b w:val="0"/>
              <w:bCs w:val="0"/>
              <w:sz w:val="20"/>
              <w:szCs w:val="20"/>
              <w:lang w:val="en-US"/>
            </w:rPr>
          </w:pPr>
          <w:hyperlink w:anchor="_Toc106188816" w:history="1">
            <w:r w:rsidRPr="00243879">
              <w:rPr>
                <w:rStyle w:val="Hyperlink"/>
                <w:b w:val="0"/>
                <w:bCs w:val="0"/>
                <w:sz w:val="20"/>
                <w:szCs w:val="20"/>
              </w:rPr>
              <w:t>Κεφάλαιο 9: Διάφορες διατάξεις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_Toc106188816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33</w:t>
            </w:r>
            <w:r w:rsidRPr="00243879">
              <w:rPr>
                <w:b w:val="0"/>
                <w:bCs w:val="0"/>
                <w:webHidden/>
                <w:sz w:val="20"/>
                <w:szCs w:val="20"/>
              </w:rPr>
              <w:fldChar w:fldCharType="end"/>
            </w:r>
          </w:hyperlink>
        </w:p>
        <w:p w14:paraId="678D54DC" w14:textId="4D7B634B" w:rsidR="00243879" w:rsidRPr="00243879" w:rsidRDefault="00243879">
          <w:pPr>
            <w:pStyle w:val="TOC1"/>
            <w:rPr>
              <w:rFonts w:asciiTheme="minorHAnsi" w:eastAsiaTheme="minorEastAsia" w:hAnsiTheme="minorHAnsi" w:cstheme="minorBidi"/>
              <w:b w:val="0"/>
              <w:bCs w:val="0"/>
              <w:sz w:val="20"/>
              <w:szCs w:val="20"/>
              <w:lang w:val="en-US"/>
            </w:rPr>
          </w:pPr>
          <w:hyperlink w:anchor="_Toc106188817" w:history="1">
            <w:r w:rsidRPr="00243879">
              <w:rPr>
                <w:rStyle w:val="Hyperlink"/>
                <w:b w:val="0"/>
                <w:bCs w:val="0"/>
                <w:sz w:val="20"/>
                <w:szCs w:val="20"/>
              </w:rPr>
              <w:t>Άρθρο 28: Εξαίρεση αγωγής</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_Toc106188817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33</w:t>
            </w:r>
            <w:r w:rsidRPr="00243879">
              <w:rPr>
                <w:b w:val="0"/>
                <w:bCs w:val="0"/>
                <w:webHidden/>
                <w:sz w:val="20"/>
                <w:szCs w:val="20"/>
              </w:rPr>
              <w:fldChar w:fldCharType="end"/>
            </w:r>
          </w:hyperlink>
        </w:p>
        <w:p w14:paraId="33FD63B3" w14:textId="524BE6FD" w:rsidR="00243879" w:rsidRPr="00243879" w:rsidRDefault="00243879">
          <w:pPr>
            <w:pStyle w:val="TOC1"/>
            <w:rPr>
              <w:rFonts w:asciiTheme="minorHAnsi" w:eastAsiaTheme="minorEastAsia" w:hAnsiTheme="minorHAnsi" w:cstheme="minorBidi"/>
              <w:b w:val="0"/>
              <w:bCs w:val="0"/>
              <w:sz w:val="20"/>
              <w:szCs w:val="20"/>
              <w:lang w:val="en-US"/>
            </w:rPr>
          </w:pPr>
          <w:hyperlink w:anchor="_Toc106188818" w:history="1">
            <w:r w:rsidRPr="00243879">
              <w:rPr>
                <w:rStyle w:val="Hyperlink"/>
                <w:b w:val="0"/>
                <w:bCs w:val="0"/>
                <w:sz w:val="20"/>
                <w:szCs w:val="20"/>
              </w:rPr>
              <w:t>Άρθρο 29: Επίδοση ειδοποιήσεων ή εντολών που εκδίδονται δυνάμει του άρθρου 10</w:t>
            </w:r>
            <w:r w:rsidRPr="00243879">
              <w:rPr>
                <w:b w:val="0"/>
                <w:bCs w:val="0"/>
                <w:webHidden/>
                <w:sz w:val="20"/>
                <w:szCs w:val="20"/>
              </w:rPr>
              <w:tab/>
            </w:r>
            <w:r w:rsidRPr="00243879">
              <w:rPr>
                <w:b w:val="0"/>
                <w:bCs w:val="0"/>
                <w:webHidden/>
                <w:sz w:val="20"/>
                <w:szCs w:val="20"/>
              </w:rPr>
              <w:fldChar w:fldCharType="begin"/>
            </w:r>
            <w:r w:rsidRPr="00243879">
              <w:rPr>
                <w:b w:val="0"/>
                <w:bCs w:val="0"/>
                <w:webHidden/>
                <w:sz w:val="20"/>
                <w:szCs w:val="20"/>
              </w:rPr>
              <w:instrText xml:space="preserve"> PAGEREF _Toc106188818 \h </w:instrText>
            </w:r>
            <w:r w:rsidRPr="00243879">
              <w:rPr>
                <w:b w:val="0"/>
                <w:bCs w:val="0"/>
                <w:webHidden/>
                <w:sz w:val="20"/>
                <w:szCs w:val="20"/>
              </w:rPr>
            </w:r>
            <w:r w:rsidRPr="00243879">
              <w:rPr>
                <w:b w:val="0"/>
                <w:bCs w:val="0"/>
                <w:webHidden/>
                <w:sz w:val="20"/>
                <w:szCs w:val="20"/>
              </w:rPr>
              <w:fldChar w:fldCharType="separate"/>
            </w:r>
            <w:r>
              <w:rPr>
                <w:b w:val="0"/>
                <w:bCs w:val="0"/>
                <w:webHidden/>
                <w:sz w:val="20"/>
                <w:szCs w:val="20"/>
              </w:rPr>
              <w:t>33</w:t>
            </w:r>
            <w:r w:rsidRPr="00243879">
              <w:rPr>
                <w:b w:val="0"/>
                <w:bCs w:val="0"/>
                <w:webHidden/>
                <w:sz w:val="20"/>
                <w:szCs w:val="20"/>
              </w:rPr>
              <w:fldChar w:fldCharType="end"/>
            </w:r>
          </w:hyperlink>
        </w:p>
        <w:p w14:paraId="2FFEEE6D" w14:textId="1AE69376" w:rsidR="003C524C" w:rsidRPr="003E288A" w:rsidRDefault="003C524C" w:rsidP="009A3E29">
          <w:pPr>
            <w:rPr>
              <w:rFonts w:ascii="Times New Roman" w:hAnsi="Times New Roman" w:cs="Times New Roman"/>
            </w:rPr>
          </w:pPr>
          <w:r w:rsidRPr="00883C74">
            <w:rPr>
              <w:rFonts w:ascii="Times New Roman" w:hAnsi="Times New Roman" w:cs="Times New Roman"/>
              <w:sz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188777"/>
      <w:r>
        <w:rPr>
          <w:sz w:val="28"/>
        </w:rPr>
        <w:lastRenderedPageBreak/>
        <w:t>Κεφάλαιο 1: Προκαταρκτικές διατάξεις</w:t>
      </w:r>
      <w:bookmarkEnd w:id="11"/>
    </w:p>
    <w:p w14:paraId="4DB9FF2C" w14:textId="5BDDEC7E" w:rsidR="00A7406B" w:rsidRPr="00835148" w:rsidRDefault="00A7406B" w:rsidP="00883C74">
      <w:pPr>
        <w:pStyle w:val="Heading1"/>
      </w:pPr>
      <w:bookmarkStart w:id="12" w:name="_Toc106188778"/>
      <w:r>
        <w:t>Άρθρο 1: Πρόσθετοι ορισμοί για το μέρος 4Α</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Το παρόν άρθρο προβλέπει ότι:</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Σε αυτό το μέρος:</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ο όρος «εξουσιοδοτημένος υπάλληλος» νοείται σύμφωνα με το άρθρο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ως «μποτ» νοείται ένας αυτοματοποιημένος λογαριασμός, πρόγραμμα λογισμικού ή διαδικασία στο Διαδίκτυο, όπου όλες ή ουσιαστικά όλες οι ενέργειες ή δημοσιεύσεις του λογαριασμού, του προγράμματος ή της διαδικασίας δεν προέρχονται από πρόσωπο·</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ως «παραπληροφόρηση», για τους σκοπούς του παρόντος μέρους και του παρόντος νόμου, νοείται κάθε ψευδής ή παραπλανητική πληροφορία στο Διαδίκτυο για τις εκλογές που: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ενδέχεται να προκαλέσει δημόσια ζημία και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λόγω της φύσης και του χαρακτήρα του περιεχομένου της, του πλαισίου ή ενδεχόμενης σχετικής περίστασης οδηγεί στο συμπέρασμα ότι δημιουργήθηκε ή διαδόθηκε για να εξαπατήσει</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ως «περίοδος προεκλογικής εκστρατείας» νοείται:</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το χρονικό διάστημα (συμπεριλαμβανομένης της εκλογικής περιόδου) που καθορίζεται κατά καιρούς και σε σχέση με τυχόν εκλογές ή δημοψηφίσματα από την Επιτροπή, αρχής γενομένης από ημερομηνία που προηγείται των επικείμενων εκλογών ή δημοψηφίσματος και λήγει την ημέρα διεξαγωγής των εκλογών τη στιγμή κατά την οποία κλείνουν οι κάλπες, οι οποίες ημερομηνίες καθορίζονται σε ανακοίνωση που δημοσιεύεται από την Επιτροπή, όπως κρίνει σκόπιμο, τουλάχιστον επτά ημέρες πριν από την προγενέστερη ημερομηνία·</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η περίοδος που αρχίζει τρεις μήνες πριν από την τελευταία ημερομηνία κατά την οποία απαιτείται από το νόμο η διεξαγωγή εκλογών και λήγει με τη λήξη της εκλογικής περιόδου ή</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σε περίπτωση που δεν ισχύουν τα στοιχεία α) και β), η εκλογική περίοδος·</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 xml:space="preserve">ως «εκλογική περίοδος» νοείται, στο παρόν μέρος, η χρονική περίοδος που αρχίζει από την ημερομηνία κατά την οποία δίνεται εντολή για τη διεξαγωγή ψηφοφορίας </w:t>
      </w:r>
      <w:r>
        <w:rPr>
          <w:rFonts w:ascii="Times New Roman" w:hAnsi="Times New Roman"/>
        </w:rPr>
        <w:lastRenderedPageBreak/>
        <w:t>και λήγει την ημέρα διεξαγωγής της ψηφοφορίας τη χρονική στιγμή κατά την οποία κλείνουν οι κάλπες·</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ως «στόχευση βάσει ομοιοτήτων» νοείται η χρήση δεδομένων από υφιστάμενο κοινό στο Διαδίκτυο για τον εντοπισμό άλλων προσώπων που έχουν παρόμοια χαρακτηριστικά ή συμμετέχουν σε παρόμοιες δραστηριότητες σε επιγραμμική πλατφόρμα·</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t>ως «χειριστική ή μη αυθεντική συμπεριφορά» νοούνται οι τακτικές, τεχνικές και διαδικασίες που:</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συνιστούν παραπλανητική χρήση υπηρεσιών ή χαρακτηριστικών που παρέχονται από επιγραμμικές πλατφόρμες, συμπεριλαμβανομένης της συμπεριφοράς των χρηστών με σκοπό την τεχνητή ενίσχυση της εμβέλειας ή της αντιληπτής δημόσιας υποστήριξης συγκεκριμένου περιεχομένου,</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είναι πιθανό να επηρεάσουν τις πληροφορίες που είναι ορατές σε άλλους χρήστες της εν λόγω πλατφόρμας,</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λόγω της φύσης και του χαρακτήρα τους, του πλαισίου τους ή ενδεχόμενης άλλης σχετικής περίστασης, οδηγούν στο συμπέρασμα ότι προορίζονται να οδηγήσουν στη διάδοση, τη δημοσίευση ή την αύξηση της κυκλοφορίας ψευδών ή παραπλανητικών πληροφοριών στο Διαδίκτυο για τις εκλογές και</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ενδέχεται να προκαλέσουν δημόσια ζημία.</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ως «μικροστόχευση» νοείται η μέθοδος στόχευσης που περιλαμβάνει τη χρήση τεχνικών, εργαλείων ή άλλων μεθόδων ανάλυσης δεδομένων με τα οποία απευθύνεται, μεταδίδεται ή κοινοποιείται μια προσαρμοσμένη πολιτική διαφήμιση στο Διαδίκτυο είτε σε συγκεκριμένο πρόσωπο ή ομάδα προσώπων είτε για την αύξηση της κυκλοφορίας, της εμβέλειας ή της προβολής μιας πολιτικής διαφήμισης στο Διαδίκτυο·</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ως «εσφαλμένη πληροφόρηση», για τους σκοπούς του παρόντος μέρους και του παρόντος νόμου, νοείται κάθε ψευδής ή παραπλανητική πληροφορία για την εκλογική διαδικασία στο Διαδίκτυο που μπορεί να προκαλέσει δημόσια ζημία, ανεξάρτητα από το αν οι πληροφορίες δημιουργήθηκαν ή διαδόθηκαν εν γνώσει της ψευδούς ή παραπλανητικής φύσης τους ή με οποιαδήποτε πρόθεση πρόκλησης τέτοιας ζημίας·</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ως «πληροφορίες για τις εκλογές στο Διαδίκτυο» νοούνται:</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τυχόν πληροφορίες σχετικά με την εκλογική διαδικασία στο Διαδίκτυο· ή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lastRenderedPageBreak/>
        <w:t xml:space="preserve">τυχόν περιεχόμενο στο Διαδίκτυο που σχετίζεται με τα εξής: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έναν υποψήφιο σε εκλογές·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ένα πολιτικό κόμμα που έχει υποψηφίους στις εκλογές,</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ζητήματα που αφορούν εκλογές ή</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t>iv) ζητήματα που αφορούν δημοψήφισμα.</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ως «πληροφορίες σχετικά με την εκλογική διαδικασία στο Διαδίκτυο» νοείται το επιγραμμικό περιεχόμενο πραγματικού χαρακτήρα που σχετίζεται με τη διεξαγωγή εκλογών ή δημοψηφίσματος, το οποίο περιλαμβάνει, μεταξύ άλλων, την εγγραφή των ψηφοφόρων ή των υποψηφίων, τις ώρες και τις τοποθεσίες ψηφοφορίας, τις ρυθμίσεις για την επιστολική ψηφοφορία, το απόρρητο της ψήφου, την καταμέτρηση των ψήφων και κάθε άλλο πραγματολογικό περιεχόμενο που σχετίζεται με τη διεξαγωγή συγκεκριμένων εκλογών ή δημοψηφίσματος ή με τις εκλογές ή τα δημοψηφίσματα γενικότερα·</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t>ως «επιγραμμική πλατφόρμα» νοείται κάθε δικτυακός τόπος, διαδικτυακή εφαρμογή ή ψηφιακή εφαρμογή που απευθύνεται στο ευρύ κοινό και είναι προσβάσιμη από αυτό ή τμήμα του, η οποία:</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έχει τουλάχιστον 100 000 μοναδικούς μηνιαίους χρήστες στο κράτος για περίοδο τουλάχιστον επτά μηνών κατά τη διάρκεια των αμέσως προηγούμενων 12 μηνών από την ημερομηνία κατά την οποία δίνεται εντολή για τη διεξαγωγή ψηφοφορίας και</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εμφανίζει οποιοδήποτε περιεχόμενο για πολιτικούς σκοπούς, συμπεριλαμβανομένων, ενδεικτικά, επιγραμμικών πολιτικών διαφημίσεων·</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ο όρος «πολιτική διαφήμιση στο Διαδίκτυο» έχει την έννοια που του αποδίδεται στο μέρος 4·</w:t>
      </w:r>
    </w:p>
    <w:p w14:paraId="6D559116" w14:textId="3301FD66"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ο όρος«πολιτικοί σκοποί» έχει την έννοια που του αποδίδεται στο άρθρο 22 παράγραφος 2 στοιχείο κζ) του </w:t>
      </w:r>
      <w:hyperlink r:id="rId14">
        <w:r>
          <w:rPr>
            <w:rFonts w:ascii="Times New Roman" w:hAnsi="Times New Roman"/>
            <w:u w:val="single"/>
          </w:rPr>
          <w:t>Εκλογικού νόμου του 1997</w:t>
        </w:r>
      </w:hyperlink>
      <w:r>
        <w:rPr>
          <w:rFonts w:ascii="Times New Roman" w:hAnsi="Times New Roman"/>
        </w:rP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ως «εντολή διεξαγωγής ψηφοφορίας» νοείται η εντολή που εκδίδεται από τον υπουργό για τον ορισμό ημερομηνίας για τη διεξαγωγή ψηφοφορίας, η οποία:</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σε περίπτωση εκλογών για την Ιρλανδική Βουλή των Αντιπροσώπων (Dáil), εκδίδεται σύμφωνα με το άρθρο 96 του </w:t>
      </w:r>
      <w:r>
        <w:rPr>
          <w:u w:val="single"/>
        </w:rPr>
        <w:t>Εκλογικού νόμου του 1992</w:t>
      </w:r>
      <w:r>
        <w:t>,</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σε περίπτωση εκλογών για το Ευρωπαϊκό Κοινοβούλιο, εκδίδεται σύμφωνα με το άρθρο 10 του </w:t>
      </w:r>
      <w:r>
        <w:rPr>
          <w:u w:val="single"/>
        </w:rPr>
        <w:t>νόμου του 1997</w:t>
      </w:r>
      <w:r>
        <w:t>,</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lastRenderedPageBreak/>
        <w:t xml:space="preserve">σε περίπτωση τοπικών εκλογών, εκδίδεται σύμφωνα με το άρθρο 26 του </w:t>
      </w:r>
      <w:r>
        <w:rPr>
          <w:u w:val="single"/>
        </w:rPr>
        <w:t>νόμου περί τοπικής αυτοδιοίκησης του 2001</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σε περίπτωση προεδρικών εκλογών, εκδίδεται σύμφωνα με το άρθρο 6 παράγραφος 1 στοιχείο γ) του </w:t>
      </w:r>
      <w:r>
        <w:rPr>
          <w:u w:val="single"/>
        </w:rPr>
        <w:t>νόμου περί προεδρικών εκλογών του 1993</w:t>
      </w:r>
      <w:r>
        <w:t>,</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σε περίπτωση δημοψηφίσματος, εκδίδεται σύμφωνα με το άρθρο 10 ή το άρθρο 12 του </w:t>
      </w:r>
      <w:r>
        <w:rPr>
          <w:u w:val="single"/>
        </w:rPr>
        <w:t>νόμου του 1994</w:t>
      </w:r>
      <w:r>
        <w:t xml:space="preserve"> ή</w:t>
      </w:r>
    </w:p>
    <w:p w14:paraId="4B10A3B0" w14:textId="6E6300F4"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σε περίπτωση εκλογών για την Ιρλανδική Γερουσία (Seanad), εκδίδεται σύμφωνα με το άρθρο 12 του </w:t>
      </w:r>
      <w:hyperlink r:id="rId15">
        <w:r>
          <w:rPr>
            <w:u w:val="single"/>
          </w:rPr>
          <w:t>εκλογικού νόμου για την Ιρλανδική Γερουσία</w:t>
        </w:r>
      </w:hyperlink>
      <w:r>
        <w:rPr>
          <w:u w:val="single"/>
        </w:rPr>
        <w:t xml:space="preserve"> (Πανεπιστημιακά μέλη) του 1937 και σύμφωνα με το άρθρο 24 του εκλογικού νόμου για την Ιρλανδική Γερουσία (Μέλη επιτροπών) του 1947</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ως «δημόσια ζημία» νοείται κάθε σοβαρή απειλή κατά του δίκαιου χαρακτήρα ή της ακεραιότητας εκλογών ή δημοψηφίσματος·</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t>ως «σύστημα συστάσεων» νοείται ένα πλήρως ή μερικώς αυτοματοποιημένο σύστημα που χρησιμοποιείται από επιγραμμική πλατφόρμα για να προτείνει, στην επιγραμμική διεπαφή της, συγκεκριμένες πληροφορίες στους αποδέκτες της υπηρεσίας, μεταξύ άλλων ως αποτέλεσμα αναζήτησης που ξεκίνησε από τον αποδέκτη ή καθορίζοντας με άλλον τρόπο τη σχετική σειρά ή προβολή των πληροφοριών που εμφανίζονται.</w:t>
      </w:r>
    </w:p>
    <w:p w14:paraId="3DB1D383" w14:textId="68215284" w:rsidR="00FE377C" w:rsidRPr="00835148" w:rsidRDefault="00FE377C" w:rsidP="00883C74">
      <w:pPr>
        <w:pStyle w:val="Heading1"/>
      </w:pPr>
      <w:bookmarkStart w:id="14" w:name="_Toc106188779"/>
      <w:r>
        <w:t>Άρθρο 2: Καθήκοντα της Επιτροπής όσον αφορά τις πληροφορίες για τις εκλογές στο Διαδίκτυο και τη χειριστική ή μη αυθεντική συμπεριφορά</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Το παρόν άρθρο προβλέπει ότι:</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Καθήκον της Επιτροπής είναι η προστασία του δίκαιου χαρακτήρα και της ακεραιότητας των εκλογών και των δημοψηφισμάτων σύμφωνα με το παρόν μέρος.</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Καθήκον της Επιτροπής είναι να παρακολουθεί, να διερευνά και να καταπολεμά τη διάδοση των εξής:</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της παραπληροφόρησης και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της εσφαλμένης πληροφόρησης.</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Καθήκον της Επιτροπής είναι να παρακολουθεί, να διερευνά και να εντοπίζει χειριστική ή μη αυθεντική συμπεριφορά.</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Καθήκον της Επιτροπής είναι να παρακολουθεί, να διερευνά και να εντοπίζει τις τάσεις όσον αφορά τα εξής: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παραπληροφόρηση,</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εσφαλμένη πληροφόρηση και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χειριστική ή μη αυθεντική συμπεριφορά.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Καθήκον της Επιτροπής είναι η προώθηση της ευαισθητοποίησης του κοινού σχετικά με την εσφαλμένη πληροφόρηση, την παραπληροφόρηση και τη χειριστική ή μη αυθεντική συμπεριφορά και δύναται να θεσπίζει, να διευκολύνει ή να προωθεί εκπαιδευτικά προγράμματα ή προγράμματα ενημέρωσης για την άσκηση αυτού του καθήκοντος.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Η Επιτροπή έχει την εξουσία να συνάπτει συμβάσεις και άλλες συμφωνίες με πρόσωπα ή οργανισμούς εντός του κράτους ή αλλού.</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18878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Άρθρο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Συγκρότηση και ρόλος της συμβουλευτικής επιτροπής</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Το παρόν άρθρο προβλέπει ότι:</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Η Επιτροπή συγκροτεί συμβουλευτική επιτροπή για τις πληροφορίες για τις εκλογές στο Διαδίκτυο (η οποία στο παρόν μέρος αποκαλείται «συμβουλευτική επιτροπή») για την παροχή συμβουλών στην Επιτροπή.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Η συμβουλευτική επιτροπή, κατόπιν αιτήματος και, κατά περίπτωση, αυτεπαγγέλτως, παρέχει συμβουλές στην Επιτροπή σχετικά με τα εξής: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Τη φύση και τις επιπτώσεις της παραπληροφόρησης και της εσφαλμένης πληροφόρησης και</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Όπου είναι εφικτό, σχετικά με την άσκηση από την Επιτροπή των εξουσιών της δυνάμει του παρόντος μέρους.</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Η συμβουλευτική επιτροπή απαρτίζεται το μέγιστο από έξι μέλη τα οποία διορίζονται από την Επιτροπή με εξειδικευμένες γνώσεις στους εξής τομείς:</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την εκλογική διαδικασία και τη διαδικασία διεξαγωγής δημοψηφίσματος στο κράτος,</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την προώθηση του δίκαιου χαρακτήρα και της ακεραιότητας των εκλογών και των δημοψηφισμάτων και</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τη χρήση της τεχνολογίας των πληροφοριών και την διάδοση πληροφοριών στο Διαδίκτυο στο πλαίσιο εκλογών και δημοψηφισμάτων.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188781"/>
      <w:bookmarkEnd w:id="66"/>
      <w:bookmarkEnd w:id="67"/>
      <w:bookmarkEnd w:id="68"/>
      <w:bookmarkEnd w:id="69"/>
      <w:bookmarkEnd w:id="70"/>
      <w:r>
        <w:lastRenderedPageBreak/>
        <w:t>Άρθρο 4: Συγκρότηση και ρόλος του συμβουλίου ενδιαφερομένων μερών</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Το παρόν άρθρο προβλέπει ότι</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Η Επιτροπή συγκροτεί συμβούλιο ενδιαφερόμενων μερών για την παροχή συμβουλών στην Επιτροπή σχετικά με την κατάρτιση και τη χρήση κωδίκων δεοντολογίας.</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Το συμβούλιο ενδιαφερομένων μερών απαρτίζεται το μέγιστο από 15 πρόσωπα που διορίζονται από την Επιτροπή για να εκφράζουν τις απόψεις των μελών του Ιρλανδικού Κοινοβουλίου (Oireachtas), καθώς και τις απόψεις των συμφερόντων των εντύπων, ραδιοτηλεοπτικών και επιγραμμικών μέσων ενημέρωσης και των μεμονωμένων πολιτικών κομμάτων.</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Κεφάλαιο 2: Υποχρεώσεις που επιβάλλονται σε χρήστες επιγραμμικών πλατφορμών και σε επιγραμμικές πλατφόρμες</w:t>
      </w:r>
    </w:p>
    <w:p w14:paraId="202A1993" w14:textId="5E0AEEEA" w:rsidR="00BF3C23" w:rsidRDefault="00BF3C23" w:rsidP="00883C74">
      <w:pPr>
        <w:pStyle w:val="Heading1"/>
      </w:pPr>
      <w:bookmarkStart w:id="72" w:name="_Toc106188782"/>
      <w:r>
        <w:t>[Το άρθρο 5 διαγράφεται]</w:t>
      </w:r>
      <w:bookmarkEnd w:id="72"/>
    </w:p>
    <w:p w14:paraId="647C6724" w14:textId="77777777" w:rsidR="00C47AF9" w:rsidRPr="00243879" w:rsidRDefault="00C47AF9" w:rsidP="00687387"/>
    <w:p w14:paraId="4D5E71E3" w14:textId="02045E7F" w:rsidR="00AD5419" w:rsidRPr="00835148" w:rsidRDefault="00AD5419" w:rsidP="00883C74">
      <w:pPr>
        <w:pStyle w:val="Heading1"/>
      </w:pPr>
      <w:bookmarkStart w:id="73" w:name="_Toc106188783"/>
      <w:r>
        <w:t>Άρθρο 6: Υποχρέωση των επιγραμμικών πλατφορμών να παρέχουν πληροφορίες στην Επιτροπή</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Το παρόν άρθρο προβλέπει ότι:</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Όταν, κατά τη διάρκεια περιόδου προεκλογικής εκστρατείας, μια επιγραμμική πλατφόρμα πεισθεί από πληροφορίες των οποίων έχει λάβει γνώση, μεταξύ άλλων μέσω κοινοποίησης που λαμβάνεται μέσω μηχανισμού καταγγελιών που έχει συσταθεί στο πλαίσιο του άρθρου 7, ότι οι υπηρεσίες της μπορούν να χρησιμοποιηθούν για σκοπούς: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παραπληροφόρησης</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εσφαλμένης πληροφόρησης ή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χειριστικής ή μη αυθεντικής συμπεριφοράς,</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η επιγραμμική πλατφόρμα γνωστοποιεί στην Επιτροπή την εν λόγω παραπληροφόρηση, εσφαλμένη πληροφόρηση ή χειριστική ή μη αυθεντική συμπεριφορά χωρίς αδικαιολόγητη καθυστέρηση.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Με την επιφύλαξη της παραγράφου 1, το συντομότερο δυνατόν κατά την έναρξη της περιόδου προεκλογικής εκστρατείας, επιγραμμική πλατφόρμα με περισσότερους από 1 εκατομμύριο μοναδικούς μηνιαίους χρήστες στο κράτος καταρτίζει και διαβιβάζει στην Επιτροπή έκθεση στην οποία περιγράφονται τυχόν σημαντικοί κίνδυνοι για τον δίκαιο χαρακτήρα ή την ακεραιότητα των εκλογών ή του δημοψηφίσματος που προκύπτουν από την παραπληροφόρηση, την εσφαλμένη πληροφόρηση ή την χειριστική ή μη αυθεντική συμπεριφορά στις υπηρεσίες της.</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Η έκθεση που αναφέρεται στην παράγραφο 2 περιλαμβάνει τουλάχιστον τα εξής:</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Πληροφορίες σχετικά με τη συχνότητα εμφάνισης της σχετικής εσφαλμένης πληροφόρησης και παραπληροφόρησης στην υπηρεσία της επιγραμμικής πλατφόρμας, συμπεριλαμβανομένων των κοινοποιήσεων που ελήφθησαν στο πλαίσιο του άρθρου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Πληροφορίες σχετικά με τη συχνότητα εμφάνισης χειριστικής ή μη αυθεντικής συμπεριφοράς στην υπηρεσία της επιγραμμικής πλατφόρμας, συμπεριλαμβανομένων των κοινοποιήσεων που λαμβάνονται στο πλαίσιο του άρθρου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Πληροφορίες σχετικά με τη συχνότητα εμφάνισης φαινομένων μικροστόχευσης ή στόχευσης βάσει ομοιοτήτων στις υπηρεσίες που παρέχονται από την επιγραμμική πλατφόρμα και</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Πληροφορίες σχετικά με τυχόν κινδύνους που ενέχει η λειτουργία οποιουδήποτε συστήματος συστάσεων που χρησιμοποιείται από την επιγραμμική πλατφόρμα για τη διανομή και την προώθηση περιεχομένου.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Οι πληροφορίες που παρέχονται στην έκθεση που αναφέρεται στην παράγραφο 2 περιλαμβάνουν μη τεχνικές περιλήψεις των θεμάτων που περιγράφονται στην παράγραφο 3 στοιχεία α) έως δ).</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Η Επιτροπή παρακολουθεί τη συμμόρφωση των επιγραμμικών πλατφορμών με τις απαιτήσεις του παρόντος άρθρου. </w:t>
      </w:r>
    </w:p>
    <w:p w14:paraId="629AD04A" w14:textId="4B923B99" w:rsidR="00AD5419" w:rsidRPr="00835148" w:rsidRDefault="00AD5419" w:rsidP="00883C74">
      <w:pPr>
        <w:pStyle w:val="Heading1"/>
      </w:pPr>
      <w:bookmarkStart w:id="74" w:name="_Toc106188784"/>
      <w:r>
        <w:t>Άρθρο 7: Υποχρέωση της επιγραμμικής πλατφόρμας να θέσει σε εφαρμογή μηχανισμό κοινοποίησης</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Το παρόν άρθρο προβλέπει ότι:</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Οι επιγραμμικές πλατφόρμες θέτουν σε εφαρμογή μηχανισμούς που επιτρέπουν σε κάθε πρόσωπο ή οντότητα να τους γνωστοποιεί την παρουσία στις πλατφόρμες πληροφοριών τις οποίες το πρόσωπο ή η οντότητα θεωρεί ότι συνιστούν:</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παραπληροφόρηση ή</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εσφαλμένη πληροφόρηση.</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Οι επιγραμμικές πλατφόρμες θέτουν σε εφαρμογή μηχανισμούς που επιτρέπουν σε οποιοδήποτε πρόσωπο ή οντότητα να τους γνωστοποιεί την παρουσία στην υπηρεσία τους συγκεκριμένων δραστηριοτήτων ή συμπεριφορών σε σχέση με πληροφορίες για τις εκλογές στο Διαδίκτυο τις οποίες το πρόσωπο ή η οντότητα θεωρεί ότι συνιστούν χειριστική ή μη αυθεντική συμπεριφορά.</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Οι μηχανισμοί που προβλέπονται στις παραγράφους 1 και 2 είναι εύκολα προσβάσιμοι, φιλικοί προς τον χρήστη και επιτρέπουν την υποβολή κοινοποιήσεων αποκλειστικά μέσω ηλεκτρονικών μέσων.</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Οι επιγραμμικές πλατφόρμες αξιολογούν, επεξεργάζονται και προσδιορίζουν </w:t>
      </w:r>
      <w:r>
        <w:rPr>
          <w:rFonts w:ascii="Times New Roman" w:hAnsi="Times New Roman"/>
        </w:rPr>
        <w:lastRenderedPageBreak/>
        <w:t xml:space="preserve">την εγκυρότητα των ανησυχιών που εγείρονται με τις κοινοποιήσεις που λαμβάνονται σύμφωνα με τις παραγράφους 1 ή 2 χωρίς αδικαιολόγητη καθυστέρηση.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Οι επιγραμμικές πλατφόρμες τηρούν αρχείο όλων των κοινοποιήσεων που λαμβάνονται δυνάμει της παραγράφου 1 ή 2 και του αποτελέσματος της διαδικασίας λήψης αποφάσεων που αναφέρεται στην παράγραφο 4 για διάστημα δύο ετών μετά τη λήξη της σχετικής εκλογικής περιόδου.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Οι επιγραμμικές πλατφόρμες θέτουν το αρχείο που αναφέρεται στην παράγραφο 5 στη διάθεση της Επιτροπής προς επιθεώρηση κατόπιν εύλογης ειδοποίησης.</w:t>
      </w:r>
    </w:p>
    <w:p w14:paraId="2A6361BF" w14:textId="6F696EA4" w:rsidR="00AD5419" w:rsidRPr="008273CD" w:rsidRDefault="00AD5419" w:rsidP="008273CD">
      <w:pPr>
        <w:pStyle w:val="Heading1"/>
        <w:jc w:val="center"/>
        <w:rPr>
          <w:sz w:val="28"/>
          <w:szCs w:val="28"/>
        </w:rPr>
      </w:pPr>
      <w:bookmarkStart w:id="75" w:name="_Toc106188785"/>
      <w:r>
        <w:rPr>
          <w:sz w:val="28"/>
        </w:rPr>
        <w:t>Κεφάλαιο 3: Εξουσίες της Επιτροπής</w:t>
      </w:r>
      <w:bookmarkEnd w:id="75"/>
    </w:p>
    <w:p w14:paraId="289914F5" w14:textId="47AA4F6A" w:rsidR="00511749" w:rsidRPr="00835148" w:rsidRDefault="00511749" w:rsidP="00883C74">
      <w:pPr>
        <w:pStyle w:val="Heading1"/>
      </w:pPr>
      <w:bookmarkStart w:id="76" w:name="_Toc106188786"/>
      <w:r>
        <w:t>Άρθρο 8: Παρακολούθηση των πληροφοριών για τις εκλογές στο Διαδίκτυο από την Επιτροπή και έρευνες σχετικά με το ίδιο θέμα</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t>Το παρόν άρθρο προβλέπει ότι:</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Η Επιτροπή δύναται, για τους σκοπούς της εκπλήρωσης των καθηκόντων της δυνάμει του παρόντος μέρους, να παρακολουθεί τις πληροφορίες για τις εκλογές στο Διαδίκτυο.</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Όταν η Επιτροπή έχει λόγους να πιστεύει ότι συγκεκριμένες πληροφορίες για τις εκλογές στο Διαδίκτυο ενδέχεται:</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να αποτελούν παραπληροφόρηση,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να αποτελούν εσφαλμένη πληροφόρηση ή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να περιλαμβάνουν χειριστική ή μη αυθεντική συμπεριφορά, συμπεριλαμβανομένης της χρήσης μη κοινοποιημένων μποτ,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η Επιτροπή δύναται να εξετάζει ή να διερευνά ή να διορίζει εξουσιοδοτημένο υπάλληλο για να εξετάζει ή να διερευνά οποιοδήποτε θέμα τέτοιου είδους.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Η Επιτροπή δύναται να προβεί στις έρευνες που κρίνει κατάλληλες ή να αναθέσει σε εξουσιοδοτημένο υπάλληλο να προβεί στις έρευνες αυτές. Η Επιτροπή, ή εξουσιοδοτημένος υπάλληλος, δύναται να ζητήσει από κάθε πρόσωπο να προσκομίσει χωρίς καθυστέρηση οποιαδήποτε πληροφορία, έγγραφο ή οτιδήποτε υπάρχει στην κατοχή ή προμήθεια του προσώπου αυτού, το οποίο μπορεί να ζητήσει η Επιτροπή ή ο εξουσιοδοτημένος υπάλληλος για τους σκοπούς της έρευνας.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lastRenderedPageBreak/>
        <w:t xml:space="preserve">Όλες οι εξουσίες έρευνας των εξουσιοδοτημένων υπαλλήλων που μπορούν να ασκηθούν δυνάμει του μέρους 4 σε σχέση με πολιτικές διαφημίσεις στο Διαδίκτυο ή με άλλο τρόπο μπορούν να ασκούνται </w:t>
      </w:r>
      <w:r>
        <w:rPr>
          <w:rFonts w:ascii="Times New Roman" w:hAnsi="Times New Roman"/>
          <w:i/>
        </w:rPr>
        <w:t>τηρουμένων των αναλογιών</w:t>
      </w:r>
      <w:r>
        <w:rPr>
          <w:rFonts w:ascii="Times New Roman" w:hAnsi="Times New Roman"/>
        </w:rPr>
        <w:t xml:space="preserve"> για τα καθήκοντα της Επιτροπής βάσει του παρόντος μέρους με παρόμοιο τρόπο όσον αφορά ψευδείς (ή παραπλανητικές) πληροφορίες για τις εκλογές στο Διαδίκτυο και χειριστική ή μη αυθεντική συμπεριφορά. </w:t>
      </w:r>
    </w:p>
    <w:p w14:paraId="2712EF5A" w14:textId="77777777" w:rsidR="000F1EE0" w:rsidRPr="00243879" w:rsidRDefault="000F1EE0" w:rsidP="0054587C">
      <w:pPr>
        <w:pStyle w:val="ListParagraph"/>
        <w:ind w:left="1418"/>
        <w:jc w:val="both"/>
        <w:rPr>
          <w:rFonts w:ascii="Times New Roman" w:hAnsi="Times New Roman" w:cs="Times New Roman"/>
          <w:szCs w:val="24"/>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Όταν εξουσιοδοτημένος υπάλληλος υποβάλλει έκθεση στην Επιτροπή σχετικά με ψευδείς (ή παραπλανητικές) πληροφορίες για τις εκλογές στο Διαδίκτυο ή χειριστική ή μη αυθεντική συμπεριφορά δυνάμει της παραγράφου 5, η Επιτροπή εξετάζει την εν λόγω έκθεση, τυχόν υποβληθείσες παρατηρήσεις και τυχόν συστάσεις του εξουσιοδοτημένου υπαλλήλου ή του μέλους του προσωπικού της Επιτροπής που της υποβλήθηκαν.</w:t>
      </w:r>
    </w:p>
    <w:p w14:paraId="0E40789A" w14:textId="77777777" w:rsidR="000F1EE0" w:rsidRPr="00243879" w:rsidRDefault="000F1EE0" w:rsidP="0054587C">
      <w:pPr>
        <w:pStyle w:val="ListParagraph"/>
        <w:rPr>
          <w:rFonts w:ascii="Times New Roman" w:hAnsi="Times New Roman" w:cs="Times New Roman"/>
          <w:szCs w:val="24"/>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Η Επιτροπή δύναται, εφόσον κρίνει σκόπιμο, να καλέσει κάθε πρόσωπο για το οποίο, κατά τη γνώμη του εξουσιοδοτημένου υπαλλήλου ή του μέλους του προσωπικού της Επιτροπής, υπάρχουν βάσιμοι λόγοι να πιστεύει ότι ενδέχεται να παραβιάζει, να έχει παραβιάσει ή ότι παραβίασε τις υποχρεώσεις που υπέχει δυνάμει του παρόντος μέρους, σύμφωνα με τις οποίες οφείλει να υποβάλει περαιτέρω γραπτές παρατηρήσεις στην Επιτροπή εντός της προθεσμίας που ορίζει η Επιτροπή αναφορικά με τη γνώμη και την έκθεση που υποβάλλει στην Επιτροπή ο εξουσιοδοτημένος υπάλληλος ή το μέλος του προσωπικού. </w:t>
      </w:r>
    </w:p>
    <w:p w14:paraId="3F5C6539" w14:textId="77777777" w:rsidR="000F1EE0" w:rsidRPr="00243879" w:rsidRDefault="000F1EE0" w:rsidP="0054587C">
      <w:pPr>
        <w:pStyle w:val="ListParagraph"/>
        <w:rPr>
          <w:rFonts w:ascii="Times New Roman" w:hAnsi="Times New Roman" w:cs="Times New Roman"/>
          <w:szCs w:val="24"/>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Μετά την εξέταση της έκθεσης και ενδεχόμενων συστάσεων του εξουσιοδοτημένου υπαλλήλου δυνάμει της παραγράφου 5 ή μέλους του προσωπικού της Επιτροπής, καθώς και ενδεχόμενων περαιτέρω παρατηρήσεων που υποβάλλονται δυνάμει της παραγράφου 6, η Επιτροπή δύναται: </w:t>
      </w:r>
    </w:p>
    <w:p w14:paraId="21B60AE3" w14:textId="77777777" w:rsidR="000F1EE0" w:rsidRPr="00243879" w:rsidRDefault="000F1EE0" w:rsidP="000F1EE0">
      <w:pPr>
        <w:pStyle w:val="ListParagraph"/>
        <w:ind w:left="1418"/>
        <w:jc w:val="both"/>
        <w:rPr>
          <w:rFonts w:ascii="Times New Roman" w:hAnsi="Times New Roman" w:cs="Times New Roman"/>
          <w:szCs w:val="24"/>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να μην προβεί σε περαιτέρω ενέργειες,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εάν πεισθεί ότι διαπράττεται ή έχει διαπραχθεί παράβαση, να ασκήσει οποιαδήποτε από τις εξουσίες που διαθέτει δυνάμει του άρθρου 10 σε σχέση με οποιοδήποτε πρόσωπο θεωρεί ότι παραβιάζει ή έχει παραβιάσει τις απαιτήσεις του παρόντος μέρους,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να δημοσιεύσει την έκθεση της έρευνας ή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εάν πεισθεί ότι διαπράττεται ή έχει διαπραχθεί παράβαση, να ασκήσει δίωξη για κάθε αδίκημα που μπορεί να έχει διαπραχθεί σύμφωνα με τα άρθρα 24, 25 και 26.</w:t>
      </w:r>
    </w:p>
    <w:p w14:paraId="7DA53FB5" w14:textId="77777777" w:rsidR="0038298A" w:rsidRPr="00243879" w:rsidRDefault="0038298A" w:rsidP="0096718D">
      <w:pPr>
        <w:pStyle w:val="ListParagraph"/>
        <w:spacing w:before="240" w:after="240"/>
        <w:ind w:left="1440"/>
        <w:contextualSpacing w:val="0"/>
        <w:jc w:val="both"/>
        <w:rPr>
          <w:rFonts w:ascii="Times New Roman" w:hAnsi="Times New Roman" w:cs="Times New Roman"/>
          <w:szCs w:val="24"/>
        </w:rPr>
      </w:pPr>
    </w:p>
    <w:p w14:paraId="57A69D5C" w14:textId="27364FBC" w:rsidR="00231DDE" w:rsidRPr="00883C74" w:rsidRDefault="00231DDE" w:rsidP="003354AE">
      <w:pPr>
        <w:pStyle w:val="Heading1"/>
      </w:pPr>
      <w:bookmarkStart w:id="77" w:name="_Toc106188787"/>
      <w:r>
        <w:lastRenderedPageBreak/>
        <w:t>Άρθρο 8Α: Ανάθεση των εξουσιών της Επιτροπής στον γενικό διευθυντή (ή άλλο μέλος της Επιτροπής)</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Το παρόν άρθρο προβλέπει ότι:</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Η Επιτροπή δύναται, με διάταγμα, να αναθέσει την άσκηση των εξουσιών που της ανατίθενται δυνάμει του άρθρου 10, όπως η Επιτροπή κρίνει κατάλληλο, στον γενικό διευθυντή της (ή σε άλλο μέλος της Επιτροπής) και ο γενικός διευθυντής (ή άλλο μέλος της Επιτροπής) ασκεί τα καθήκοντα που αρμόζουν στις εξουσίες που του ανατέθηκαν κατ’ αυτόν τον τρόπο και ενεργεί για τον σκοπό αυτό αντί της Επιτροπής.</w:t>
      </w:r>
    </w:p>
    <w:p w14:paraId="0566BE66" w14:textId="77777777" w:rsidR="00473A30" w:rsidRPr="00243879" w:rsidRDefault="00473A30" w:rsidP="004A5780">
      <w:pPr>
        <w:pStyle w:val="ListParagraph"/>
        <w:ind w:left="1440"/>
        <w:jc w:val="both"/>
        <w:rPr>
          <w:rFonts w:ascii="Times New Roman" w:hAnsi="Times New Roman" w:cs="Times New Roman"/>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Όταν η εξουσιοδότηση πραγματοποιείται σύμφωνα με την παράγραφο 2:</w:t>
      </w:r>
    </w:p>
    <w:p w14:paraId="37E49455" w14:textId="34697F8D" w:rsidR="00B95721" w:rsidRPr="00243879" w:rsidRDefault="00B95721" w:rsidP="00B95721">
      <w:pPr>
        <w:pStyle w:val="ListParagraph"/>
        <w:ind w:left="1440"/>
        <w:jc w:val="both"/>
        <w:rPr>
          <w:rFonts w:ascii="Times New Roman" w:hAnsi="Times New Roman" w:cs="Times New Roman"/>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α)</w:t>
      </w:r>
      <w:r>
        <w:rPr>
          <w:rFonts w:ascii="Times New Roman" w:hAnsi="Times New Roman"/>
        </w:rPr>
        <w:tab/>
        <w:t>ο γενικός διευθυντής της Επιτροπής (ή άλλο μέλος της Επιτροπής) ασκεί την ανατεθείσα εξουσία υπό τη γενική διεύθυνση και τον έλεγχο της Επιτροπής,</w:t>
      </w:r>
    </w:p>
    <w:p w14:paraId="20C29B06" w14:textId="77777777" w:rsidR="00B95721" w:rsidRPr="00243879" w:rsidRDefault="00B95721" w:rsidP="00B95721">
      <w:pPr>
        <w:pStyle w:val="ListParagraph"/>
        <w:spacing w:before="240" w:after="240"/>
        <w:jc w:val="both"/>
        <w:rPr>
          <w:rFonts w:ascii="Times New Roman" w:hAnsi="Times New Roman" w:cs="Times New Roman"/>
          <w:szCs w:val="24"/>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β)</w:t>
      </w:r>
      <w:r>
        <w:rPr>
          <w:rFonts w:ascii="Times New Roman" w:hAnsi="Times New Roman"/>
        </w:rPr>
        <w:tab/>
        <w:t>ο γενικός διευθυντής της Επιτροπής (ή άλλο μέλος της Επιτροπής) ασκεί την εξουσία που του έχει ανατεθεί σύμφωνα με τους περιορισμούς (αν υπάρχουν) που καθορίζονται στην ανάθεση ως προς το χρονικό διάστημα ή τον βαθμό στον οποίο θα ασκήσει την εν λόγω εξουσία,</w:t>
      </w:r>
    </w:p>
    <w:p w14:paraId="02207781" w14:textId="77777777" w:rsidR="00B95721" w:rsidRPr="00243879" w:rsidRDefault="00B95721" w:rsidP="00B95721">
      <w:pPr>
        <w:pStyle w:val="ListParagraph"/>
        <w:spacing w:before="240" w:after="240"/>
        <w:jc w:val="both"/>
        <w:rPr>
          <w:rFonts w:ascii="Times New Roman" w:hAnsi="Times New Roman" w:cs="Times New Roman"/>
          <w:szCs w:val="24"/>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γ)</w:t>
      </w:r>
      <w:r>
        <w:rPr>
          <w:rFonts w:ascii="Times New Roman" w:hAnsi="Times New Roman"/>
        </w:rPr>
        <w:tab/>
        <w:t>διάταξη της παρούσας ή οποιασδήποτε άλλης νομοθετικής πράξης, ή δυνάμει αυτής, η οποία αναθέτει εξουσίες στην Επιτροπή ή ρυθμίζει τον τρόπο άσκησης οποιασδήποτε εξουσίας, ισχύει, εφόσον και στον βαθμό που ισχύει για την ανατεθείσα εξουσία, για τους σκοπούς της άσκησης της εξουσίας από τον γενικό διευθυντή (ή άλλο μέλος της Επιτροπής), με την αντικατάσταση του γενικού διευθυντή της Επιτροπής (ή άλλου μέλους της Επιτροπής) από τον γενικό διευθυντή της Επιτροπής (ή άλλο μέλος της Επιτροπής) και κάθε τέτοια διάταξη ερμηνεύεται αναλόγως.</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Όταν ανατίθεται εξουσία δυνάμει του παρόντος άρθρου, αυτή εξακολουθεί να περιέρχεται στην Επιτροπή, αλλά περιέρχεται ταυτόχρονα στον γενικό διευθυντή της Επιτροπής (ή σε άλλο μέλος της Επιτροπής) στον οποίο έχει ανατεθεί και έτσι να μπορεί να ασκείται είτε από την Επιτροπή είτε από τον γενικό διευθυντή της Επιτροπής (ή άλλο μέλος της Επιτροπής).</w:t>
      </w:r>
    </w:p>
    <w:p w14:paraId="0D79649F" w14:textId="77777777" w:rsidR="00B95721" w:rsidRPr="00243879" w:rsidRDefault="00B95721" w:rsidP="004A5780">
      <w:pPr>
        <w:pStyle w:val="ListParagraph"/>
        <w:ind w:left="1440"/>
        <w:jc w:val="both"/>
        <w:rPr>
          <w:rFonts w:ascii="Times New Roman" w:hAnsi="Times New Roman" w:cs="Times New Roman"/>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Η Επιτροπή μπορεί με απόφαση να τροποποιήσει ή να ανακαλέσει εξουσιοδότηση που πραγματοποιήθηκε δυνάμει του παρόντος άρθρου.</w:t>
      </w:r>
    </w:p>
    <w:p w14:paraId="770C7821" w14:textId="77777777" w:rsidR="00B95721" w:rsidRPr="00243879" w:rsidRDefault="00B95721" w:rsidP="004A5780">
      <w:pPr>
        <w:pStyle w:val="ListParagraph"/>
        <w:ind w:left="1440"/>
        <w:jc w:val="both"/>
        <w:rPr>
          <w:rFonts w:ascii="Times New Roman" w:hAnsi="Times New Roman" w:cs="Times New Roman"/>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lastRenderedPageBreak/>
        <w:t>Η Επιτροπή δύναται ανά πάσα στιγμή να παράσχει στον γενικό διευθυντή της Επιτροπής (ή άλλο μέλος της Επιτροπής) κάθε υλικό στοιχείο ή πληροφορία που προκύπτει από έρευνα δυνάμει του άρθρου 8, συμπεριλαμβανομένης κάθε έκθεσης που εκπονείται από εξουσιοδοτημένο υπάλληλο, και το πράττει αυτό όταν κρίνει ότι οι πληροφορίες ενδέχεται να είναι αναγκαίες για την ορθή άσκηση των εξουσιών που απορρέουν από το άρθρο 10 και οι οποίες έχουν ανατεθεί στον γενικό διευθυντή της Επιτροπής (ή σε άλλο μέλος της Επιτροπής) δυνάμει του παρόντος άρθρου.</w:t>
      </w:r>
    </w:p>
    <w:p w14:paraId="04BCABA0" w14:textId="77777777" w:rsidR="00375AED" w:rsidRPr="00243879" w:rsidRDefault="00375AED" w:rsidP="004A5780">
      <w:pPr>
        <w:pStyle w:val="ListParagraph"/>
        <w:ind w:left="1440"/>
        <w:jc w:val="both"/>
        <w:rPr>
          <w:rFonts w:ascii="Times New Roman" w:hAnsi="Times New Roman" w:cs="Times New Roman"/>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Τυχόν ελαττώματα σε εξουσιοδότηση του παρόντος άρθρου ή η απουσία εξουσιοδότησης όσον αφορά εξουσία που ασκεί ο γενικός διευθυντής της Επιτροπής (ή άλλο μέλος της Επιτροπής), ο οποίος ενεργεί καλή τη πίστει για λογαριασμό της Επιτροπής, δεν συνεπάγονται αυτά καθ’ εαυτά την ακύρωση οποιασδήποτε άσκησης εξουσιών δυνάμει του άρθρου 10 από τον γενικό διευθυντή της Επιτροπής (ή άλλο μέλος της Επιτροπής).</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188788"/>
      <w:bookmarkEnd w:id="78"/>
      <w:bookmarkEnd w:id="79"/>
      <w:bookmarkEnd w:id="80"/>
      <w:bookmarkEnd w:id="81"/>
      <w:bookmarkEnd w:id="82"/>
      <w:bookmarkEnd w:id="83"/>
      <w:bookmarkEnd w:id="84"/>
      <w:bookmarkEnd w:id="85"/>
      <w:bookmarkEnd w:id="86"/>
      <w:bookmarkEnd w:id="87"/>
      <w:bookmarkEnd w:id="88"/>
      <w:r>
        <w:t>Άρθρο 9: Απαιτήσεις για την άσκηση των εξουσιών της Επιτροπής δυνάμει του παρόντος μέρους</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Η Επιτροπή ασκεί τις εξουσίες που απορρέουν από το άρθρο 10 μόνον εφόσον κρίνει ότι είναι προς το δημόσιο συμφέρον να το πράξει, λαμβανομένων υπόψη του συνόλου των περιστάσεων, συμπεριλαμβανομένων των δικαιωμάτων κάθε προσώπου για το οποίο η Επιτροπή γνωρίζει ότι μπορεί να θιγεί από την άσκηση των εν λόγω εξουσιών.</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Με την επιφύλαξη της παραγράφου 1, η Επιτροπή, κατά την εξέταση της χρήσης των εξουσιών του άρθρου 10, δίνει τη δέουσα βαρύτητα στα ακόλουθα θέματα:</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το συνταγματικό δικαίωμα στην ελευθερία της έκφρασης,</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το συνταγματικό δικαίωμα του συνεταιρίζεσθαι,</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το συνταγματικό δικαίωμα της συμμετοχής στον δημόσιο βίο και</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τη συνταγματική υποχρέωση του κράτους να υπερασπίζεται και να διασφαλίζει τον δίκαιο χαρακτήρα και την ακεραιότητα των εκλογών και των δημοψηφισμάτων.</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Επιπλέον, κατά την εξέταση της άσκησης των εξουσιών που προβλέπονται στο άρθρο 10, η Επιτροπή λαμβάνει υπόψη τα ακόλουθα θέματα: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την ανάγκη διασφάλισης της οικονομικής και αποτελεσματικής χρήσης των πόρων της Επιτροπής·</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lastRenderedPageBreak/>
        <w:t>τη σημαντικότητα της επίμαχης απειλής, δεδομένου ότι σχετίζεται με τη συνολική ακεραιότητα και τον δίκαιο χαρακτήρα των εκλογών ή του δημοψηφίσματος·</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τυχόν κατευθυντήριες γραμμές που δημοσιεύονται δυνάμει της παραγράφου 3 του παρόντος άρθρου.</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Η Επιτροπή θεσπίζει κατευθυντήριες γραμμές για την ορθή άσκηση των εξουσιών της δυνάμει του παρόντος μέρους από την Επιτροπή ή, σε περίπτωση που έχει εκδοθεί εντολή εξουσιοδότησης σύμφωνα με το άρθρο 8Α, από τον γενικό διευθυντή της Επιτροπής (ή άλλο μέλος της Επιτροπής). Οι εν λόγω κατευθυντήριες γραμμές μπορεί να περιλαμβάνουν τα εξής:</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μέτρα για να εξασφαλιστεί ότι η άσκηση των εξουσιών της Επιτροπής είναι διαφανής για το κοινό και σύμφωνη με τις διεθνείς βέλτιστες πρακτικές·</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μέτρα για την καθοδήγηση της αξιολόγησης της σημαντικότητας από την Επιτροπή για τους σκοπούς της άσκησης των εξουσιών της δυνάμει του παρόντος άρθρου ή οποιουδήποτε εξ αυτών.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Κάθε ειδοποίηση ή εντολή που εκδίδεται σύμφωνα με το άρθρο 10: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περιλαμβάνει σκεπτικό της γνώμης της Επιτροπής σχετικά με το ότι είναι σκόπιμο να εκδοθεί η εν λόγω ειδοποίηση ή εντολή,</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προσδιορίζει την ώρα και την ημερομηνία κατά την οποία το πρόσωπο στο οποίο απευθύνεται η ειδοποίηση ή η εντολή θα πρέπει να έχει συμμορφωθεί με την ειδοποίηση ή την εντολή,</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προσδιορίζει την ημερομηνία και την ώρα κατά την οποία το πρόσωπο στο οποίο απευθύνεται η ειδοποίηση ή εντολή θα πρέπει να επιβεβαιώσει στην Επιτροπή ότι έχει συμμορφωθεί με την ειδοποίηση ή την εντολή,</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αναφέρει ότι το πρόσωπο στο οποίο απευθύνεται η ειδοποίηση ή η εντολή δύναται να προσφύγει κατά της ειδοποίησης ή της εντολής σύμφωνα με το άρθρο 15 και ότι η εν λόγω προσφυγή πρέπει να ασκηθεί μέσω της διαδικτυακής πύλης στον δικτυακό τόπο της Επιτροπής εντός επτά ημερών από την έκδοση της ειδοποίησης ή της εντολής·</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αναφέρει ότι, αν δεν ασκηθεί προσφυγή τέτοιου είδους σύμφωνα με το άρθρο 15, θεωρείται ότι η υποβολή της ειδοποίησης ή της εντολής δεν αμφισβητείται·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δηλώνει ότι η μη συμμόρφωση με ειδοποίηση ή εντολή ενδέχεται να έχει ως αποτέλεσμα την επιβολή διοικητικού προστίμου και</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lastRenderedPageBreak/>
        <w:t>δηλώνει ότι η μη συμμόρφωση με ειδοποίηση ή εντολή που εκδόθηκε δυνάμει του άρθρου 10 αποτελεί αδίκημα.</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Προς αποφυγή αμφιβολιών, η Επιτροπή δύναται να αποφασίσει ότι είναι σκόπιμο, λαμβανομένων υπόψη του συνόλου των περιστάσεων, να εκδοθούν περισσότερες από μία ειδοποιήσεις ή εντολές σε σχέση με το ίδιο επιγραμμικό περιεχόμενο ή συμπεριφορά.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1887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Άρθρο 10: Εξουσίες της Επιτροπής</w:t>
      </w:r>
      <w:bookmarkEnd w:id="435"/>
    </w:p>
    <w:p w14:paraId="69E362D2" w14:textId="5A36DF05" w:rsidR="003C524C" w:rsidRPr="00835148" w:rsidRDefault="003C524C" w:rsidP="00F6269D">
      <w:pPr>
        <w:pStyle w:val="Heading2"/>
      </w:pPr>
      <w:bookmarkStart w:id="436" w:name="_Toc106188790"/>
      <w:r>
        <w:t>Άρθρο 10(i): Εξουσία έκδοσης ειδοποίησης απόσυρσης</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Το παρόν άρθρο προβλέπει ότι:</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Σε περίπτωση που:</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κατά τη διάρκεια της περιόδου προεκλογικής εκστρατείας, η Επιτροπή πεισθεί από τις διαθέσιμες πληροφορίες, είτε αυτές λαμβάνονται μέσω της παρακολούθησης πληροφοριών για τις εκλογές στο Διαδίκτυο είτε παρέχονται από οποιοδήποτε άλλο πρόσωπο ή με άλλο τρόπο, ότι τυχόν πληροφορίες για τις εκλογές στο Διαδίκτυο συνιστούν παραπληροφόρηση ή</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ανά πάσα στιγμή, η Επιτροπή πεισθεί από τις διαθέσιμες πληροφορίες, είτε αυτές λαμβάνονται μέσω της παρακολούθησης πληροφοριών για τις εκλογές στο Διαδίκτυο είτε παρέχονται από οποιοδήποτε άλλο πρόσωπο ή με άλλο τρόπο, ότι τυχόν πληροφορίες για τις εκλογές στο Διαδίκτυο συνιστούν εσφαλμένη πληροφόρηση,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και η Επιτροπή πεισθεί ότι η έκδοση μιας τέτοιας ειδοποίησης είναι αναγκαία για την προστασία του δίκαιου χαρακτήρα ή της ακεραιότητας των εκλογών ή του δημοψηφίσματος, η Επιτροπή δύναται να εκδώσει ειδοποίηση απόσυρσης, με την οποία ζητά από κάθε φυσικό ή νομικό πρόσωπο, συμπεριλαμβανομένων των φορέων εκμετάλλευσης ή φιλοξενίας οποιασδήποτε επιγραμμικής πλατφόρμας, να αποσύρει, εντός ορισμένης προθεσμίας, το περιεχόμενο το οποίο αφορά η ειδοποίηση απόσυρσης.</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Η ειδοποίηση στο πλαίσιο του παρόντος άρθρου:</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περιλαμβάνει σκεπτικό της γνωμοδότησης της Επιτροπής σύμφωνα με την οποία πληρούνται οι προϋποθέσεις της παραγράφου 1·</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περιλαμβάνει την ακριβή επιγραμμική τοποθεσία των πληροφοριών για τις εκλογές στο Διαδίκτυο που αναφέρονται στην παράγραφο 1 στοιχεία α) ή β) και, εφόσον απαιτείται, τυχόν πρόσθετα δεδομένα που επιτρέπουν την ταυτοποίηση των πληροφοριών·</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περιέχει δήλωση που προβλέπεται από την Επιτροπή σχετικά με τις πληροφορίες για τις εκλογές στο Διαδίκτυο που αναφέρονται στην παράγραφο 1 στοιχεία α) ή β)·</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ενημερώνει τον αποδέκτη ότι πρέπει να προβεί στην ανάρτηση της δήλωσης που αναφέρεται στο στοιχείο γ) στην επιγραμμική τοποθεσία που αναφέρεται στο στοιχείο β)·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ενημερώνει τον αποδέκτη σχετικά με το δικαίωμα προσφυγής εντός πέντε ημερών κατά της ειδοποίησης δυνάμει του άρθρου 15.</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Η δήλωση που αναφέρεται στην παράγραφο 3 στοιχείο γ) αναφέρει σαφώς: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ότι πρόκειται για προβλεπόμενη δήλωση της οποίας η δημοσίευση είναι υποχρεωτική κατ’ εφαρμογή της ειδοποίησης απόσυρσης που εκδίδεται από την Επιτροπή, με την οποία η Επιτροπή έχει ζητήσει την αφαίρεση συγκεκριμένου περιεχομένου που είναι ορατό στην εν λόγω επιγραμμική τοποθεσία σύμφωνα με το παρόν άρθρο·</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ότι η παρούσα δράση έχει αναληφθεί επειδή το περιεχόμενο που δημοσιεύθηκε προηγουμένως στην τοποθεσία συνιστούσε παραπληροφόρηση ή εσφαλμένη πληροφόρηση·</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τη συνοπτική αιτιολόγηση της γνώμης της Επιτροπής, σύμφωνα με την οποία ήταν αναγκαίο να απαιτηθεί η αφαίρεση των πληροφοριών προκειμένου να προστατευθεί ο δίκαιος χαρακτήρας ή η ακεραιότητα των εκλογών ή του δημοψηφίσματος, κατά περίπτωση· και</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ότι κάθε φυσικό ή νομικό πρόσωπο που θίγεται άμεσα από την ειδοποίηση μπορεί να ασκήσει προσφυγή κατά της ειδοποίησης δυνάμει του άρθρου 15 εντός πέντε ημερών.</w:t>
      </w:r>
    </w:p>
    <w:p w14:paraId="75DC705B" w14:textId="2F2F5DC7" w:rsidR="003C524C" w:rsidRPr="00835148" w:rsidRDefault="003C524C" w:rsidP="00F6269D">
      <w:pPr>
        <w:pStyle w:val="Heading2"/>
        <w:spacing w:before="480" w:after="240"/>
      </w:pPr>
      <w:bookmarkStart w:id="437" w:name="_Toc97143779"/>
      <w:bookmarkStart w:id="438" w:name="_Toc106188791"/>
      <w:bookmarkEnd w:id="437"/>
      <w:r>
        <w:t>Άρθρο 10(ii): Εξουσία έκδοσης ειδοποίησης διόρθωσης</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Το παρόν άρθρο προβλέπει ότι:</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Σε περίπτωση που:</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κατά τη διάρκεια της περιόδου προεκλογικής εκστρατείας, η Επιτροπή πεισθεί από τις διαθέσιμες πληροφορίες, είτε αυτές λαμβάνονται μέσω της παρακολούθησης πληροφοριών για τις εκλογές στο Διαδίκτυο είτε παρέχονται από οποιοδήποτε άλλο πρόσωπο ή με άλλο τρόπο, ότι τυχόν πληροφορίες για τις εκλογές στο Διαδίκτυο συνιστούν παραπληροφόρηση ή</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ανά πάσα στιγμή, η Επιτροπή πεισθεί από τις διαθέσιμες πληροφορίες, </w:t>
      </w:r>
      <w:r>
        <w:rPr>
          <w:rFonts w:ascii="Times New Roman" w:hAnsi="Times New Roman"/>
        </w:rPr>
        <w:lastRenderedPageBreak/>
        <w:t xml:space="preserve">είτε αυτές λαμβάνονται μέσω της παρακολούθησης των πληροφοριών για τις εκλογές στο Διαδίκτυο από την ίδια είτε παρέχονται από οποιοδήποτε άλλο πρόσωπο ή με άλλο τρόπο, ότι τυχόν πληροφορίες για τις εκλογές στο Διαδίκτυο συνιστούν εσφαλμένη πληροφόρηση,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και η Επιτροπή πεισθεί ότι η έκδοση της εν λόγω ειδοποίησης είναι αναγκαία για την προστασία του δίκαιου χαρακτήρα ή της ακεραιότητας των εκλογών ή του δημοψηφίσματος, η Επιτροπή δύναται να εκδώσει ειδοποίηση διόρθωσης με την οποία ζητεί από οποιοδήποτε φυσικό ή νομικό πρόσωπο στο οποίο απευθύνεται, συμπεριλαμβανομένων των φορέων εκμετάλλευσης ή φιλοξενίας επιγραμμικής πλατφόρμας, να κοινοποιήσει σε όλους τους τελικούς χρήστες δήλωση που προβλέπεται από την Επιτροπή βάσει του παρόντος άρθρου.</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Η ειδοποίηση στο πλαίσιο του παρόντος άρθρου:</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περιλαμβάνει το σκεπτικό της γνώμης της </w:t>
      </w:r>
      <w:bookmarkStart w:id="439" w:name="_Hlk103674927"/>
      <w:r>
        <w:rPr>
          <w:rFonts w:ascii="Times New Roman" w:hAnsi="Times New Roman"/>
        </w:rPr>
        <w:t>Επιτροπής</w:t>
      </w:r>
      <w:bookmarkEnd w:id="439"/>
      <w:r>
        <w:rPr>
          <w:rFonts w:ascii="Times New Roman" w:hAnsi="Times New Roman"/>
        </w:rPr>
        <w:t xml:space="preserve"> σύμφωνα με την οποία πληρούνται οι προϋποθέσεις της παραγράφου 1·</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περιλαμβάνει την ακριβή επιγραμμική τοποθεσία των πληροφοριών για τις εκλογές στο Διαδίκτυο που αναφέρονται στην παράγραφο 1 στοιχεία α) ή β) και, εφόσον απαιτείται, τυχόν πρόσθετα δεδομένα που επιτρέπουν την ταυτοποίηση των πληροφοριών·</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περιέχει δήλωση που προβλέπεται από την Επιτροπή σχετικά με τις πληροφορίες για τις εκλογές στο Διαδίκτυο που αναφέρονται στην παράγραφο 1 στοιχεία α) ή β)·</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ενημερώνει τον αποδέκτη ότι πρέπει να προβεί στην ανάρτηση της δήλωσης που αναφέρεται στο στοιχείο γ) στην επιγραμμική τοποθεσία που αναφέρεται στο στοιχείο β)·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ενημερώνει τον αποδέκτη σχετικά με το δικαίωμα προσφυγής εντός πέντε ημερών κατά της ειδοποίησης δυνάμει του άρθρου 15.</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Η δήλωση που αναφέρεται στην παράγραφο 3 στοιχείο γ) αναφέρει σαφώς:</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ότι πρόκειται για προβλεπόμενη δήλωση της οποίας η δημοσίευση είναι υποχρεωτική κατ’ εφαρμογή της ειδοποίησης διόρθωσης που εκδίδεται από την Επιτροπή με την οποία η Επιτροπή έχει ζητήσει τη διόρθωση συγκεκριμένου περιεχομένου που είναι ορατό στην εν λόγω επιγραμμική τοποθεσία σύμφωνα με το παρόν άρθρο·</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ότι η παρούσα δράση έχει αναληφθεί επειδή το περιεχόμενο στην επιγραμμική τοποθεσία συνιστούσε παραπληροφόρηση ή εσφαλμένη πληροφόρηση·</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τη συνοπτική αιτιολόγηση της γνώμης της Επιτροπής, σύμφωνα με την οποία η έκδοση ειδοποίησης διόρθωσης ήταν προσήκουσα σε όλες τις περιστάσεις· και</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ότι κάθε φυσικό ή νομικό πρόσωπο που θίγεται άμεσα από την ειδοποίηση μπορεί να ασκήσει προσφυγή κατά της ειδοποίησης δυνάμει του άρθρου 15 εντός πέντε ημερών.</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Η δήλωση που αναφέρεται στην παράγραφο 3 στοιχείο γ) ενδέχεται επίσης να περιέχει ένα ή όλα τα ακόλουθα στοιχεία:</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δήλωση στην οποία αναφέρεται από ποια άποψη ήταν ψευδές ή παραπλανητικό το περιεχόμενο·</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ορθή δήλωση πληροφοριών και</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τυχόν συμπληρωματικές πληροφορίες ή δήλωση που η Επιτροπή κρίνει κατάλληλη, λαμβανομένων υπόψη όλων των περιστάσεων. </w:t>
      </w:r>
    </w:p>
    <w:p w14:paraId="67658C98" w14:textId="74DD1000" w:rsidR="003C524C" w:rsidRPr="00835148" w:rsidRDefault="003C524C" w:rsidP="00F6269D">
      <w:pPr>
        <w:pStyle w:val="Heading2"/>
        <w:spacing w:before="480" w:after="240"/>
      </w:pPr>
      <w:bookmarkStart w:id="440" w:name="_Toc106188792"/>
      <w:r>
        <w:t>Άρθρο 10(iii): Εξουσία έκδοσης εντολής επισήμανσης</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Το παρόν άρθρο προβλέπει ότι:</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Σε περίπτωση που:</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κατά τη διάρκεια της περιόδου προεκλογικής εκστρατείας, η Επιτροπή πεισθεί από τις διαθέσιμες πληροφορίες, είτε αυτές λαμβάνονται μέσω της παρακολούθησης πληροφοριών για τις εκλογές στο Διαδίκτυο είτε παρέχονται από οποιοδήποτε άλλο πρόσωπο ή με άλλο τρόπο, ότι τυχόν πληροφορίες για τις εκλογές στο Διαδίκτυο συνιστούν παραπληροφόρηση ή</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ανά πάσα στιγμή, η Επιτροπή πεισθεί από τις διαθέσιμες πληροφορίες, είτε αυτές λαμβάνονται μέσω της παρακολούθησης των πληροφοριών για τις εκλογές στο Διαδίκτυο από την ίδια είτε παρέχονται από οποιοδήποτε άλλο πρόσωπο ή με άλλο τρόπο, ότι τυχόν πληροφορίες για τις εκλογές στο Διαδίκτυο συνιστούν εσφαλμένη πληροφόρηση,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και η Επιτροπή πεισθεί ότι η έκδοση μιας τέτοιας εντολής είναι κατάλληλη σε όλες τις περιστάσεις, δύναται, εν αναμονή περαιτέρω έρευνας από την Επιτροπή, να εκδώσει εντολή επισήμανσης με την οποία να απαιτεί από την επιγραμμική πλατφόρμα να αναφέρει ότι το περιεχόμενο του θέματος διερευνάται επί του παρόντος από την Επιτροπή σύμφωνα με το παρόν μέρος, προκειμένου να διαπιστωθεί κατά πόσον συνιστά είτε παραπληροφόρηση είτε εσφαλμένη πληροφόρηση.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lastRenderedPageBreak/>
        <w:t>Η εντολή που εκδίδεται δυνάμει του παρόντος άρθρου:</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περιλαμβάνει σκεπτικό της γνωμοδότησης της Επιτροπής σύμφωνα με την οποία πληρούνται οι προϋποθέσεις της παραγράφου 1·</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περιλαμβάνει την ακριβή επιγραμμική τοποθεσία των πληροφοριών για τις εκλογές στο Διαδίκτυο που αναφέρονται στην παράγραφο 1 στοιχεία α) ή β) και, εφόσον απαιτείται, τυχόν πρόσθετα δεδομένα που επιτρέπουν την ταυτοποίηση των πληροφοριών·</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περιέχει δήλωση που προβλέπεται από την Επιτροπή σχετικά με τις πληροφορίες για τις εκλογές στο Διαδίκτυο που αναφέρονται στην παράγραφο 1 στοιχεία α) ή β)·</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ενημερώνει τον αποδέκτη ότι πρέπει να προβεί στην ανάρτηση της δήλωσης που αναφέρεται στο στοιχείο γ) στην επιγραμμική τοποθεσία που αναφέρεται στο στοιχείο β)·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ενημερώνει τον αποδέκτη σχετικά με το δικαίωμα προσφυγής εντός πέντε ημερών κατά της εντολής δυνάμει του άρθρου 15.</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Η δήλωση που αναφέρεται στην παράγραφο 3 στοιχείο γ) αναφέρει σαφώς: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ότι πρόκειται για δήλωση της οποίας η δημοσίευση είναι υποχρεωτική σύμφωνα με εντολή επισήμανσης που εκδίδεται από την Επιτροπή δυνάμει του παρόντος άρθρου, σε περίπτωση που είναι της γνώμης ότι η εν λόγω δήλωση ενδέχεται να περιέχει παραπληροφόρηση ή εσφαλμένη πληροφόρηση·</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ότι η έκδοση της εντολής δεν αποτελεί διαπίστωση ότι το περιεχόμενο συνιστά είτε παραπληροφόρηση είτε εσφαλμένη πληροφόρηση·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τη σύνοψη του σκεπτικού της γνωμοδότησης της Επιτροπής σύμφωνα με την οποία πληρούνται οι απαιτήσεις της παραγράφου 1·</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ότι το κατά πόσον το περιεχόμενο συνιστά παραπληροφόρηση ή εσφαλμένη πληροφόρηση θα διαπιστωθεί εν αναμονή περαιτέρω έρευνας· και</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ότι κάθε φυσικό ή νομικό πρόσωπο που θίγεται άμεσα από την εντολή μπορεί να ασκήσει προσφυγή κατά της εντολής δυνάμει του άρθρου 15 εντός πέντε ημερών.</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Η εντολή μπορεί επίσης να περιέχει τυχόν συμπληρωματικές πληροφορίες ή δήλωση που η Επιτροπή κρίνει κατάλληλες, λαμβανομένων υπόψη όλων των περιστάσεων.</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lastRenderedPageBreak/>
        <w:t>Η Επιτροπή προβαίνει στη διαπίστωση που αναφέρεται στην παράγραφο 3 στοιχείο δ) το συντομότερο ευλόγως δυνατόν και στη συνέχεια:</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είτε δίνει οδηγία στο πρόσωπο στο οποίο απευθυνόταν η εντολή επισήμανσης ενημερώνοντας το εν λόγω πρόσωπο ότι η εντολή επισήμανσης έχει ανακληθεί είτε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δύναται να ασκήσει οποιαδήποτε άλλη εξουσία κρίνει απαραίτητη.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Σε περίπτωση που η Επιτροπή δώσει την οδηγία που αναφέρεται στην παράγραφο 6 στοιχείο α), η προβλεπόμενη στην παράγραφο 3 δήλωση αποσύρεται. </w:t>
      </w:r>
    </w:p>
    <w:p w14:paraId="309394E6" w14:textId="6B40018E" w:rsidR="003C524C" w:rsidRPr="00835148" w:rsidRDefault="003C524C" w:rsidP="00F6269D">
      <w:pPr>
        <w:pStyle w:val="Heading2"/>
        <w:spacing w:before="480" w:after="240"/>
      </w:pPr>
      <w:bookmarkStart w:id="441" w:name="_Toc106188793"/>
      <w:r>
        <w:t>Άρθρο 10(iv): Εξουσία έκδοσης εντολής αποκλεισμού πρόσβασης</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Το παρόν άρθρο προβλέπει ότι:</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Σε περίπτωση που:</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κατά τη διάρκεια της περιόδου προεκλογικής εκστρατείας, η Επιτροπή πεισθεί από τις διαθέσιμες πληροφορίες, είτε αυτές λαμβάνονται μέσω της παρακολούθησης πληροφοριών για τις εκλογές στο Διαδίκτυο είτε παρέχονται από οποιοδήποτε άλλο πρόσωπο ή με άλλο τρόπο, σε σχέση με επιγραμμική τοποθεσία που εντοπίστηκε προηγουμένως, ότι τυχόν πληροφορίες για τις εκλογές στο Διαδίκτυο συνιστούν παραπληροφόρηση ή</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ανά πάσα στιγμή, είτε κατά τη διάρκεια της εκλογικής περιόδου (ή της περιόδου προεκλογικής εκστρατείας) ή με άλλο τρόπο, η Επιτροπή πεισθεί από τις διαθέσιμες πληροφορίες, είτε αυτές αποκτώνται μέσω της παρακολούθησης των πληροφοριών για τις εκλογές στο Διαδίκτυο από την ίδια είτε παρέχονται από οποιοδήποτε άλλο πρόσωπο ή με άλλο τρόπο, σε σχέση με επιγραμμική τοποθεσία που έχει επισημανθεί προηγουμένως, ότι τυχόν πληροφορίες για τις εκλογές στο Διαδίκτυο συνιστούν εσφαλμένη πληροφόρηση,</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και η Επιτροπή πεισθεί ότι η έκδοση μιας τέτοιας εντολής είναι αναγκαία για την προστασία του δίκαιου χαρακτήρα ή της ακεραιότητας των εκλογών ή του δημοψηφίσματος, η Επιτροπή δύναται να εκδώσει εντολή αποκλεισμού πρόσβασης με την οποία ζητεί από οποιονδήποτε φορέα εκμετάλλευσης ή φιλοξενίας επιγραμμικής πλατφόρμας να λάβει εύλογα μέτρα για την απενεργοποίηση της πρόσβασης των τελικών χρηστών στην επιγραμμική τοποθεσία.</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Ως «επιγραμμική τοποθεσία που έχει επισημανθεί προηγουμένως», για τους σκοπούς του παρόντος άρθρου, νοείται η επιγραμμική τοποθεσία όπου δύο ή περισσότερα προηγούμενα, διαφορετικά αποσπάσματα επιγραμμικού περιεχομένου έχουν αποτελέσει αντικείμενο ειδοποιήσεων στο πλαίσιο του παρόντος άρθρου εντός της ίδιας εκλογικής περιόδου, η οποία είναι η ίδια με την εκλογική περίοδο για την οποία προτείνεται να εφαρμοστεί η εντολή αποκλεισμού πρόσβασης.</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Η εντολή που εκδίδεται δυνάμει του παρόντος άρθρου:</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αιτιολογεί τη γνώμη της Επιτροπής σύμφωνα με την οποία πληρούνται οι προϋποθέσεις της παραγράφου 1·</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περιλαμβάνει την ακριβή επιγραμμική τοποθεσία που έχει επισημανθεί προηγουμένως για τις πληροφορίες για τις εκλογές στο Διαδίκτυο που αναφέρονται στην παράγραφο 1 στοιχείο α) ή β)·</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περιέχει δήλωση που προβλέπεται από την Επιτροπή σχετικά με την επιγραμμική τοποθεσία που έχει επισημανθεί προηγουμένως·</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ενημερώνει τον αποδέκτη ότι πρέπει να ζητήσει την ανάρτηση της δήλωσης του στοιχείου γ) στην επιγραμμική τοποθεσία που έχει επισημανθεί προηγουμένως και αναφέρεται στο στοιχείο β)·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ενημερώνει τον αποδέκτη σχετικά με το δικαίωμα προσφυγής εντός πέντε ημερών κατά της εντολής δυνάμει του άρθρου 15.</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Η δήλωση που αναφέρεται στην παράγραφο 3 στοιχείο γ) αναφέρει σαφώς: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ότι έχει εκδοθεί εντολή αποκλεισμού της πρόσβασης σύμφωνα με το παρόν άρθρο·</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τη σύνοψη του σκεπτικού έκδοσης της εντολής από την Επιτροπή· και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τυχόν περαιτέρω πληροφορίες που ενδεχομένως προβλέπονται από κατευθυντήριες γραμμές ή κρίνονται αναγκαίες ή κατάλληλες από την Επιτροπή σε όλες τις περιστάσεις.</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Η εντολή μπορεί επίσης να περιέχει τυχόν συμπληρωματικές πληροφορίες ή δήλωση που η Επιτροπή κρίνει κατάλληλες, λαμβανομένων υπόψη όλων των περιστάσεων.</w:t>
      </w:r>
    </w:p>
    <w:p w14:paraId="10614316" w14:textId="276DB608" w:rsidR="003C524C" w:rsidRPr="00835148" w:rsidRDefault="003C524C" w:rsidP="00F6269D">
      <w:pPr>
        <w:pStyle w:val="Heading2"/>
        <w:spacing w:before="480" w:after="240"/>
        <w:jc w:val="both"/>
      </w:pPr>
      <w:bookmarkStart w:id="442" w:name="_Toc106188794"/>
      <w:r>
        <w:t>Άρθρο 10(v): Εξουσίες ρύθμισης χειριστικής ή μη αυθεντικής συμπεριφοράς, συμπεριλαμβανομένης της μη κοινοποιημένης δραστηριότητας μποτ</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Το παρόν άρθρο προβλέπει ότι: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Όταν, κατά τη διάρκεια της περιόδου προεκλογικής εκστρατείας, η Επιτροπή πεισθεί ότι:</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λαμβάνει ή έχει λάβει χώρα δραστηριότητα μποτ που συνιστά χειριστική ή μη αυθεντική συμπεριφορά ή η χρήση μη κοινοποιημένου μποτ σε αντίθεση με το άρθρο 24 και</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η έκδοση ειδοποίησης δυνάμει του παρόντος άρθρου είναι αναγκαία για την προστασία του δίκαιου χαρακτήρα ή της ακεραιότητας των εκλογών ή του δημοψηφίσματος,</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η Επιτροπή δύναται να εκδώσει ειδοποίηση με την οποία απαιτεί από κάθε φορέα εκμετάλλευσης ή φιλοξενίας οποιασδήποτε επιγραμμικής πλατφόρμας να δημοσιεύει δήλωση προς ενημέρωση όλων των θιγόμενων τελικών χρηστών σχετικά με τη χειριστική ή μη αυθεντική συμπεριφορά ή τη χρήση μη κοινοποιημένου μποτ που αντιβαίνει στο άρθρο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Η δήλωση, της οποίας η δημοσίευση είναι απαραίτητη σύμφωνα με την παράγραφο 1, αναφέρει σαφώς: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ότι η Επιτροπή σύμφωνα με το παρόν άρθρο έχει εκδώσει ειδοποίηση με την οποία προσδιορίζεται η δραστηριότητα μποτ</w:t>
      </w:r>
      <w:r>
        <w:rPr>
          <w:rFonts w:ascii="Times New Roman" w:hAnsi="Times New Roman"/>
        </w:rPr>
        <w:t xml:space="preserve"> που συνιστά χειριστική ή μη αυθεντική συμπεριφορά</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ότι η δράση αυτή αναλήφθηκε επειδή η δραστηριότητα μποτ απειλούσε τον δίκαιο χαρακτήρα ή την ακεραιότητα των επερχόμενων εκλογών ή δημοψηφισμάτων·</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το σκεπτικό της γνωμοδότησης της Επιτροπής ότι ήταν προσήκον να απαιτείται η επισήμανση της δραστηριότητας υπό όλες τις περιστάσεις και</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ότι κάθε φυσικό ή νομικό πρόσωπο που θίγεται άμεσα από την ειδοποίηση μπορεί να ασκήσει προσφυγή κατά της ειδοποίησης δυνάμει του άρθρου 15 εντός πέντε ημερών.</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Σε περίπτωση που, κατά τη διάρκεια της εκλογικής περιόδου, η Επιτροπή πεισθεί ότι:</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έχει σημειωθεί χειριστική ή μη αυθεντική συμπεριφορά (συμπεριλαμβανομένων των περιπτώσεων στις οποίες η συμπεριφορά αυτή περιλαμβάνει τη χρήση μποτ) και</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η έκδοση ειδοποίησης δυνάμει του παρόντος άρθρου είναι αναγκαία για την προστασία του δίκαιου χαρακτήρα ή της ακεραιότητας των εκλογών ή του δημοψηφίσματος,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lastRenderedPageBreak/>
        <w:t>η Επιτροπή δύναται να εκδώσει ειδοποίηση με την οποία απαιτεί από κάθε φορέα εκμετάλλευσης ή φιλοξενίας επιγραμμικής πλατφόρμας να λάβει εύλογα μέτρα για την άρση ή την πρόληψη της εν λόγω συμπεριφοράς.</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Η ειδοποίηση που αναφέρεται στην παράγραφο 3 αναφέρει σαφώς ότι:</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η Επιτροπή, σύμφωνα με το παρόν άρθρο, εξέδωσε ειδοποίηση με την οποία απαιτεί την παύση της εν λόγω συμπεριφοράς επειδή έχει προσδιοριστεί ως</w:t>
      </w:r>
      <w:r>
        <w:rPr>
          <w:rFonts w:ascii="Times New Roman" w:hAnsi="Times New Roman"/>
        </w:rPr>
        <w:t xml:space="preserve"> χειριστική ή μη αυθεντική συμπεριφορά</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η δράση αυτή αναλήφθηκε από την Επιτροπή επειδή η δραστηριότητα που εντοπίστηκε απειλούσε τον δίκαιο χαρακτήρα ή την ακεραιότητα των επερχόμενων εκλογών ή δημοψηφισμάτων· και</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το σκεπτικό της γνωμοδότησης της Επιτροπής σύμφωνα με την οποία ήταν προσήκον να απαιτείται η αφαίρεση των πληροφοριών και</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ότι κάθε φυσικό ή νομικό πρόσωπο που θίγεται άμεσα από την ειδοποίηση μπορεί να ασκήσει προσφυγή κατά της ειδοποίησης δυνάμει του άρθρου 15 εντός πέντε ημερών</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188795"/>
      <w:bookmarkEnd w:id="443"/>
      <w:bookmarkEnd w:id="444"/>
      <w:bookmarkEnd w:id="445"/>
      <w:r>
        <w:t>[Το άρθρο 11  διαγράφεται]</w:t>
      </w:r>
      <w:bookmarkEnd w:id="446"/>
    </w:p>
    <w:p w14:paraId="18188DF2" w14:textId="449D75DA" w:rsidR="00351F7D" w:rsidRPr="00835148" w:rsidRDefault="00351F7D" w:rsidP="00883C74">
      <w:pPr>
        <w:pStyle w:val="Heading1"/>
      </w:pPr>
      <w:bookmarkStart w:id="447" w:name="_Toc106188796"/>
      <w:r>
        <w:t>Άρθρο 12: Αίτηση ενώπιον δικαστηρίου για εντολή συμμόρφωσης με ειδοποίηση ή εντολή</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Το παρόν άρθρο προβλέπει ότι:</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Η Επιτροπή δύναται να αιτηθεί στο High Court να διατάξει τη συμμόρφωση με ειδοποίηση ή εντολή που εκδίδεται δυνάμει του άρθρου 10.</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Η αίτηση αυτή υποβάλλεται κατόπιν ειδοποίησης προς το πρόσωπο στο οποίο επιδόθηκε η ειδοποίηση ή η εντολή από την Επιτροπή. </w:t>
      </w:r>
    </w:p>
    <w:p w14:paraId="5E0785DB" w14:textId="67DB838A" w:rsidR="00351F7D" w:rsidRPr="00835148" w:rsidRDefault="00351F7D" w:rsidP="00883C74">
      <w:pPr>
        <w:pStyle w:val="Heading1"/>
      </w:pPr>
      <w:bookmarkStart w:id="448" w:name="_Toc106188797"/>
      <w:r>
        <w:t>Άρθρο 13: Εξουσία έκδοσης προειδοποιήσεων προς το κοινό σχετικά με δραστηριότητες που ενδέχεται να επηρεάσουν τον δίκαιο χαρακτήρα ή την ακεραιότητα εκλογών ή δημοψηφίσματος</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Το παρόν άρθρο προβλέπει ότι:</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Η Επιτροπή δύναται να επικοινωνεί με το κοινό ή οποιαδήποτε μερίδα του κοινού σε σχέση με ψευδείς (ή παραπλανητικές) πληροφορίες για τις εκλογές στο Διαδίκτυο, ψευδείς (ή παραπλανητικές) πληροφορίες για τις εκλογικές διαδικασίες ή τη χρήση χειριστικής ή μη αυθεντικής συμπεριφοράς, όποτε κρίνει ότι η εν λόγω επικοινωνία είναι κατάλληλη για την προώθηση των εκπαιδευτικών ή άλλων καθηκόντων της.</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Η Επιτροπή δύναται επίσης να εκδίδει προειδοποιήσεις προς το κοινό, όποτε θεωρεί ότι υφίσταται τέτοια απειλή για τον δίκαιο χαρακτήρα ή την ακεραιότητα εκλογών ή δημοψηφίσματος, ώστε να είναι προς το δημόσιο συμφέρον να επιστήσει την προσοχή σε μια αντιληπτή απειλή τέτοιου είδους. Κάθε τέτοια επικοινωνία μπορεί, μεταξύ άλλων, να προσδιορίζει τη φύση, την πηγή και τη σοβαρότητα της αντιληπτής απειλής, καθώς και τυχόν μέτρα που προτίθεται να λάβει ή να εξετάσει η Επιτροπή σε σχέση με αυτήν, καθώς και τυχόν συστάσεις για ανάληψη δράσης από το κοινό ή άλλους σε σχέση με αυτήν. </w:t>
      </w:r>
    </w:p>
    <w:p w14:paraId="01439B97" w14:textId="1CBD8DEF" w:rsidR="00351F7D" w:rsidRPr="00835148" w:rsidRDefault="00351F7D" w:rsidP="00883C74">
      <w:pPr>
        <w:pStyle w:val="Heading1"/>
      </w:pPr>
      <w:bookmarkStart w:id="449" w:name="_Toc106188798"/>
      <w:r>
        <w:t>Άρθρο 14: Μηχανισμός για την αναφορά από το κοινό ύποπτων περιπτώσεων παραπληροφόρησης, εσφαλμένης πληροφόρησης και χειριστικής ή μη αυθεντικής συμπεριφοράς</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Το παρόν άρθρο προβλέπει ότι:</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Η Επιτροπή δύναται να παρέχει μηχανισμό άμεσης υποβολής αναφορών στον ιστότοπό, ο οποίος επιτρέπει στο κοινό να αναφέρει τα εξής:</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ύποπτες περιπτώσεις παραπληροφόρησης κατά την εκλογική περίοδο (ή την περίοδο προεκλογικής εκστρατείας)·</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ύποπτες περιπτώσεις εσφαλμένης πληροφόρησης ανά πάσα στιγμή ή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πιθανολογούμενη χειριστική ή μη αυθεντική συμπεριφορά, συμπεριλαμβανομένης της μη κοινοποιημένης χρήσης μποτ, κατά τη διάρκεια της εκλογικής περιόδου (ή της περιόδου προεκλογικής εκστρατείας).</w:t>
      </w:r>
    </w:p>
    <w:p w14:paraId="11CA4728" w14:textId="1F80FCE0" w:rsidR="00351F7D" w:rsidRPr="008273CD" w:rsidRDefault="00351F7D" w:rsidP="008273CD">
      <w:pPr>
        <w:pStyle w:val="Heading1"/>
        <w:jc w:val="center"/>
        <w:rPr>
          <w:sz w:val="28"/>
          <w:szCs w:val="28"/>
        </w:rPr>
      </w:pPr>
      <w:bookmarkStart w:id="450" w:name="_Toc106188799"/>
      <w:r>
        <w:rPr>
          <w:sz w:val="28"/>
        </w:rPr>
        <w:t>Κεφάλαιο 4: Δικονομικά δικαιώματα</w:t>
      </w:r>
      <w:bookmarkEnd w:id="450"/>
    </w:p>
    <w:p w14:paraId="27E6F90E" w14:textId="54105180" w:rsidR="003C524C" w:rsidRPr="00835148" w:rsidRDefault="003C524C" w:rsidP="00883C74">
      <w:pPr>
        <w:pStyle w:val="Heading1"/>
      </w:pPr>
      <w:bookmarkStart w:id="451" w:name="_Toc106188800"/>
      <w:r>
        <w:t>Άρθρο 15: Δικαίωμα προσφυγής κατά ειδοποίησης ή εντολής</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Το παρόν άρθρο προβλέπει ότι</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α) Μπορεί να ασκηθεί προσφυγή ενώπιον επιτροπής προσφυγών της Επιτροπής για κάθε ειδοποίηση ή εντολή που επιδίδεται σύμφωνα με το άρθρο 10, το αργότερο 3 ημέρες από την ημερομηνία επίδοσης της ειδοποίησης ή της εντολής. Ωστόσο, η άσκηση προσφυγής δεν επηρεάζει, εν αναμονή της έκβασης της προσφυγής, τη λειτουργία της ειδοποίησης ή της εντολής, εκτός εάν, λόγω εξαιρετικών περιστάσεων, η επιτροπή προσφυγών αποφασίσει διαφορετικά.</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lastRenderedPageBreak/>
        <w:t>β) Προσφυγή δυνάμει του στοιχείου α) μπορεί να ασκηθεί από οποιοδήποτε φυσικό ή νομικό πρόσωπο επηρεάζεται άμεσα από την ειδοποίηση ή την εντολή, συμπεριλαμβανομένης επιγραμμικής πλατφόρμας.</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γ) Προσφυγή δεν γίνεται δεκτή εφόσον δεν έχει υποβληθεί από φυσικό πρόσωπο (είτε για ίδιο λογαριασμό είτε για λογαριασμό κατονομαζόμενου νομικού προσώπου), και το εν λόγω φυσικό πρόσωπο παρέχει τον δικό του αριθμό PPS (Personal Public Service – προσωπικός αριθμός δημοσίου), τον αριθμό τηλεφώνου επικοινωνίας και πληροί τις λοιπές απαιτήσεις που ενδεχομένως προβλέπονται για τη διασφάλιση της καλής πίστης του προσφεύγοντος, όπως αυτές καθορίζονται από την Επιτροπή.</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Η αίτηση προσφυγής δυνάμει της παραγράφου 1: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α) υποβάλλεται γραπτώς μέσω διαδικτυακής πύλης που παρέχεται στον ιστότοπο της Επιτροπής για τον σκοπό αυτό,</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β) αναφέρει όλους τους λόγους για τους οποίους ασκείται η προσφυγή και παρέχει στην επιτροπή προσφυγών όλα τα έγγραφα και τα αποδεικτικά στοιχεία που πρόκειται να προβληθούν προς επίρρωση των λόγων αυτών και </w:t>
      </w:r>
    </w:p>
    <w:p w14:paraId="0DEB6A4E" w14:textId="327C0A1F" w:rsidR="007A3BB8" w:rsidRPr="003A319A" w:rsidRDefault="004D74F5" w:rsidP="008273CD">
      <w:pPr>
        <w:spacing w:before="240" w:after="240"/>
        <w:ind w:left="1440"/>
        <w:jc w:val="both"/>
      </w:pPr>
      <w:r>
        <w:rPr>
          <w:rFonts w:ascii="Times New Roman" w:hAnsi="Times New Roman"/>
        </w:rPr>
        <w:t xml:space="preserve">γ) απευθύνεται στον πρόεδρο της επιτροπής προσφυγών και παραδίδεται ή αποστέλλεται κατά τρόπον ώστε να περιέλθει στον πρόεδρο εντός της προθεσμίας που ορίζεται στην παράγραφο 1.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Η επιτροπή προσφυγών απαρτίζεται από ένα ή περισσότερα μέλη της Επιτροπής και είναι ανεξάρτητη από τον αρχικό φορέα λήψης αποφάσεων.</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Η επιτροπή προσφυγών αποφαίνεται επί προσφυγής χωρίς ακρόαση, εκτός εάν, λαμβανομένων υπόψη των ιδιαίτερων περιστάσεων της προσφυγής, κρίνει αναγκαία τη διεξαγωγή ακρόασης για την ορθή και δίκαιη επίλυση της προσφυγής.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Η Επιτροπή δύναται να θεσπίζει τους εν λόγω κανόνες και να θεσπίζει τις εν λόγω διαδικασίες σε σχέση με τη διεξαγωγή προσφυγών και ακροάσεων, εφόσον το κρίνει σκόπιμο, και δημοσιεύει τους εν λόγω κανόνες και διαδικασίες σε ιστότοπο που τηρείται από την Επιτροπή ή για λογαριασμό της. </w:t>
      </w:r>
    </w:p>
    <w:p w14:paraId="13095EC5" w14:textId="77777777" w:rsidR="007A3BB8" w:rsidRPr="00243879" w:rsidRDefault="007A3BB8" w:rsidP="0054587C">
      <w:pPr>
        <w:pStyle w:val="ListParagraph"/>
        <w:rPr>
          <w:rFonts w:ascii="Times New Roman" w:hAnsi="Times New Roman" w:cs="Times New Roman"/>
          <w:szCs w:val="24"/>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Ο πρόεδρος της επιτροπής προσφυγών έχει διακριτική ευχέρεια όσον αφορά τη διεξαγωγή ακρόασης σύμφωνα με το παρόν τμήμα και διεξάγει την ακρόαση ή διασφαλίζει ότι η ακρόαση διεξάγεται ταχέως και χωρίς αδικαιολόγητη διατύπωση.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Η επιτροπή προσφυγών, κατά τη διαδικασία απόφανσης επί προσφυγής βάσει του παρόντος τμήματος: </w:t>
      </w:r>
    </w:p>
    <w:p w14:paraId="65FA28D8" w14:textId="77777777" w:rsidR="007A3BB8" w:rsidRPr="00243879" w:rsidRDefault="007A3BB8" w:rsidP="0054587C">
      <w:pPr>
        <w:pStyle w:val="ListParagraph"/>
        <w:rPr>
          <w:rFonts w:ascii="Times New Roman" w:hAnsi="Times New Roman" w:cs="Times New Roman"/>
          <w:szCs w:val="24"/>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lastRenderedPageBreak/>
        <w:t>α) εξετάζει τους λόγους της προσφυγής που προβάλλονται σύμφωνα με την παράγραφο 2 στοιχείο β),</w:t>
      </w:r>
    </w:p>
    <w:p w14:paraId="0E5514C8" w14:textId="77777777" w:rsidR="007A3BB8" w:rsidRPr="00243879" w:rsidRDefault="007A3BB8" w:rsidP="007A3BB8">
      <w:pPr>
        <w:pStyle w:val="ListParagraph"/>
        <w:spacing w:before="240" w:after="240"/>
        <w:ind w:left="1440"/>
        <w:jc w:val="both"/>
        <w:rPr>
          <w:rFonts w:ascii="Times New Roman" w:hAnsi="Times New Roman" w:cs="Times New Roman"/>
          <w:szCs w:val="24"/>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β) εξετάζει την ειδοποίηση ή την εντολή, καθώς και κάθε άλλη πληροφορία σε σχέση με την ειδοποίηση ή την εντολή, η οποία, κατά τη γνώμη της επιτροπής προσφυγών, ενδέχεται να είναι χρήσιμη για την απόφασή της και </w:t>
      </w:r>
    </w:p>
    <w:p w14:paraId="0E97B0E3" w14:textId="77777777" w:rsidR="007A3BB8" w:rsidRPr="00243879" w:rsidRDefault="007A3BB8" w:rsidP="007A3BB8">
      <w:pPr>
        <w:pStyle w:val="ListParagraph"/>
        <w:spacing w:before="240" w:after="240"/>
        <w:ind w:left="1440"/>
        <w:jc w:val="both"/>
        <w:rPr>
          <w:rFonts w:ascii="Times New Roman" w:hAnsi="Times New Roman" w:cs="Times New Roman"/>
          <w:szCs w:val="24"/>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γ) μπορεί, όταν το κρίνει αναγκαίο ή ενδεδειγμένο για τη δίκαιη και ορθή επίλυση της προσφυγής, να λαμβάνει υπόψη τις εν λόγω παρατηρήσεις, τα έγγραφα ή τα αποδεικτικά στοιχεία που δεν περιλαμβάνονται στην ειδοποίηση ή την εντολή, τα οποία η επιτροπή προσφυγών κρίνει κατάλληλα. </w:t>
      </w:r>
    </w:p>
    <w:p w14:paraId="7DDC91AD" w14:textId="77777777" w:rsidR="007A3BB8" w:rsidRPr="00243879" w:rsidRDefault="007A3BB8" w:rsidP="007A3BB8">
      <w:pPr>
        <w:pStyle w:val="ListParagraph"/>
        <w:spacing w:before="240" w:after="240"/>
        <w:ind w:left="1440"/>
        <w:jc w:val="both"/>
        <w:rPr>
          <w:rFonts w:ascii="Times New Roman" w:hAnsi="Times New Roman" w:cs="Times New Roman"/>
          <w:szCs w:val="24"/>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Κατά την απόφανση επί προσφυγής βάσει του παρόντος τμήματος, η επιτροπή προσφυγών δύναται, εφόσον κρίνει ότι είναι εύλογο να το πράξει: </w:t>
      </w:r>
    </w:p>
    <w:p w14:paraId="06B3C8EE" w14:textId="77777777" w:rsidR="007A3BB8" w:rsidRPr="00243879" w:rsidRDefault="007A3BB8" w:rsidP="007A3BB8">
      <w:pPr>
        <w:pStyle w:val="ListParagraph"/>
        <w:spacing w:before="240" w:after="240"/>
        <w:ind w:left="1440"/>
        <w:jc w:val="both"/>
        <w:rPr>
          <w:rFonts w:ascii="Times New Roman" w:hAnsi="Times New Roman" w:cs="Times New Roman"/>
          <w:szCs w:val="24"/>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α) να επιβεβαιώσει την ειδοποίηση ή την εντολή, </w:t>
      </w:r>
    </w:p>
    <w:p w14:paraId="26F1DF07" w14:textId="77777777" w:rsidR="007A3BB8" w:rsidRPr="00243879" w:rsidRDefault="007A3BB8" w:rsidP="007A3BB8">
      <w:pPr>
        <w:pStyle w:val="ListParagraph"/>
        <w:spacing w:before="240" w:after="240"/>
        <w:ind w:left="1440"/>
        <w:jc w:val="both"/>
        <w:rPr>
          <w:rFonts w:ascii="Times New Roman" w:hAnsi="Times New Roman" w:cs="Times New Roman"/>
          <w:szCs w:val="24"/>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β) να τροποποιήσει την ειδοποίηση ή την εντολή υπό τους όρους που κρίνει κατάλληλους ή </w:t>
      </w:r>
    </w:p>
    <w:p w14:paraId="58FF3D7B" w14:textId="77777777" w:rsidR="007A3BB8" w:rsidRPr="00243879" w:rsidRDefault="007A3BB8" w:rsidP="007A3BB8">
      <w:pPr>
        <w:pStyle w:val="ListParagraph"/>
        <w:spacing w:before="240" w:after="240"/>
        <w:ind w:left="1440"/>
        <w:jc w:val="both"/>
        <w:rPr>
          <w:rFonts w:ascii="Times New Roman" w:hAnsi="Times New Roman" w:cs="Times New Roman"/>
          <w:szCs w:val="24"/>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γ) να ακυρώσει την ειδοποίηση ή την εντολή. </w:t>
      </w:r>
    </w:p>
    <w:p w14:paraId="3513828B" w14:textId="77777777" w:rsidR="007A3BB8" w:rsidRPr="00243879" w:rsidRDefault="007A3BB8" w:rsidP="007A3BB8">
      <w:pPr>
        <w:pStyle w:val="ListParagraph"/>
        <w:spacing w:before="240" w:after="240"/>
        <w:ind w:left="1440"/>
        <w:jc w:val="both"/>
        <w:rPr>
          <w:rFonts w:ascii="Times New Roman" w:hAnsi="Times New Roman" w:cs="Times New Roman"/>
          <w:szCs w:val="24"/>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Εάν, στο πλαίσιο της προσφυγής, η επιτροπή προσφυγών μεταβάλει την ειδοποίηση ή την εντολή, η ειδοποίηση ή η εντολή, όπως αυτή τροποποιήθηκε, τίθεται σε άμεση ισχύ μετά την απόφανση επί της προσφυγής. </w:t>
      </w:r>
    </w:p>
    <w:p w14:paraId="4168F76F" w14:textId="77777777" w:rsidR="007A3BB8" w:rsidRPr="00243879" w:rsidRDefault="007A3BB8" w:rsidP="0054587C">
      <w:pPr>
        <w:pStyle w:val="ListParagraph"/>
        <w:spacing w:before="240" w:after="240"/>
        <w:ind w:left="1440"/>
        <w:jc w:val="both"/>
        <w:rPr>
          <w:rFonts w:ascii="Times New Roman" w:hAnsi="Times New Roman" w:cs="Times New Roman"/>
          <w:szCs w:val="24"/>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Η επιτροπή προσφυγών δύναται, προκειμένου να διασφαλιστεί η αποτελεσματική, δίκαιη και έγκαιρη απόφανση επί της προσφυγής, να καθορίζει διαδικασίες σχετικά με τη διεξαγωγή της προσφυγής.</w:t>
      </w:r>
    </w:p>
    <w:p w14:paraId="5C9B470C" w14:textId="77777777" w:rsidR="007A3BB8" w:rsidRPr="00243879" w:rsidRDefault="007A3BB8" w:rsidP="0054587C">
      <w:pPr>
        <w:pStyle w:val="ListParagraph"/>
        <w:rPr>
          <w:rFonts w:ascii="Times New Roman" w:hAnsi="Times New Roman" w:cs="Times New Roman"/>
          <w:szCs w:val="24"/>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Η επιτροπή προσφυγών μπορεί να ζητήσει εγγράφως πληροφορίες από οποιοδήποτε πρόσωπο εντός της προθεσμίας που ορίζεται στην αίτηση, όπως ενδέχεται να απαιτείται ευλόγως για τους σκοπούς της άσκησης των καθηκόντων της σύμφωνα με το παρόν τμήμα.</w:t>
      </w:r>
    </w:p>
    <w:p w14:paraId="5C843B96" w14:textId="77777777" w:rsidR="007A3BB8" w:rsidRPr="00243879" w:rsidRDefault="007A3BB8" w:rsidP="0054587C">
      <w:pPr>
        <w:pStyle w:val="ListParagraph"/>
        <w:rPr>
          <w:rFonts w:ascii="Times New Roman" w:hAnsi="Times New Roman" w:cs="Times New Roman"/>
          <w:szCs w:val="24"/>
        </w:rPr>
      </w:pPr>
    </w:p>
    <w:p w14:paraId="06E1F871" w14:textId="77777777" w:rsidR="00C963E4" w:rsidRPr="00243879" w:rsidRDefault="00C963E4" w:rsidP="0054587C">
      <w:pPr>
        <w:pStyle w:val="ListParagraph"/>
        <w:spacing w:before="240" w:after="240"/>
        <w:ind w:left="1440"/>
        <w:jc w:val="both"/>
        <w:rPr>
          <w:rFonts w:ascii="Times New Roman" w:hAnsi="Times New Roman" w:cs="Times New Roman"/>
          <w:szCs w:val="24"/>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Η άσκηση προσφυγής στο όνομα άλλου προσώπου ή με ψευδές όνομα ή για λογαριασμό εταιρείας χωρίς τη συγκατάθεση των διευθυντών της εν λόγω εταιρείας (ή όπως ενδέχεται να προβλέπεται στο καταστατικό της εταιρείας) αποτελεί αδίκημα.</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Η ακρόαση και η απόφανση επί της προσφυγής πραγματοποιούνται το συντομότερο δυνατόν.</w:t>
      </w:r>
    </w:p>
    <w:p w14:paraId="2E1EC866" w14:textId="77777777" w:rsidR="003A319A" w:rsidRPr="00243879" w:rsidRDefault="003A319A" w:rsidP="0054587C">
      <w:pPr>
        <w:spacing w:before="240" w:after="240"/>
        <w:ind w:left="720"/>
        <w:jc w:val="both"/>
        <w:rPr>
          <w:rFonts w:ascii="Times New Roman" w:hAnsi="Times New Roman" w:cs="Times New Roman"/>
          <w:szCs w:val="24"/>
        </w:rPr>
      </w:pPr>
    </w:p>
    <w:p w14:paraId="27844604" w14:textId="4027FC42" w:rsidR="00876C43" w:rsidRDefault="00876C43" w:rsidP="00883C74">
      <w:pPr>
        <w:pStyle w:val="Heading1"/>
      </w:pPr>
      <w:bookmarkStart w:id="452" w:name="_Toc106188801"/>
      <w:r>
        <w:t>Άρθρο 15Α: Δικαστικός έλεγχος</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Το παρόν άρθρο προβλέπει ότι</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Καμία διάταξη του παρόντος μέρους δεν πρέπει να ερμηνευθεί υπό την έννοια ότι περιορίζει το δικαίωμα προσώπου το οποίο θίγεται από απόφαση της Επιτροπής να υποβάλει αίτηση στο High Court προκειμένου να επιδιώξει την αποκατάστασή του μέσω προσφυγής για δικαστικό έλεγχο.</w:t>
      </w:r>
    </w:p>
    <w:p w14:paraId="1E952317" w14:textId="581D568D" w:rsidR="00351F7D" w:rsidRPr="008273CD" w:rsidRDefault="00351F7D" w:rsidP="008273CD">
      <w:pPr>
        <w:pStyle w:val="Heading1"/>
        <w:spacing w:before="480"/>
        <w:jc w:val="center"/>
        <w:rPr>
          <w:sz w:val="28"/>
          <w:szCs w:val="28"/>
        </w:rPr>
      </w:pPr>
      <w:bookmarkStart w:id="453" w:name="_Toc106188802"/>
      <w:r>
        <w:rPr>
          <w:sz w:val="28"/>
        </w:rPr>
        <w:t>Κεφάλαιο 5: Κώδικες δεοντολογίας</w:t>
      </w:r>
      <w:bookmarkEnd w:id="453"/>
    </w:p>
    <w:p w14:paraId="1582C091" w14:textId="1816809C" w:rsidR="00351F7D" w:rsidRPr="00835148" w:rsidRDefault="00351F7D" w:rsidP="00883C74">
      <w:pPr>
        <w:pStyle w:val="Heading1"/>
      </w:pPr>
      <w:bookmarkStart w:id="454" w:name="_Toc106188803"/>
      <w:r>
        <w:t>Άρθρο 16: Έκδοση κωδίκων δεοντολογίας</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Το παρόν άρθρο προβλέπει ότι:</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Η Επιτροπή δύναται να εκδίδει έναν ή περισσότερους κώδικες δεοντολογίας όσον αφορά πληροφορίες για τις εκλογές στο Διαδίκτυο ή πληροφορίες στο Διαδίκτυο σχετικά με τις εκλογικές διαδικασίες.</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Ο κώδικας που αναφέρεται στην παράγραφο 1 ενδέχεται να απευθύνεται σε ορισμένα ή στο σύνολο των εξής: επιγραμμικές πλατφόρμες, υποψήφιοι, κόμματα και/ή τρίτα μέρη.</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Πριν από την έκδοση του κώδικα δεοντολογίας που αναφέρεται στην παράγραφο 1, η Επιτροπή δύναται να διαβουλεύεται με τη συμβουλευτική επιτροπή, το συμβούλιο ενδιαφερομένων μερών και/ή οποιαδήποτε άλλη ομάδα συγκαλείται για τον σκοπό αυτό από την Επιτροπή.</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Ένας κώδικας δεοντολογίας που εκδίδεται δυνάμει της παραγράφου 1 και ο οποίος αφορά πληροφορίες για τις εκλογές στο Διαδίκτυο, εκτός των επιγραμμικών πληροφοριών για τις εκλογικές διαδικασίες, ισχύει μόνο κατά τη διάρκεια μιας εκλογικής περιόδου.</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Η Επιτροπή δύναται να καθορίσει κατά πόσον ένας κώδικας δεοντολογίας αποτελεί προαιρετικό κώδικα δεοντολογίας ή υποχρεωτικό κώδικα δεοντολογίας.</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Κατά την έκδοση κώδικα δεοντολογίας δυνάμει της παραγράφου 1, η Επιτροπή λαμβάνει υπόψη τις ακόλουθες αρχές και πολιτικές:</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την ανάγκη προστασίας των δημοκρατικών αξιών στην κοινωνία·</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το δημόσιο συμφέρον για την ύπαρξη καλά ενημερωμένου εκλογικού σώματος·</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την απειλή που συνιστά για τις δημοκρατικές αξίες η εσφαλμένη πληροφόρηση και η παραπληροφόρηση·</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το δικαίωμα στην ελευθερία της έκφρασης·</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το δικαίωμα του συνέρχεσθαι·</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[να αναγραφούν λοιπές αρχές και πολιτικές κατά περίπτωση]</w:t>
      </w:r>
    </w:p>
    <w:p w14:paraId="1A292176" w14:textId="01C4BC6F" w:rsidR="00673C0B" w:rsidRPr="008273CD" w:rsidRDefault="00673C0B" w:rsidP="008273CD">
      <w:pPr>
        <w:pStyle w:val="Heading1"/>
        <w:jc w:val="center"/>
        <w:rPr>
          <w:sz w:val="28"/>
          <w:szCs w:val="28"/>
        </w:rPr>
      </w:pPr>
      <w:bookmarkStart w:id="455" w:name="_Toc106188804"/>
      <w:r>
        <w:rPr>
          <w:sz w:val="28"/>
        </w:rPr>
        <w:t>Κεφάλαιο 6: Συνεργασία με άλλους δημόσιους φορείς</w:t>
      </w:r>
      <w:bookmarkEnd w:id="455"/>
    </w:p>
    <w:p w14:paraId="36F56B55" w14:textId="1305A307" w:rsidR="00673C0B" w:rsidRPr="00835148" w:rsidRDefault="00673C0B" w:rsidP="00883C74">
      <w:pPr>
        <w:pStyle w:val="Heading1"/>
      </w:pPr>
      <w:bookmarkStart w:id="456" w:name="_Toc106188805"/>
      <w:r>
        <w:t>Άρθρο 17: Διαβούλευση της Επιτροπής με λοιπές αρμόδιες αρχές</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Το παρόν άρθρο προβλέπει ότι:</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Κατά τη διάρκεια της εκλογικής περιόδου, η Επιτροπή, κατά περίπτωση, διαβουλεύεται με τις ακόλουθες αρχές και λαμβάνει υπόψη πληροφορίες που λαμβάνει από τις ακόλουθες αρχές:</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την Επιτροπή Προστασίας Δεδομένων,</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την An Garda Síochána (εθνική αστυνομία της Ιρλανδίας),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την Επιτροπή Επιγραμμικής Ασφάλειας και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τον υπουργό Επικοινωνιών, ο οποίος ενεργεί υπό την ιδιότητά του ως αρμόδιας αρχής βάσει των κανονισμών της Ευρωπαϊκής Ένωσης (Μέτρα για υψηλό κοινό επίπεδο ασφάλειας συστημάτων δικτύου και πληροφοριών) του 2018 (SI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Όταν, κατά τη διάρκεια εκλογικής περιόδου (ή περιόδου προεκλογικής εκστρατείας) ή εντός έξι μηνών από την προβλεπόμενη εκλογική περίοδο:</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η Επιτροπή Προστασίας Δεδομένων·</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η An Garda Síochána (εθνική αστυνομία της Ιρλανδίας),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η Επιτροπή Επιγραμμικής Ασφάλειας ή</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ο υπουργός Επικοινωνιών, ο οποίος ενεργεί υπό την ιδιότητά του ως αρμόδιας αρχής βάσει των κανονισμών της Ευρωπαϊκής Ένωσης (Μέτρα για υψηλό κοινό επίπεδο ασφάλειας συστημάτων δικτύου και πληροφοριών) του 2018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lastRenderedPageBreak/>
        <w:t xml:space="preserve">λαμβάνουν πληροφορίες ή λαμβάνουν γνώση πληροφοριών σχετικά με δραστηριότητες ή τάσεις που εμπίπτουν στο πεδίο εφαρμογής της προβλεπόμενης από τον νόμο αρμοδιότητάς τους, οι οποίες έχουν πιθανές συνέπειες για τις εκλογές, η αρχή κοινοποιεί αμέσως στην Επιτροπή τις εν λόγω πληροφορίες, δραστηριότητες ή τάσεις.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Η Επιτροπή συνάπτει συμφωνίες κοινοχρησίας δεδομένων με τους φορείς που ορίζονται στο άρθρο 22 παράγραφος 1 στοιχεία α) έως δ) κατά την έννοια του </w:t>
      </w:r>
      <w:r>
        <w:rPr>
          <w:rFonts w:ascii="Times New Roman" w:hAnsi="Times New Roman"/>
          <w:u w:val="single"/>
        </w:rPr>
        <w:t>νόμου του 2019 για την κοινοχρησία και τη διακυβέρνηση δεδομένων</w:t>
      </w:r>
      <w:r>
        <w:rPr>
          <w:rFonts w:ascii="Times New Roman" w:hAnsi="Times New Roman"/>
        </w:rPr>
        <w:t>.</w:t>
      </w:r>
    </w:p>
    <w:p w14:paraId="6DF4CF56" w14:textId="66481358" w:rsidR="003C524C" w:rsidRPr="008273CD" w:rsidRDefault="00351F7D" w:rsidP="008273CD">
      <w:pPr>
        <w:pStyle w:val="Heading1"/>
        <w:spacing w:before="480"/>
        <w:jc w:val="center"/>
        <w:rPr>
          <w:sz w:val="28"/>
          <w:szCs w:val="28"/>
        </w:rPr>
      </w:pPr>
      <w:bookmarkStart w:id="457" w:name="_Toc106188806"/>
      <w:r>
        <w:rPr>
          <w:sz w:val="28"/>
        </w:rPr>
        <w:t xml:space="preserve">Κεφάλαιο 7: </w:t>
      </w:r>
      <w:bookmarkStart w:id="458" w:name="_Toc99116983"/>
      <w:bookmarkStart w:id="459" w:name="_Toc99122364"/>
      <w:bookmarkEnd w:id="458"/>
      <w:bookmarkEnd w:id="459"/>
      <w:r>
        <w:rPr>
          <w:sz w:val="28"/>
        </w:rPr>
        <w:t>[ΔΙΑΓΡΑΦΕΤΑΙ]</w:t>
      </w:r>
      <w:bookmarkEnd w:id="457"/>
    </w:p>
    <w:p w14:paraId="5555D5B7" w14:textId="40896DFF" w:rsidR="00DC775D" w:rsidRPr="00DC775D" w:rsidRDefault="00DC775D" w:rsidP="00883C74">
      <w:pPr>
        <w:pStyle w:val="Heading1"/>
      </w:pPr>
      <w:bookmarkStart w:id="460" w:name="_Toc106188807"/>
      <w:r>
        <w:t>[Τα άρθρα 18 έως 20 διαγράφονται]</w:t>
      </w:r>
      <w:bookmarkEnd w:id="460"/>
    </w:p>
    <w:p w14:paraId="630C691C" w14:textId="1F063181" w:rsidR="003C524C" w:rsidRPr="008273CD" w:rsidRDefault="00351F7D" w:rsidP="008273CD">
      <w:pPr>
        <w:pStyle w:val="Heading1"/>
        <w:spacing w:before="480"/>
        <w:jc w:val="center"/>
        <w:rPr>
          <w:sz w:val="28"/>
          <w:szCs w:val="28"/>
        </w:rPr>
      </w:pPr>
      <w:bookmarkStart w:id="461" w:name="_Toc106188808"/>
      <w:r>
        <w:rPr>
          <w:sz w:val="28"/>
        </w:rPr>
        <w:t>Κεφάλαιο 8: Αδικήματα και κυρώσεις</w:t>
      </w:r>
      <w:bookmarkEnd w:id="461"/>
    </w:p>
    <w:p w14:paraId="6E2943F7" w14:textId="3308F153" w:rsidR="003C524C" w:rsidRPr="00835148" w:rsidRDefault="003C524C" w:rsidP="00883C74">
      <w:pPr>
        <w:pStyle w:val="Heading1"/>
      </w:pPr>
      <w:bookmarkStart w:id="462" w:name="_Toc106188809"/>
      <w:r>
        <w:t>Άρθρο 21: Αδίκημα της μη συμμόρφωσης με ειδοποίηση ή εντολή που εκδόθηκε δυνάμει του άρθρου 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Το παρόν άρθρο προβλέπει ότι:</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Αποτελεί αδίκημα η μη συμμόρφωση με ειδοποίηση ή εντολή που εκδίδεται δυνάμει του άρθρου 10.</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Πρόσωπο που κρίνεται ένοχο για αδίκημα δυνάμει του παρόντος άρθρου υπόκειται στα εξής:</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με συνοπτική διαδικασία, σε καταβολή προστίμου κατηγορίας Α ή φυλάκιση 12 μηνών κατ’ ανώτατο όριο ή αμφότερα ή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με παραπομπή σε δίκη, σε καταβολή προστίμου ή φυλάκιση 5 ετών κατ’ ανώτατο όριο ή αμφότερα.</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188810"/>
      <w:bookmarkEnd w:id="463"/>
      <w:bookmarkEnd w:id="464"/>
      <w:bookmarkEnd w:id="465"/>
      <w:bookmarkEnd w:id="466"/>
      <w:bookmarkEnd w:id="467"/>
      <w:bookmarkEnd w:id="468"/>
      <w:bookmarkEnd w:id="469"/>
      <w:bookmarkEnd w:id="470"/>
      <w:r>
        <w:t>Άρθρο 22: Αδίκημα της παράβασης υποχρεωτικού κώδικα δεοντολογίας</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Το παρόν άρθρο προβλέπει ότι: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Αποτελεί αδίκημα για το πρόσωπο για το οποίο ισχύει υποχρεωτικός κώδικας δεοντολογίας να μη συμμορφωθεί με τον εν λόγω κώδικα δεοντολογίας κατά τη διάρκεια της σχετικής περιόδου εφαρμογής του κώδικα δεοντολογίας.</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Πρόσωπο που κρίνεται ένοχο για αδίκημα δυνάμει του παρόντος άρθρου υπόκειται στα εξής:</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lastRenderedPageBreak/>
        <w:t xml:space="preserve">με συνοπτική διαδικασία, σε καταβολή προστίμου κατηγορίας Α ή φυλάκιση 12 μηνών κατ’ ανώτατο όριο ή αμφότερα ή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με παραπομπή σε δίκη, σε καταβολή προστίμου ή φυλάκιση 5 ετών κατ’ ανώτατο όριο ή αμφότερα.</w:t>
      </w:r>
    </w:p>
    <w:p w14:paraId="316B003E" w14:textId="0274888B" w:rsidR="00CA2822" w:rsidRPr="00835148" w:rsidRDefault="00CA2822" w:rsidP="00883C74">
      <w:pPr>
        <w:pStyle w:val="Heading1"/>
      </w:pPr>
      <w:bookmarkStart w:id="472" w:name="_Toc106188811"/>
      <w:r>
        <w:t>Άρθρο 23: Αδικήματα που σχετίζονται με την παραπληροφόρηση και την εσφαλμένη πληροφόρηση</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Το παρόν άρθρο προβλέπει ότι: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Πρόσωπο ή τυχόν διευθυντής φορέα ή ένωσης που, κατά τη διάρκεια της εκλογικής περιόδου (ή της περιόδου προεκλογικής εκστρατείας) με πρόθεση να επηρεάσει τα αποτελέσματα εκλογών ή δημοψηφίσματος ή να προσβάλει τον δίκαιο χαρακτήρα ή την ακεραιότητα των εν λόγω εκλογών ή δημοψηφίσματος, προβαίνει σε ή δημοσιεύει τα εξής: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ψευδή δήλωση απόσυρσης υποψηφίου από εκλογές ή</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ψευδή δήλωση γεγονότων με σκοπό να οδηγήσει έναν ή περισσότερους ψηφοφόρους να απόσχουν από την ψηφοφορία, συμπεριλαμβανομένης, μεταξύ άλλων, δήλωσης, συνιστά εσφαλμένη πληροφόρηση κατά την έννοια του άρθρου 1 ή</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επιγραμμική δήλωση η οποία φέρεται να προέρχεται από άλλο πρόσωπο,</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κρίνεται ένοχος αδικήματος, εκτός εάν αυτό το πρόσωπο μπορεί να αποδείξει ότι είχε βάσιμους λόγους να πιστεύει και όντως πίστευε ότι η δήλωση ήταν αληθής.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Πρόσωπο που κρίνεται ένοχο για αδίκημα δυνάμει του παρόντος άρθρου υπόκειται στα εξής:</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με συνοπτική διαδικασία, σε καταβολή προστίμου κατηγορίας Α ή φυλάκιση 12 μηνών κατ’ ανώτατο όριο ή αμφότερα ή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με παραπομπή σε δίκη, σε καταβολή προστίμου ή φυλάκιση 5 ετών κατ’ ανώτατο όριο ή αμφότερα.</w:t>
      </w:r>
    </w:p>
    <w:p w14:paraId="0DD378A1" w14:textId="5BE0B54F" w:rsidR="00CA2822" w:rsidRPr="00835148" w:rsidRDefault="00CA2822" w:rsidP="00883C74">
      <w:pPr>
        <w:pStyle w:val="Heading1"/>
      </w:pPr>
      <w:bookmarkStart w:id="473" w:name="_Toc106188812"/>
      <w:r>
        <w:t>Άρθρο 24: Αδίκημα της χρήσης μη κοινοποιημένου μποτ για την παραπλάνηση προσώπων με σκοπό τον επηρεασμό εκλογών</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Το παρόν άρθρο προβλέπει ότι:</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Κάθε πρόσωπο που εν γνώσει του χρησιμοποιεί μποτ, ή προκαλεί τη χρήση </w:t>
      </w:r>
      <w:r>
        <w:rPr>
          <w:rFonts w:ascii="Times New Roman" w:hAnsi="Times New Roman"/>
        </w:rPr>
        <w:lastRenderedPageBreak/>
        <w:t>μποτ, με τρόπο που να δημιουργεί πολλαπλές επιγραμμικές παρουσίες οι οποίες:</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στρέφονται προς τον επηρεασμό του αποτελέσματος εκλογών ή δημοψηφίσματος,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έχουν σχεδιαστεί ή προορίζονται να παραπλανήσουν πρόσωπα ως προς την τεχνητή ταυτότητα των μποτ και</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ενδέχεται να προκαλέσουν δημόσια ζημία</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είναι ένοχο αδικήματος.</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Το πρόσωπο μπορεί να προβάλει την ένσταση ότι η χρήση του μποτ κοινοποιήθηκε κατά τρόπο σαφή, εμφανή και εύλογα σχεδιασμένο προκειμένου να ενημερώνει τα πρόσωπα με τα οποία το μποτ αλληλεπιδρούσε ή επικοινωνούσε, ή ήταν προορισμένο να αλληλεπιδρά ή να επικοινωνεί, ότι πρόκειται για μποτ.</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Πρόσωπο που κρίνεται ένοχο για αδίκημα δυνάμει του παρόντος άρθρου υπόκειται στα εξής:</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με συνοπτική διαδικασία, σε καταβολή προστίμου κατηγορίας Α ή φυλάκιση 12 μηνών κατ’ ανώτατο όριο ή αμφότερα ή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με παραπομπή σε δίκη, σε καταβολή προστίμου ή φυλάκιση 5 ετών κατ’ ανώτατο όριο ή αμφότερα.</w:t>
      </w:r>
    </w:p>
    <w:p w14:paraId="06DE4E50" w14:textId="40C556CE" w:rsidR="00DC775D" w:rsidRDefault="00DC775D" w:rsidP="003354AE">
      <w:pPr>
        <w:pStyle w:val="Heading1"/>
      </w:pPr>
      <w:bookmarkStart w:id="474" w:name="_Toc106188813"/>
      <w:r>
        <w:t>[Το άρθρο 25 διαγράφεται]</w:t>
      </w:r>
      <w:bookmarkEnd w:id="474"/>
    </w:p>
    <w:p w14:paraId="36798607" w14:textId="734DB324" w:rsidR="00CA2822" w:rsidRPr="00835148" w:rsidRDefault="00CA2822" w:rsidP="00883C74">
      <w:pPr>
        <w:pStyle w:val="Heading1"/>
      </w:pPr>
      <w:bookmarkStart w:id="475" w:name="_Toc106188814"/>
      <w:r>
        <w:t>Άρθρο 26: Αδίκημα της μη συμμόρφωσης με τις υποχρεώσεις που επιβάλλονται σε επιγραμμικές πλατφόρμες</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Το παρόν άρθρο προβλέπει ότι:</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Η μη συμμόρφωση επιγραμμικής πλατφόρμας με τις υποχρεώσεις που υπέχει δυνάμει των άρθρων 6 και 7 συνιστά αδίκημα.</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Πρόσωπο που κρίνεται ένοχο για αδίκημα δυνάμει του παρόντος άρθρου υπόκειται στα εξής:</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με συνοπτική διαδικασία, σε καταβολή προστίμου κατηγορίας Α ή φυλάκιση 12 μηνών κατ’ ανώτατο όριο ή αμφότερα ή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με παραπομπή σε δίκη, σε καταβολή προστίμου ή φυλάκιση 5 ετών κατ’ ανώτατο όριο ή αμφότερα.</w:t>
      </w:r>
    </w:p>
    <w:p w14:paraId="53A21A58" w14:textId="0FC48AF9" w:rsidR="00010433" w:rsidRDefault="00EE2578" w:rsidP="008273CD">
      <w:pPr>
        <w:pStyle w:val="Heading1"/>
        <w:rPr>
          <w:rFonts w:eastAsiaTheme="majorEastAsia"/>
        </w:rPr>
      </w:pPr>
      <w:bookmarkStart w:id="476" w:name="_Toc106188815"/>
      <w:r>
        <w:lastRenderedPageBreak/>
        <w:t>[Το άρθρο 27 διαγράφεται]</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188816"/>
      <w:r>
        <w:rPr>
          <w:sz w:val="28"/>
        </w:rPr>
        <w:t>Κεφάλαιο 9: Διάφορες διατάξεις</w:t>
      </w:r>
      <w:bookmarkEnd w:id="479"/>
    </w:p>
    <w:p w14:paraId="67BDB5CB" w14:textId="77AE4C8E" w:rsidR="00C21EA1" w:rsidRPr="00835148" w:rsidRDefault="001E6A2D" w:rsidP="00883C74">
      <w:pPr>
        <w:pStyle w:val="Heading1"/>
      </w:pPr>
      <w:bookmarkStart w:id="480" w:name="_Toc106188817"/>
      <w:r>
        <w:t>Άρθρο 28: Εξαίρεση αγωγής</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Το παρόν άρθρο προβλέπει ότι:</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Η Επιτροπή ασκεί τα καθήκοντά της καλή τη πίστει και προς το συμφέρον του κοινού και του εκλογικού σώματος εν γένει, λαμβάνοντας υπόψη τους διαθέσιμους πόρους.  Δεν ασκείται αγωγή κατά της Επιτροπής λόγω απλώς και μόνο της υποτιθέμενης μη επίτευξης των στόχων της.</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Δεν ασκείται αγωγή προσωπικά κατά οποιουδήποτε μέλους της Επιτροπής λόγω τυχόν ενέργειας ή παράλειψης που διαπράχθηκε κατά την εκτέλεση των καθηκόντων του δυνάμει του παρόντος μέρους.</w:t>
      </w:r>
    </w:p>
    <w:p w14:paraId="4F37C77D" w14:textId="3D3028BF" w:rsidR="00C8031E" w:rsidRPr="005647BF" w:rsidRDefault="007A44B6" w:rsidP="00883C74">
      <w:pPr>
        <w:pStyle w:val="Heading1"/>
      </w:pPr>
      <w:bookmarkStart w:id="481" w:name="_Toc99549951"/>
      <w:bookmarkStart w:id="482" w:name="_Toc99550700"/>
      <w:bookmarkStart w:id="483" w:name="_Toc106188818"/>
      <w:bookmarkEnd w:id="481"/>
      <w:bookmarkEnd w:id="482"/>
      <w:r>
        <w:t>Άρθρο 29: Επίδοση ειδοποιήσεων ή εντολών που εκδίδονται δυνάμει του άρθρου 10</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Το παρόν άρθρο προβλέπει ότι:</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Η επίδοση ειδοποίησης ή εντολής που εκδίδεται δυνάμει του άρθρου 10 είναι σύμφωνη με το άρθρο 128Γ.</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Σημείωση: οι διατάξεις του παρόντος άρθρου προσαρμόστηκαν από το άρθρο 154 του νόμου περί τοπικής αυτοδιοίκησης του 2001 (όπως τροποποιήθηκε).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FFD08BAA"/>
    <w:lvl w:ilvl="0" w:tplc="5D4C802A">
      <w:start w:val="1"/>
      <mc:AlternateContent>
        <mc:Choice Requires="w14">
          <w:numFmt w:val="custom" w:format="α, β, γ, ..."/>
        </mc:Choice>
        <mc:Fallback>
          <w:numFmt w:val="decimal"/>
        </mc:Fallback>
      </mc:AlternateContent>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987064BA"/>
    <w:lvl w:ilvl="0" w:tplc="5D4C802A">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2FD44356"/>
    <w:lvl w:ilvl="0">
      <w:start w:val="1"/>
      <mc:AlternateContent>
        <mc:Choice Requires="w14">
          <w:numFmt w:val="custom" w:format="α, β, γ, ..."/>
        </mc:Choice>
        <mc:Fallback>
          <w:numFmt w:val="decimal"/>
        </mc:Fallback>
      </mc:AlternateContent>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E5E2C2CA"/>
    <w:lvl w:ilvl="0" w:tplc="5D4C802A">
      <w:start w:val="1"/>
      <mc:AlternateContent>
        <mc:Choice Requires="w14">
          <w:numFmt w:val="custom" w:format="α, β, γ, ..."/>
        </mc:Choice>
        <mc:Fallback>
          <w:numFmt w:val="decimal"/>
        </mc:Fallback>
      </mc:AlternateContent>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4DBC9EE8"/>
    <w:lvl w:ilvl="0" w:tplc="750A8D2C">
      <w:start w:val="1"/>
      <w:numFmt w:val="decimal"/>
      <w:lvlText w:val="(%1)"/>
      <w:lvlJc w:val="left"/>
      <w:pPr>
        <w:ind w:left="72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2061"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002E1D04"/>
    <w:lvl w:ilvl="0" w:tplc="77E29664">
      <w:start w:val="1"/>
      <w:numFmt w:val="decimal"/>
      <w:lvlText w:val="(%1)"/>
      <w:lvlJc w:val="left"/>
      <w:pPr>
        <w:ind w:left="108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1919"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0DA6F6B4"/>
    <w:lvl w:ilvl="0" w:tplc="5D4C802A">
      <w:start w:val="1"/>
      <mc:AlternateContent>
        <mc:Choice Requires="w14">
          <w:numFmt w:val="custom" w:format="α, β, γ, ..."/>
        </mc:Choice>
        <mc:Fallback>
          <w:numFmt w:val="decimal"/>
        </mc:Fallback>
      </mc:AlternateContent>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B6B0EE2A"/>
    <w:lvl w:ilvl="0" w:tplc="5D4C802A">
      <w:start w:val="1"/>
      <mc:AlternateContent>
        <mc:Choice Requires="w14">
          <w:numFmt w:val="custom" w:format="α, β, γ, ..."/>
        </mc:Choice>
        <mc:Fallback>
          <w:numFmt w:val="decimal"/>
        </mc:Fallback>
      </mc:AlternateContent>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0C988902"/>
    <w:lvl w:ilvl="0" w:tplc="14F43464">
      <w:start w:val="1"/>
      <w:numFmt w:val="lowerLetter"/>
      <w:lvlText w:val="(%1)"/>
      <w:lvlJc w:val="left"/>
      <w:pPr>
        <w:ind w:left="72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256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036233F6"/>
    <w:lvl w:ilvl="0" w:tplc="750A8D2C">
      <w:start w:val="1"/>
      <w:numFmt w:val="decimal"/>
      <w:lvlText w:val="(%1)"/>
      <w:lvlJc w:val="left"/>
      <w:pPr>
        <w:ind w:left="899"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1919" w:hanging="360"/>
      </w:pPr>
      <w:rPr>
        <w:rFonts w:hint="default"/>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986E36AC"/>
    <w:lvl w:ilvl="0" w:tplc="205481BA">
      <w:start w:val="1"/>
      <w:numFmt w:val="decimal"/>
      <w:lvlText w:val="(%1)"/>
      <w:lvlJc w:val="left"/>
      <w:pPr>
        <w:ind w:left="72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180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953476E2"/>
    <w:lvl w:ilvl="0" w:tplc="5D4C802A">
      <w:start w:val="1"/>
      <mc:AlternateContent>
        <mc:Choice Requires="w14">
          <w:numFmt w:val="custom" w:format="α, β, γ, ..."/>
        </mc:Choice>
        <mc:Fallback>
          <w:numFmt w:val="decimal"/>
        </mc:Fallback>
      </mc:AlternateContent>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25D261D0"/>
    <w:lvl w:ilvl="0" w:tplc="5D4C802A">
      <w:start w:val="1"/>
      <mc:AlternateContent>
        <mc:Choice Requires="w14">
          <w:numFmt w:val="custom" w:format="α, β, γ, ..."/>
        </mc:Choice>
        <mc:Fallback>
          <w:numFmt w:val="decimal"/>
        </mc:Fallback>
      </mc:AlternateContent>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2F2E6920"/>
    <w:lvl w:ilvl="0" w:tplc="600ACFD6">
      <w:start w:val="1"/>
      <w:numFmt w:val="lowerLetter"/>
      <w:lvlText w:val="(%1)"/>
      <w:lvlJc w:val="left"/>
      <w:pPr>
        <w:ind w:left="216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180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D5F47040"/>
    <w:lvl w:ilvl="0" w:tplc="5D4C802A">
      <w:start w:val="1"/>
      <mc:AlternateContent>
        <mc:Choice Requires="w14">
          <w:numFmt w:val="custom" w:format="α, β, γ, ..."/>
        </mc:Choice>
        <mc:Fallback>
          <w:numFmt w:val="decimal"/>
        </mc:Fallback>
      </mc:AlternateContent>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5E6E1898"/>
    <w:lvl w:ilvl="0" w:tplc="5D4C802A">
      <w:start w:val="1"/>
      <mc:AlternateContent>
        <mc:Choice Requires="w14">
          <w:numFmt w:val="custom" w:format="α, β, γ, ..."/>
        </mc:Choice>
        <mc:Fallback>
          <w:numFmt w:val="decimal"/>
        </mc:Fallback>
      </mc:AlternateContent>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49CECC0C"/>
    <w:lvl w:ilvl="0" w:tplc="5D4C802A">
      <w:start w:val="1"/>
      <mc:AlternateContent>
        <mc:Choice Requires="w14">
          <w:numFmt w:val="custom" w:format="α, β, γ, ..."/>
        </mc:Choice>
        <mc:Fallback>
          <w:numFmt w:val="decimal"/>
        </mc:Fallback>
      </mc:AlternateContent>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F86273DC"/>
    <w:lvl w:ilvl="0" w:tplc="61CAEE3A">
      <w:start w:val="1"/>
      <w:numFmt w:val="decimal"/>
      <w:lvlText w:val="(%1)"/>
      <w:lvlJc w:val="left"/>
      <w:pPr>
        <w:ind w:left="720" w:hanging="360"/>
      </w:pPr>
      <w:rPr>
        <w:rFonts w:hint="default"/>
        <w:b w:val="0"/>
      </w:rPr>
    </w:lvl>
    <w:lvl w:ilvl="1" w:tplc="5D4C802A">
      <w:start w:val="1"/>
      <mc:AlternateContent>
        <mc:Choice Requires="w14">
          <w:numFmt w:val="custom" w:format="α, β, γ, ..."/>
        </mc:Choice>
        <mc:Fallback>
          <w:numFmt w:val="decimal"/>
        </mc:Fallback>
      </mc:AlternateContent>
      <w:lvlText w:val="%2)"/>
      <w:lvlJc w:val="left"/>
      <w:pPr>
        <w:ind w:left="270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A7D05446"/>
    <w:lvl w:ilvl="0" w:tplc="5D4C802A">
      <w:start w:val="1"/>
      <mc:AlternateContent>
        <mc:Choice Requires="w14">
          <w:numFmt w:val="custom" w:format="α, β, γ, ..."/>
        </mc:Choice>
        <mc:Fallback>
          <w:numFmt w:val="decimal"/>
        </mc:Fallback>
      </mc:AlternateContent>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DE363D60"/>
    <w:lvl w:ilvl="0" w:tplc="5D4C802A">
      <w:start w:val="1"/>
      <mc:AlternateContent>
        <mc:Choice Requires="w14">
          <w:numFmt w:val="custom" w:format="α, β, γ, ..."/>
        </mc:Choice>
        <mc:Fallback>
          <w:numFmt w:val="decimal"/>
        </mc:Fallback>
      </mc:AlternateContent>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0C0A342A"/>
    <w:lvl w:ilvl="0" w:tplc="A030FCAC">
      <w:start w:val="1"/>
      <w:numFmt w:val="decimal"/>
      <w:lvlText w:val="(%1)"/>
      <w:lvlJc w:val="left"/>
      <w:pPr>
        <w:ind w:left="72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1919"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69682A54"/>
    <w:lvl w:ilvl="0">
      <w:start w:val="1"/>
      <mc:AlternateContent>
        <mc:Choice Requires="w14">
          <w:numFmt w:val="custom" w:format="α, β, γ, ..."/>
        </mc:Choice>
        <mc:Fallback>
          <w:numFmt w:val="decimal"/>
        </mc:Fallback>
      </mc:AlternateContent>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0538A892"/>
    <w:lvl w:ilvl="0" w:tplc="5D4C802A">
      <w:start w:val="1"/>
      <mc:AlternateContent>
        <mc:Choice Requires="w14">
          <w:numFmt w:val="custom" w:format="α, β, γ, ..."/>
        </mc:Choice>
        <mc:Fallback>
          <w:numFmt w:val="decimal"/>
        </mc:Fallback>
      </mc:AlternateContent>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5900BEA8"/>
    <w:lvl w:ilvl="0" w:tplc="5D4C802A">
      <w:start w:val="1"/>
      <mc:AlternateContent>
        <mc:Choice Requires="w14">
          <w:numFmt w:val="custom" w:format="α, β, γ, ..."/>
        </mc:Choice>
        <mc:Fallback>
          <w:numFmt w:val="decimal"/>
        </mc:Fallback>
      </mc:AlternateContent>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B33ED272"/>
    <w:lvl w:ilvl="0" w:tplc="750A8D2C">
      <w:start w:val="1"/>
      <w:numFmt w:val="decimal"/>
      <w:lvlText w:val="(%1)"/>
      <w:lvlJc w:val="left"/>
      <w:pPr>
        <w:ind w:left="72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1919"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40C2DC56"/>
    <w:lvl w:ilvl="0" w:tplc="A030FCAC">
      <w:start w:val="1"/>
      <w:numFmt w:val="decimal"/>
      <w:lvlText w:val="(%1)"/>
      <w:lvlJc w:val="left"/>
      <w:pPr>
        <w:ind w:left="108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1778"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2CC03896"/>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D4C802A">
      <w:start w:val="1"/>
      <mc:AlternateContent>
        <mc:Choice Requires="w14">
          <w:numFmt w:val="custom" w:format="α, β, γ, ..."/>
        </mc:Choice>
        <mc:Fallback>
          <w:numFmt w:val="decimal"/>
        </mc:Fallback>
      </mc:AlternateContent>
      <w:lvlText w:val="%4)"/>
      <w:lvlJc w:val="left"/>
      <w:pPr>
        <w:ind w:left="1778"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FAF07EEE"/>
    <w:lvl w:ilvl="0" w:tplc="4BD222A8">
      <w:start w:val="1"/>
      <w:numFmt w:val="decimal"/>
      <w:lvlText w:val="(%1)"/>
      <w:lvlJc w:val="left"/>
      <w:pPr>
        <w:ind w:left="72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216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1D0A572C"/>
    <w:lvl w:ilvl="0" w:tplc="5D4C802A">
      <w:start w:val="1"/>
      <mc:AlternateContent>
        <mc:Choice Requires="w14">
          <w:numFmt w:val="custom" w:format="α, β, γ, ..."/>
        </mc:Choice>
        <mc:Fallback>
          <w:numFmt w:val="decimal"/>
        </mc:Fallback>
      </mc:AlternateContent>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2F8677CA"/>
    <w:lvl w:ilvl="0" w:tplc="5D4C802A">
      <w:start w:val="1"/>
      <mc:AlternateContent>
        <mc:Choice Requires="w14">
          <w:numFmt w:val="custom" w:format="α, β, γ, ..."/>
        </mc:Choice>
        <mc:Fallback>
          <w:numFmt w:val="decimal"/>
        </mc:Fallback>
      </mc:AlternateContent>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E2569D86"/>
    <w:lvl w:ilvl="0" w:tplc="5D4C802A">
      <w:start w:val="1"/>
      <mc:AlternateContent>
        <mc:Choice Requires="w14">
          <w:numFmt w:val="custom" w:format="α, β, γ, ..."/>
        </mc:Choice>
        <mc:Fallback>
          <w:numFmt w:val="decimal"/>
        </mc:Fallback>
      </mc:AlternateContent>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FCA261AA"/>
    <w:lvl w:ilvl="0" w:tplc="5D4C802A">
      <w:start w:val="1"/>
      <mc:AlternateContent>
        <mc:Choice Requires="w14">
          <w:numFmt w:val="custom" w:format="α, β, γ, ..."/>
        </mc:Choice>
        <mc:Fallback>
          <w:numFmt w:val="decimal"/>
        </mc:Fallback>
      </mc:AlternateContent>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37AAC30"/>
    <w:lvl w:ilvl="0" w:tplc="534E4C06">
      <w:start w:val="1"/>
      <w:numFmt w:val="decimal"/>
      <w:lvlText w:val="(%1)"/>
      <w:lvlJc w:val="left"/>
      <w:pPr>
        <w:ind w:left="108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E92A896C"/>
    <w:lvl w:ilvl="0" w:tplc="5D4C802A">
      <w:start w:val="1"/>
      <mc:AlternateContent>
        <mc:Choice Requires="w14">
          <w:numFmt w:val="custom" w:format="α, β, γ, ..."/>
        </mc:Choice>
        <mc:Fallback>
          <w:numFmt w:val="decimal"/>
        </mc:Fallback>
      </mc:AlternateContent>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DBE6AF06"/>
    <w:lvl w:ilvl="0" w:tplc="5D4C802A">
      <w:start w:val="1"/>
      <mc:AlternateContent>
        <mc:Choice Requires="w14">
          <w:numFmt w:val="custom" w:format="α, β, γ, ..."/>
        </mc:Choice>
        <mc:Fallback>
          <w:numFmt w:val="decimal"/>
        </mc:Fallback>
      </mc:AlternateContent>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D7D6AEAE"/>
    <w:lvl w:ilvl="0" w:tplc="A030FCAC">
      <w:start w:val="1"/>
      <w:numFmt w:val="decimal"/>
      <w:lvlText w:val="(%1)"/>
      <w:lvlJc w:val="left"/>
      <w:pPr>
        <w:ind w:left="72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1919"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77940F22"/>
    <w:lvl w:ilvl="0" w:tplc="5D4C802A">
      <w:start w:val="1"/>
      <mc:AlternateContent>
        <mc:Choice Requires="w14">
          <w:numFmt w:val="custom" w:format="α, β, γ, ..."/>
        </mc:Choice>
        <mc:Fallback>
          <w:numFmt w:val="decimal"/>
        </mc:Fallback>
      </mc:AlternateContent>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DD4C6B42"/>
    <w:lvl w:ilvl="0" w:tplc="5D4C802A">
      <w:start w:val="1"/>
      <mc:AlternateContent>
        <mc:Choice Requires="w14">
          <w:numFmt w:val="custom" w:format="α, β, γ, ..."/>
        </mc:Choice>
        <mc:Fallback>
          <w:numFmt w:val="decimal"/>
        </mc:Fallback>
      </mc:AlternateContent>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82F09AF2"/>
    <w:lvl w:ilvl="0" w:tplc="5D4C802A">
      <w:start w:val="1"/>
      <mc:AlternateContent>
        <mc:Choice Requires="w14">
          <w:numFmt w:val="custom" w:format="α, β, γ, ..."/>
        </mc:Choice>
        <mc:Fallback>
          <w:numFmt w:val="decimal"/>
        </mc:Fallback>
      </mc:AlternateContent>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52642B1E"/>
    <w:lvl w:ilvl="0" w:tplc="534E4C06">
      <w:start w:val="1"/>
      <w:numFmt w:val="decimal"/>
      <w:lvlText w:val="(%1)"/>
      <w:lvlJc w:val="left"/>
      <w:pPr>
        <w:ind w:left="108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1919"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A6243BFE"/>
    <w:lvl w:ilvl="0" w:tplc="7868B0D2">
      <w:start w:val="1"/>
      <w:numFmt w:val="decimal"/>
      <w:lvlText w:val="(%1)"/>
      <w:lvlJc w:val="left"/>
      <w:pPr>
        <w:ind w:left="72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270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DDE2A36C"/>
    <w:lvl w:ilvl="0" w:tplc="5D4C802A">
      <w:start w:val="1"/>
      <mc:AlternateContent>
        <mc:Choice Requires="w14">
          <w:numFmt w:val="custom" w:format="α, β, γ, ..."/>
        </mc:Choice>
        <mc:Fallback>
          <w:numFmt w:val="decimal"/>
        </mc:Fallback>
      </mc:AlternateContent>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1A36FDF6"/>
    <w:lvl w:ilvl="0" w:tplc="5D4C802A">
      <w:start w:val="1"/>
      <mc:AlternateContent>
        <mc:Choice Requires="w14">
          <w:numFmt w:val="custom" w:format="α, β, γ, ..."/>
        </mc:Choice>
        <mc:Fallback>
          <w:numFmt w:val="decimal"/>
        </mc:Fallback>
      </mc:AlternateContent>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1BF27D50"/>
    <w:lvl w:ilvl="0" w:tplc="5D4C802A">
      <w:start w:val="1"/>
      <mc:AlternateContent>
        <mc:Choice Requires="w14">
          <w:numFmt w:val="custom" w:format="α, β, γ, ..."/>
        </mc:Choice>
        <mc:Fallback>
          <w:numFmt w:val="decimal"/>
        </mc:Fallback>
      </mc:AlternateContent>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FEDA9B28"/>
    <w:lvl w:ilvl="0" w:tplc="750A8D2C">
      <w:start w:val="1"/>
      <w:numFmt w:val="decimal"/>
      <w:lvlText w:val="(%1)"/>
      <w:lvlJc w:val="left"/>
      <w:pPr>
        <w:ind w:left="720" w:hanging="360"/>
      </w:pPr>
      <w:rPr>
        <w:rFonts w:hint="default"/>
      </w:rPr>
    </w:lvl>
    <w:lvl w:ilvl="1" w:tplc="5D4C802A">
      <w:start w:val="1"/>
      <mc:AlternateContent>
        <mc:Choice Requires="w14">
          <w:numFmt w:val="custom" w:format="α, β, γ, ..."/>
        </mc:Choice>
        <mc:Fallback>
          <w:numFmt w:val="decimal"/>
        </mc:Fallback>
      </mc:AlternateContent>
      <w:lvlText w:val="%2)"/>
      <w:lvlJc w:val="left"/>
      <w:pPr>
        <w:ind w:left="258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9375681">
    <w:abstractNumId w:val="60"/>
  </w:num>
  <w:num w:numId="2" w16cid:durableId="389379903">
    <w:abstractNumId w:val="76"/>
  </w:num>
  <w:num w:numId="3" w16cid:durableId="1636175787">
    <w:abstractNumId w:val="56"/>
  </w:num>
  <w:num w:numId="4" w16cid:durableId="1934780795">
    <w:abstractNumId w:val="50"/>
  </w:num>
  <w:num w:numId="5" w16cid:durableId="1860504914">
    <w:abstractNumId w:val="101"/>
  </w:num>
  <w:num w:numId="6" w16cid:durableId="2074112409">
    <w:abstractNumId w:val="103"/>
  </w:num>
  <w:num w:numId="7" w16cid:durableId="1646396049">
    <w:abstractNumId w:val="87"/>
  </w:num>
  <w:num w:numId="8" w16cid:durableId="1685204448">
    <w:abstractNumId w:val="72"/>
  </w:num>
  <w:num w:numId="9" w16cid:durableId="1130899729">
    <w:abstractNumId w:val="26"/>
  </w:num>
  <w:num w:numId="10" w16cid:durableId="218329362">
    <w:abstractNumId w:val="30"/>
  </w:num>
  <w:num w:numId="11" w16cid:durableId="1325889926">
    <w:abstractNumId w:val="22"/>
  </w:num>
  <w:num w:numId="12" w16cid:durableId="1252154142">
    <w:abstractNumId w:val="67"/>
  </w:num>
  <w:num w:numId="13" w16cid:durableId="59329792">
    <w:abstractNumId w:val="65"/>
  </w:num>
  <w:num w:numId="14" w16cid:durableId="1453085762">
    <w:abstractNumId w:val="106"/>
  </w:num>
  <w:num w:numId="15" w16cid:durableId="146170343">
    <w:abstractNumId w:val="36"/>
  </w:num>
  <w:num w:numId="16" w16cid:durableId="1215773514">
    <w:abstractNumId w:val="10"/>
  </w:num>
  <w:num w:numId="17" w16cid:durableId="1067461418">
    <w:abstractNumId w:val="84"/>
  </w:num>
  <w:num w:numId="18" w16cid:durableId="1383867558">
    <w:abstractNumId w:val="41"/>
  </w:num>
  <w:num w:numId="19" w16cid:durableId="2023387811">
    <w:abstractNumId w:val="28"/>
  </w:num>
  <w:num w:numId="20" w16cid:durableId="359163998">
    <w:abstractNumId w:val="53"/>
  </w:num>
  <w:num w:numId="21" w16cid:durableId="1650550177">
    <w:abstractNumId w:val="52"/>
  </w:num>
  <w:num w:numId="22" w16cid:durableId="1788044851">
    <w:abstractNumId w:val="96"/>
  </w:num>
  <w:num w:numId="23" w16cid:durableId="1824007050">
    <w:abstractNumId w:val="21"/>
  </w:num>
  <w:num w:numId="24" w16cid:durableId="2091273027">
    <w:abstractNumId w:val="6"/>
  </w:num>
  <w:num w:numId="25" w16cid:durableId="1109929856">
    <w:abstractNumId w:val="7"/>
  </w:num>
  <w:num w:numId="26" w16cid:durableId="1209612744">
    <w:abstractNumId w:val="27"/>
  </w:num>
  <w:num w:numId="27" w16cid:durableId="776944914">
    <w:abstractNumId w:val="47"/>
  </w:num>
  <w:num w:numId="28" w16cid:durableId="777725798">
    <w:abstractNumId w:val="83"/>
  </w:num>
  <w:num w:numId="29" w16cid:durableId="1590652618">
    <w:abstractNumId w:val="32"/>
  </w:num>
  <w:num w:numId="30" w16cid:durableId="1291132895">
    <w:abstractNumId w:val="23"/>
  </w:num>
  <w:num w:numId="31" w16cid:durableId="751195258">
    <w:abstractNumId w:val="81"/>
  </w:num>
  <w:num w:numId="32" w16cid:durableId="1687562923">
    <w:abstractNumId w:val="16"/>
  </w:num>
  <w:num w:numId="33" w16cid:durableId="1207066604">
    <w:abstractNumId w:val="31"/>
  </w:num>
  <w:num w:numId="34" w16cid:durableId="1606688391">
    <w:abstractNumId w:val="94"/>
  </w:num>
  <w:num w:numId="35" w16cid:durableId="1370374788">
    <w:abstractNumId w:val="19"/>
  </w:num>
  <w:num w:numId="36" w16cid:durableId="2115787401">
    <w:abstractNumId w:val="46"/>
  </w:num>
  <w:num w:numId="37" w16cid:durableId="959144248">
    <w:abstractNumId w:val="89"/>
  </w:num>
  <w:num w:numId="38" w16cid:durableId="1362509604">
    <w:abstractNumId w:val="59"/>
  </w:num>
  <w:num w:numId="39" w16cid:durableId="1435251739">
    <w:abstractNumId w:val="42"/>
  </w:num>
  <w:num w:numId="40" w16cid:durableId="531918810">
    <w:abstractNumId w:val="20"/>
  </w:num>
  <w:num w:numId="41" w16cid:durableId="1703818361">
    <w:abstractNumId w:val="77"/>
  </w:num>
  <w:num w:numId="42" w16cid:durableId="1970741101">
    <w:abstractNumId w:val="98"/>
  </w:num>
  <w:num w:numId="43" w16cid:durableId="2035569480">
    <w:abstractNumId w:val="18"/>
  </w:num>
  <w:num w:numId="44" w16cid:durableId="550191995">
    <w:abstractNumId w:val="64"/>
  </w:num>
  <w:num w:numId="45" w16cid:durableId="1871533145">
    <w:abstractNumId w:val="39"/>
  </w:num>
  <w:num w:numId="46" w16cid:durableId="1537889506">
    <w:abstractNumId w:val="73"/>
  </w:num>
  <w:num w:numId="47" w16cid:durableId="1568302490">
    <w:abstractNumId w:val="90"/>
  </w:num>
  <w:num w:numId="48" w16cid:durableId="777020748">
    <w:abstractNumId w:val="60"/>
  </w:num>
  <w:num w:numId="49" w16cid:durableId="1734884464">
    <w:abstractNumId w:val="60"/>
  </w:num>
  <w:num w:numId="50" w16cid:durableId="1926844397">
    <w:abstractNumId w:val="2"/>
  </w:num>
  <w:num w:numId="51" w16cid:durableId="2094542112">
    <w:abstractNumId w:val="49"/>
  </w:num>
  <w:num w:numId="52" w16cid:durableId="1110008324">
    <w:abstractNumId w:val="74"/>
  </w:num>
  <w:num w:numId="53" w16cid:durableId="1475099708">
    <w:abstractNumId w:val="78"/>
  </w:num>
  <w:num w:numId="54" w16cid:durableId="925260207">
    <w:abstractNumId w:val="48"/>
  </w:num>
  <w:num w:numId="55" w16cid:durableId="1560704298">
    <w:abstractNumId w:val="3"/>
  </w:num>
  <w:num w:numId="56" w16cid:durableId="843714838">
    <w:abstractNumId w:val="13"/>
  </w:num>
  <w:num w:numId="57" w16cid:durableId="2127506039">
    <w:abstractNumId w:val="12"/>
  </w:num>
  <w:num w:numId="58" w16cid:durableId="947857823">
    <w:abstractNumId w:val="60"/>
  </w:num>
  <w:num w:numId="59" w16cid:durableId="1825194636">
    <w:abstractNumId w:val="75"/>
  </w:num>
  <w:num w:numId="60" w16cid:durableId="823158333">
    <w:abstractNumId w:val="60"/>
  </w:num>
  <w:num w:numId="61" w16cid:durableId="238176964">
    <w:abstractNumId w:val="60"/>
  </w:num>
  <w:num w:numId="62" w16cid:durableId="555236504">
    <w:abstractNumId w:val="60"/>
  </w:num>
  <w:num w:numId="63" w16cid:durableId="290945629">
    <w:abstractNumId w:val="69"/>
  </w:num>
  <w:num w:numId="64" w16cid:durableId="1198470566">
    <w:abstractNumId w:val="60"/>
  </w:num>
  <w:num w:numId="65" w16cid:durableId="25839931">
    <w:abstractNumId w:val="70"/>
  </w:num>
  <w:num w:numId="66" w16cid:durableId="691958649">
    <w:abstractNumId w:val="66"/>
  </w:num>
  <w:num w:numId="67" w16cid:durableId="1901861442">
    <w:abstractNumId w:val="86"/>
  </w:num>
  <w:num w:numId="68" w16cid:durableId="972948540">
    <w:abstractNumId w:val="57"/>
  </w:num>
  <w:num w:numId="69" w16cid:durableId="122164634">
    <w:abstractNumId w:val="92"/>
  </w:num>
  <w:num w:numId="70" w16cid:durableId="915550812">
    <w:abstractNumId w:val="105"/>
  </w:num>
  <w:num w:numId="71" w16cid:durableId="17396612">
    <w:abstractNumId w:val="5"/>
  </w:num>
  <w:num w:numId="72" w16cid:durableId="357656605">
    <w:abstractNumId w:val="24"/>
  </w:num>
  <w:num w:numId="73" w16cid:durableId="1489321514">
    <w:abstractNumId w:val="0"/>
  </w:num>
  <w:num w:numId="74" w16cid:durableId="1337683231">
    <w:abstractNumId w:val="88"/>
  </w:num>
  <w:num w:numId="75" w16cid:durableId="2053074014">
    <w:abstractNumId w:val="15"/>
  </w:num>
  <w:num w:numId="76" w16cid:durableId="1855653083">
    <w:abstractNumId w:val="60"/>
  </w:num>
  <w:num w:numId="77" w16cid:durableId="643655881">
    <w:abstractNumId w:val="60"/>
  </w:num>
  <w:num w:numId="78" w16cid:durableId="1866139068">
    <w:abstractNumId w:val="60"/>
  </w:num>
  <w:num w:numId="79" w16cid:durableId="860702934">
    <w:abstractNumId w:val="60"/>
  </w:num>
  <w:num w:numId="80" w16cid:durableId="390158960">
    <w:abstractNumId w:val="60"/>
  </w:num>
  <w:num w:numId="81" w16cid:durableId="130559132">
    <w:abstractNumId w:val="60"/>
  </w:num>
  <w:num w:numId="82" w16cid:durableId="461848080">
    <w:abstractNumId w:val="60"/>
  </w:num>
  <w:num w:numId="83" w16cid:durableId="984972979">
    <w:abstractNumId w:val="60"/>
  </w:num>
  <w:num w:numId="84" w16cid:durableId="1024280948">
    <w:abstractNumId w:val="60"/>
  </w:num>
  <w:num w:numId="85" w16cid:durableId="1310131089">
    <w:abstractNumId w:val="60"/>
  </w:num>
  <w:num w:numId="86" w16cid:durableId="446898631">
    <w:abstractNumId w:val="8"/>
  </w:num>
  <w:num w:numId="87" w16cid:durableId="1748070260">
    <w:abstractNumId w:val="79"/>
  </w:num>
  <w:num w:numId="88" w16cid:durableId="2124375385">
    <w:abstractNumId w:val="1"/>
  </w:num>
  <w:num w:numId="89" w16cid:durableId="1090665228">
    <w:abstractNumId w:val="51"/>
  </w:num>
  <w:num w:numId="90" w16cid:durableId="265769921">
    <w:abstractNumId w:val="97"/>
  </w:num>
  <w:num w:numId="91" w16cid:durableId="1471094353">
    <w:abstractNumId w:val="25"/>
  </w:num>
  <w:num w:numId="92" w16cid:durableId="1351952644">
    <w:abstractNumId w:val="35"/>
  </w:num>
  <w:num w:numId="93" w16cid:durableId="724452353">
    <w:abstractNumId w:val="9"/>
  </w:num>
  <w:num w:numId="94" w16cid:durableId="773592020">
    <w:abstractNumId w:val="55"/>
  </w:num>
  <w:num w:numId="95" w16cid:durableId="928852717">
    <w:abstractNumId w:val="60"/>
  </w:num>
  <w:num w:numId="96" w16cid:durableId="439375753">
    <w:abstractNumId w:val="63"/>
  </w:num>
  <w:num w:numId="97" w16cid:durableId="1552688153">
    <w:abstractNumId w:val="102"/>
  </w:num>
  <w:num w:numId="98" w16cid:durableId="1551527267">
    <w:abstractNumId w:val="62"/>
  </w:num>
  <w:num w:numId="99" w16cid:durableId="1876313245">
    <w:abstractNumId w:val="61"/>
  </w:num>
  <w:num w:numId="100" w16cid:durableId="1018971118">
    <w:abstractNumId w:val="37"/>
  </w:num>
  <w:num w:numId="101" w16cid:durableId="602496008">
    <w:abstractNumId w:val="71"/>
  </w:num>
  <w:num w:numId="102" w16cid:durableId="376129729">
    <w:abstractNumId w:val="104"/>
  </w:num>
  <w:num w:numId="103" w16cid:durableId="566842082">
    <w:abstractNumId w:val="80"/>
  </w:num>
  <w:num w:numId="104" w16cid:durableId="379935914">
    <w:abstractNumId w:val="60"/>
  </w:num>
  <w:num w:numId="105" w16cid:durableId="1971326418">
    <w:abstractNumId w:val="4"/>
  </w:num>
  <w:num w:numId="106" w16cid:durableId="79837864">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D4C802A">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562910164">
    <w:abstractNumId w:val="54"/>
  </w:num>
  <w:num w:numId="108" w16cid:durableId="2092923731">
    <w:abstractNumId w:val="85"/>
  </w:num>
  <w:num w:numId="109" w16cid:durableId="941648632">
    <w:abstractNumId w:val="38"/>
  </w:num>
  <w:num w:numId="110" w16cid:durableId="1998874524">
    <w:abstractNumId w:val="91"/>
  </w:num>
  <w:num w:numId="111" w16cid:durableId="1865092146">
    <w:abstractNumId w:val="43"/>
  </w:num>
  <w:num w:numId="112" w16cid:durableId="1516765230">
    <w:abstractNumId w:val="100"/>
  </w:num>
  <w:num w:numId="113" w16cid:durableId="948705079">
    <w:abstractNumId w:val="17"/>
  </w:num>
  <w:num w:numId="114" w16cid:durableId="935597661">
    <w:abstractNumId w:val="60"/>
  </w:num>
  <w:num w:numId="115" w16cid:durableId="872041054">
    <w:abstractNumId w:val="82"/>
  </w:num>
  <w:num w:numId="116" w16cid:durableId="838303316">
    <w:abstractNumId w:val="44"/>
  </w:num>
  <w:num w:numId="117" w16cid:durableId="35011869">
    <w:abstractNumId w:val="11"/>
  </w:num>
  <w:num w:numId="118" w16cid:durableId="151407589">
    <w:abstractNumId w:val="93"/>
  </w:num>
  <w:num w:numId="119" w16cid:durableId="1750617183">
    <w:abstractNumId w:val="34"/>
  </w:num>
  <w:num w:numId="120" w16cid:durableId="1784810813">
    <w:abstractNumId w:val="99"/>
  </w:num>
  <w:num w:numId="121" w16cid:durableId="1888639707">
    <w:abstractNumId w:val="95"/>
  </w:num>
  <w:num w:numId="122" w16cid:durableId="529146936">
    <w:abstractNumId w:val="68"/>
  </w:num>
  <w:num w:numId="123" w16cid:durableId="506601278">
    <w:abstractNumId w:val="58"/>
  </w:num>
  <w:num w:numId="124" w16cid:durableId="1122921550">
    <w:abstractNumId w:val="45"/>
  </w:num>
  <w:num w:numId="125" w16cid:durableId="547497213">
    <w:abstractNumId w:val="14"/>
  </w:num>
  <w:num w:numId="126" w16cid:durableId="1306470488">
    <w:abstractNumId w:val="29"/>
  </w:num>
  <w:num w:numId="127" w16cid:durableId="992300224">
    <w:abstractNumId w:val="40"/>
  </w:num>
  <w:num w:numId="128" w16cid:durableId="1949660297">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3879"/>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el-GR"/>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el-GR"/>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el-GR"/>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el-GR"/>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el-GR"/>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el-GR"/>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el-GR"/>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el-GR"/>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2.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3.xml><?xml version="1.0" encoding="utf-8"?>
<ds:datastoreItem xmlns:ds="http://schemas.openxmlformats.org/officeDocument/2006/customXml" ds:itemID="{21C41579-DB0D-4843-B5ED-F622776539AB}">
  <ds:schemaRefs>
    <ds:schemaRef ds:uri="office.server.policy"/>
  </ds:schemaRefs>
</ds:datastoreItem>
</file>

<file path=customXml/itemProps4.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5.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6.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33</Pages>
  <Words>9063</Words>
  <Characters>51662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Liana Brili</cp:lastModifiedBy>
  <cp:revision>3</cp:revision>
  <dcterms:created xsi:type="dcterms:W3CDTF">2022-05-27T12:53:00Z</dcterms:created>
  <dcterms:modified xsi:type="dcterms:W3CDTF">2022-06-15T10:40:00Z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