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Ministrul tranziției ecologice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Având în vedere</w:t>
      </w:r>
      <w:r>
        <w:rPr>
          <w:b/>
        </w:rPr>
        <w:tab/>
      </w:r>
      <w:r>
        <w:t xml:space="preserve">articolul 17 alineatul (3) din Legea nr. 400 din 23 august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Având în vedere</w:t>
      </w:r>
      <w:r>
        <w:rPr>
          <w:b/>
        </w:rPr>
        <w:tab/>
      </w:r>
      <w:r>
        <w:t xml:space="preserve">articolul 184b din Decretul legislativ nr. 152 din 3 aprilie 2006, în special alineatul (2), care prevede că „criteriile menționate la alineatul (1) se adoptă în conformitate cu dispozițiile normelor Uniunii sau, în lipsa unor criterii ale Uniunii, de la caz la caz pentru anumite tipuri de deșeuri, prin intermediul unuia sau mai multor decrete ale ministrului mediului și protecției terenurilor și mării, în conformitate cu 17 alineatul (3) din Legea nr. 400 din 23 august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Având în vedere</w:t>
      </w:r>
      <w:r>
        <w:rPr>
          <w:b/>
        </w:rPr>
        <w:tab/>
      </w:r>
      <w:r>
        <w:t xml:space="preserve">Directiva 2008/98/CE a Parlamentului European și a Consiliului din 19 noiembrie 2008, în special articolul 11 alineatul (1), care prevede, printre altele, că statele membre iau măsuri pentru a promova demolarea selectivă pentru a permite eliminarea și tratarea în condiții de siguranță a substanțelor periculoase și pentru a facilita reutilizarea și reciclarea de înaltă calitate prin eliminarea selectivă a materialelor;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Având în vedere</w:t>
      </w:r>
      <w:r>
        <w:rPr>
          <w:b/>
        </w:rPr>
        <w:tab/>
      </w:r>
      <w:r>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Având în vedere</w:t>
      </w:r>
      <w:r>
        <w:rPr>
          <w:b/>
        </w:rPr>
        <w:tab/>
      </w:r>
      <w:r>
        <w:t>Regulamentul (CE) nr. 1221/2009 al Parlamentului European și al Consiliului din 25 noiembrie 2009 privind participarea voluntară a organizațiilor la un sistem comunitar de management de mediu și audit (EMAS), de abrogare a Regulamentului (CE) nr. 761/2001 și a Deciziilor 2001/681/CE și 2006/193/CE ale Comisiei,</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Având în vedere</w:t>
      </w:r>
      <w:r>
        <w:rPr>
          <w:b/>
        </w:rPr>
        <w:tab/>
      </w:r>
      <w:r>
        <w:t>Decretul legislativ nr. 82 din 7 martie 2005 care conține „Codul administrației digitale”;</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Având în vedere</w:t>
      </w:r>
      <w:r>
        <w:tab/>
        <w:t>Decretul prezidențial nr. 445 din 28 decembrie 2000 intitulat „Textul unic al dispozițiilor legislative și de reglementare în materie de documentație administrativă”;</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Având în vedere</w:t>
      </w:r>
      <w:r>
        <w:rPr>
          <w:b/>
        </w:rPr>
        <w:tab/>
      </w:r>
      <w:r>
        <w:t>Decretul ministrului mediului din 5 februarie 1998 privind identificarea deșeurilor nepericuloase care fac obiectul unor proceduri simplificate de recuperare în temeiul articolelor 31 și 33 din Decretul legislativ nr. 22 din 5 februarie 1997, publicat în Monitorul Oficial nr. 88 din 16 aprilie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Având în vedere</w:t>
      </w:r>
      <w:r>
        <w:rPr>
          <w:b/>
        </w:rPr>
        <w:tab/>
      </w:r>
      <w:r>
        <w:t xml:space="preserve">că există o piață pentru agregatul recuperat datorită faptului că acesta este utilizat în mod obișnuit pentru construcția de lucrări de construcții civile, înlocuind materia primă naturală și are o valoare economică reală, că există scopuri specifice pentru care substanța poate fi utilizată, în conformitate cu criteriile stabilite în prezentul regulament, și că respectă legislația și </w:t>
      </w:r>
      <w:r>
        <w:rPr>
          <w:i/>
        </w:rPr>
        <w:t>standardele</w:t>
      </w:r>
      <w:r>
        <w:t xml:space="preserve"> existente aplicabile produselor;</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Având în vedere</w:t>
      </w:r>
      <w:r>
        <w:rPr>
          <w:b/>
        </w:rPr>
        <w:tab/>
      </w:r>
      <w:r>
        <w:t>că ancheta efectuată a arătat că agregatul recuperat, care îndeplinește criteriile stabilite în prezentul regulament, nu are un impact global negativ asupra sănătății umane sau asupra mediului;</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În urma obținerii</w:t>
      </w:r>
      <w:r>
        <w:rPr>
          <w:b/>
        </w:rPr>
        <w:tab/>
      </w:r>
      <w:r>
        <w:t xml:space="preserve">avizului Consiliului de Stat, exprimat de Secțiunea consultativă pentru acte legislative în ședința din..................................,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Având în vedere</w:t>
      </w:r>
      <w:r>
        <w:tab/>
        <w:t xml:space="preserve">comunicarea către președintele Consiliului de Miniștri, efectuată cu nota ……., în conformitate cu Legea nr. 400 din 23 august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Având în vedere</w:t>
      </w:r>
      <w:r>
        <w:tab/>
        <w:t xml:space="preserve">comunicarea menționată la articolul 5 din Directiva (UE) 2015/1535 referitoare la procedura de furnizare de informații în domeniul reglementărilor tehnice și al normelor privind serviciile societății informaționale, transmisă prin scrisoarea din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Adoptă  </w:t>
      </w:r>
    </w:p>
    <w:p w14:paraId="09CAE138" w14:textId="77777777" w:rsidR="000B2060" w:rsidRDefault="009E72B8">
      <w:pPr>
        <w:spacing w:after="17" w:line="259" w:lineRule="auto"/>
        <w:ind w:left="10" w:right="63"/>
        <w:jc w:val="center"/>
      </w:pPr>
      <w:r>
        <w:t xml:space="preserve">regulamentul următor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Articolul 1 </w:t>
      </w:r>
    </w:p>
    <w:p w14:paraId="685448BB" w14:textId="4EFAB624" w:rsidR="000B2060" w:rsidRPr="005428D2" w:rsidRDefault="009E72B8" w:rsidP="00F51F5E">
      <w:pPr>
        <w:pStyle w:val="Heading1"/>
        <w:spacing w:after="120"/>
        <w:ind w:left="11" w:right="62" w:hanging="11"/>
        <w:rPr>
          <w:b w:val="0"/>
          <w:i/>
        </w:rPr>
      </w:pPr>
      <w:r>
        <w:rPr>
          <w:b w:val="0"/>
          <w:i/>
        </w:rPr>
        <w:t xml:space="preserve">Obiectul și scopul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Prezentul regulament stabilește criteriile specifice conform cărora deșeurile inerte provenite din activități de construcții și demolări și alte deșeuri inerte de origine minerală, astfel cum sunt definite la articolul 2 alineatul (1) literele (a) și (b) din prezentul regulament, care fac obiectul operațiunilor de valorificare, încetează să fie clasificate ca deșeuri</w:t>
      </w:r>
      <w:r>
        <w:rPr>
          <w:b/>
        </w:rPr>
        <w:t xml:space="preserve"> </w:t>
      </w:r>
      <w:r>
        <w:t xml:space="preserve"> în temeiul și în sensul articolului 184b din Decretul legislativ nr. 152 din 3 aprilie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Articolul 2 </w:t>
      </w:r>
    </w:p>
    <w:p w14:paraId="160D19CA" w14:textId="6C79CD75" w:rsidR="000B2060" w:rsidRPr="00607D0C" w:rsidRDefault="009E72B8" w:rsidP="00F51F5E">
      <w:pPr>
        <w:pStyle w:val="Heading1"/>
        <w:spacing w:after="120"/>
        <w:ind w:left="11" w:right="62" w:hanging="11"/>
        <w:rPr>
          <w:b w:val="0"/>
          <w:i/>
        </w:rPr>
      </w:pPr>
      <w:r>
        <w:rPr>
          <w:b w:val="0"/>
          <w:i/>
        </w:rPr>
        <w:t xml:space="preserve">Definiții </w:t>
      </w:r>
    </w:p>
    <w:p w14:paraId="0E8DB7DF" w14:textId="6AD3A87B" w:rsidR="008647FF" w:rsidRPr="00607D0C" w:rsidRDefault="008647FF" w:rsidP="00CA20B5">
      <w:pPr>
        <w:pStyle w:val="ListParagraph"/>
        <w:numPr>
          <w:ilvl w:val="0"/>
          <w:numId w:val="39"/>
        </w:numPr>
        <w:spacing w:after="60" w:line="266" w:lineRule="auto"/>
        <w:ind w:right="51"/>
        <w:contextualSpacing w:val="0"/>
      </w:pPr>
      <w:r>
        <w:t>În sensul prezentului regulament, se aplică definițiile prevăzute la articolul 183 din Decretul legislativ nr. 152 din 3 aprilie 2006, precum și următoarele:</w:t>
      </w:r>
    </w:p>
    <w:p w14:paraId="6DD3AD7E" w14:textId="19D52C13" w:rsidR="008647FF" w:rsidRPr="00CA20B5" w:rsidRDefault="008647FF" w:rsidP="005211CB">
      <w:pPr>
        <w:ind w:left="851" w:hanging="284"/>
        <w:rPr>
          <w:color w:val="000000" w:themeColor="text1"/>
        </w:rPr>
      </w:pPr>
      <w:r>
        <w:rPr>
          <w:color w:val="000000" w:themeColor="text1"/>
        </w:rPr>
        <w:t>(a) „deșeuri inerte rezultate din activități de construcții și demolări” înseamnă deșeurile rezultate din operațiuni de construcții și demolări identificate în capitolul 17 din lista europeană a deșeurilor menționată în Decizia 2000/532/CE și enumerate în tabelul 1 punctul 1 din anexa 1 la prezentul regulament;</w:t>
      </w:r>
    </w:p>
    <w:p w14:paraId="6CB39F8D" w14:textId="3ED766B8" w:rsidR="008647FF" w:rsidRPr="00CA20B5" w:rsidRDefault="008647FF" w:rsidP="005211CB">
      <w:pPr>
        <w:ind w:left="851" w:hanging="284"/>
        <w:rPr>
          <w:color w:val="000000" w:themeColor="text1"/>
        </w:rPr>
      </w:pPr>
      <w:r>
        <w:rPr>
          <w:color w:val="000000" w:themeColor="text1"/>
        </w:rPr>
        <w:t>(b) „alte deșeuri inerte de origine minerală” înseamnă deșeurile care nu intră sub incidența capitolului 17 din lista europeană a deșeurilor menționată în Decizia 2000/532/CE și enumerate în tabelul 1 punctul 2 din anexa 1 la prezentul regulament;</w:t>
      </w:r>
    </w:p>
    <w:p w14:paraId="41FCC9E7" w14:textId="77777777" w:rsidR="008647FF" w:rsidRPr="00CA20B5" w:rsidRDefault="008647FF" w:rsidP="005211CB">
      <w:pPr>
        <w:ind w:left="851" w:hanging="284"/>
        <w:rPr>
          <w:color w:val="000000" w:themeColor="text1"/>
        </w:rPr>
      </w:pPr>
      <w:r>
        <w:rPr>
          <w:color w:val="000000" w:themeColor="text1"/>
        </w:rPr>
        <w:t>(c) „deșeuri inerte” înseamnă deșeuri solide rezultate din activități de construcții și demolări și alte deșeuri inerte de origine minerală care nu sunt supuse unei transformări fizice, chimice sau biologice semnificative; deșeurile inerte nu se dizolvă, nu ard și nu sunt supuse niciunei alte reacții fizice sau chimice, nu sunt biodegradabile și, în caz de contact cu alte materiale, nu au efecte nocive de natură să cauzeze poluarea mediului sau să afecteze sănătatea umană;</w:t>
      </w:r>
    </w:p>
    <w:p w14:paraId="19DA6921" w14:textId="77777777" w:rsidR="008647FF" w:rsidRPr="00CA20B5" w:rsidRDefault="008647FF" w:rsidP="005211CB">
      <w:pPr>
        <w:ind w:left="851" w:hanging="284"/>
        <w:rPr>
          <w:color w:val="auto"/>
        </w:rPr>
      </w:pPr>
      <w:r>
        <w:t>(d) „agregat recuperat” înseamnă deșeurile menționate la literele (a) și (b) care au încetat să mai fie deșeuri ca urmare a uneia sau mai multor operațiuni de valorificare în conformitate cu condițiile prevăzute la articolul 184b alineatul (1) din Decretul legislativ nr. 152 din 3 aprilie 2006 și cu dispozițiile prezentului decret;</w:t>
      </w:r>
    </w:p>
    <w:p w14:paraId="6AFFD208" w14:textId="77777777" w:rsidR="008647FF" w:rsidRPr="00CA20B5" w:rsidRDefault="008647FF" w:rsidP="005211CB">
      <w:pPr>
        <w:ind w:left="851" w:hanging="284"/>
      </w:pPr>
      <w:r>
        <w:t>(e) „lot de agregat recuperat” înseamnă nu mai mult de 3 000 de metri cubi de agregat recuperat;</w:t>
      </w:r>
    </w:p>
    <w:p w14:paraId="73295BD6" w14:textId="77777777" w:rsidR="008647FF" w:rsidRPr="00CA20B5" w:rsidRDefault="008647FF" w:rsidP="005211CB">
      <w:pPr>
        <w:ind w:left="851" w:hanging="284"/>
      </w:pPr>
      <w:r>
        <w:t>(f) „producător de agregat recuperat” înseamnă operatorul instalației autorizate pentru producerea de agregat recuperat (denumit în continuare și numai „producător”);</w:t>
      </w:r>
    </w:p>
    <w:p w14:paraId="14B52658" w14:textId="77777777" w:rsidR="008647FF" w:rsidRPr="00CA20B5" w:rsidRDefault="008647FF" w:rsidP="005211CB">
      <w:pPr>
        <w:ind w:left="851" w:hanging="284"/>
      </w:pPr>
      <w:r>
        <w:t>(g) „declarație de conformitate” înseamnă declarația care înlocuiește documentul notarial emis de producător, care atestă caracteristicile agregatului recuperat, astfel cum se menționează la articolul 5;</w:t>
      </w:r>
    </w:p>
    <w:p w14:paraId="5542E487" w14:textId="048CAC5A" w:rsidR="008647FF" w:rsidRPr="00CA20B5" w:rsidRDefault="008647FF" w:rsidP="005211CB">
      <w:pPr>
        <w:ind w:left="851" w:hanging="284"/>
      </w:pPr>
      <w:r>
        <w:t>(h) „autoritate competentă” înseamnă autoritatea care eliberează autorizația în temeiul titlului IIIa din partea II sau al părții IV titlul I capitolul IV din Decretul legislativ nr. 152 din 3 aprilie 2006, și anume autoritatea care primește comunicarea menționată la articolul 216 din decretul menționat.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Articolul 3 </w:t>
      </w:r>
    </w:p>
    <w:p w14:paraId="147552D8" w14:textId="688C6A32" w:rsidR="000B2060" w:rsidRPr="00607D0C" w:rsidRDefault="009E72B8" w:rsidP="00F51F5E">
      <w:pPr>
        <w:pStyle w:val="Heading1"/>
        <w:spacing w:after="120"/>
        <w:ind w:left="11" w:right="62" w:hanging="11"/>
        <w:rPr>
          <w:b w:val="0"/>
          <w:i/>
        </w:rPr>
      </w:pPr>
      <w:r>
        <w:rPr>
          <w:b w:val="0"/>
          <w:i/>
        </w:rPr>
        <w:t xml:space="preserve">Criteriile pentru încetarea statutului de deșeu  </w:t>
      </w:r>
    </w:p>
    <w:p w14:paraId="73F7D280" w14:textId="12E55F31" w:rsidR="000B2060" w:rsidRDefault="009E72B8" w:rsidP="00CA20B5">
      <w:pPr>
        <w:pStyle w:val="ListParagraph"/>
        <w:numPr>
          <w:ilvl w:val="0"/>
          <w:numId w:val="40"/>
        </w:numPr>
        <w:spacing w:after="12" w:line="267" w:lineRule="auto"/>
        <w:ind w:right="51"/>
      </w:pPr>
      <w:r>
        <w:t xml:space="preserve">În sensul articolului 1 și în temeiul și în sensul articolului 184b din Decretul legislativ nr. 152 din 3 aprilie 2006, deșeurile inerte rezultate din activități de construcții și demolări și alte deșeuri inerte de origine minerală, astfel cum sunt definite la articolul 2 literele (a) și (b), încetează să fie clasificate ca deșeuri și sunt clasificate ca agregat recuperat dacă </w:t>
      </w:r>
      <w:r>
        <w:rPr>
          <w:color w:val="auto"/>
        </w:rPr>
        <w:t xml:space="preserve">acesta îndeplinește criteriile stabilite în </w:t>
      </w:r>
      <w:r>
        <w:t xml:space="preserve">anexa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Articolul 4 </w:t>
      </w:r>
    </w:p>
    <w:p w14:paraId="6DB7C9A8" w14:textId="1626EFD9" w:rsidR="000B2060" w:rsidRPr="008610D3" w:rsidRDefault="009E72B8" w:rsidP="00F51F5E">
      <w:pPr>
        <w:pStyle w:val="Heading1"/>
        <w:spacing w:after="120"/>
        <w:ind w:left="11" w:right="62" w:hanging="11"/>
        <w:rPr>
          <w:b w:val="0"/>
          <w:i/>
        </w:rPr>
      </w:pPr>
      <w:r>
        <w:rPr>
          <w:b w:val="0"/>
          <w:i/>
        </w:rPr>
        <w:t xml:space="preserve">Utilizări specifice </w:t>
      </w:r>
    </w:p>
    <w:p w14:paraId="0D851D94" w14:textId="66DC1D1D" w:rsidR="000B2060" w:rsidRDefault="009E72B8" w:rsidP="00CA20B5">
      <w:pPr>
        <w:pStyle w:val="ListParagraph"/>
        <w:numPr>
          <w:ilvl w:val="0"/>
          <w:numId w:val="41"/>
        </w:numPr>
        <w:spacing w:after="12" w:line="267" w:lineRule="auto"/>
        <w:ind w:right="51"/>
      </w:pPr>
      <w:r>
        <w:t xml:space="preserve">Agregatul recuperat poate fi utilizat numai în scopurile specifice enumerate în anexa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Articolul 5 </w:t>
      </w:r>
    </w:p>
    <w:p w14:paraId="2A0C2A18" w14:textId="26FCCECD" w:rsidR="000B2060" w:rsidRPr="008610D3" w:rsidRDefault="009E72B8" w:rsidP="00F51F5E">
      <w:pPr>
        <w:pStyle w:val="Heading1"/>
        <w:spacing w:after="120"/>
        <w:ind w:left="11" w:right="62" w:hanging="11"/>
        <w:rPr>
          <w:i/>
        </w:rPr>
      </w:pPr>
      <w:r>
        <w:rPr>
          <w:b w:val="0"/>
          <w:i/>
        </w:rPr>
        <w:t xml:space="preserve">Declarația de conformitate și modalitățile de păstrare a eșantioanelor </w:t>
      </w:r>
    </w:p>
    <w:p w14:paraId="2FB7AF9D" w14:textId="6C743069" w:rsidR="000B2060" w:rsidRDefault="009E72B8" w:rsidP="00CA20B5">
      <w:pPr>
        <w:pStyle w:val="ListParagraph"/>
        <w:numPr>
          <w:ilvl w:val="0"/>
          <w:numId w:val="42"/>
        </w:numPr>
        <w:spacing w:after="12" w:line="267" w:lineRule="auto"/>
        <w:ind w:right="51"/>
      </w:pPr>
      <w:r>
        <w:t xml:space="preserve">Respectarea criteriilor prevăzute la articolul 3 este certificată de producătorul de agregat recuperat printr-o declarație care înlocuiește documentul notarial, în conformitate cu articolul 47 din Decretul prezidențial nr. 445 din 28 decembrie 2000, întocmit pentru fiecare lot de agregat recuperat produs. Declarația se redactează utilizând formularul din anexa 3 și se transmite autorității competente și agenției locale competente pentru protecția mediului prin una dintre metodele prevăzute la articolul 65 din Decretul legislativ nr. 82 din 7 martie 2005. </w:t>
      </w:r>
    </w:p>
    <w:p w14:paraId="34D8EC28" w14:textId="599778F9" w:rsidR="000B2060" w:rsidRDefault="009E72B8" w:rsidP="00CA20B5">
      <w:pPr>
        <w:pStyle w:val="ListParagraph"/>
        <w:numPr>
          <w:ilvl w:val="0"/>
          <w:numId w:val="40"/>
        </w:numPr>
        <w:ind w:right="51"/>
      </w:pPr>
      <w:r>
        <w:t xml:space="preserve">Producătorul de agregat recuperat păstrează o copie a declarației menționate la alineatul (1) la unitatea de producție sau la sediul său social, inclusiv în format electronic, punând-o la dispoziția autorităților de control care o solicită.  </w:t>
      </w:r>
    </w:p>
    <w:p w14:paraId="00E8975F" w14:textId="26A2EED6" w:rsidR="000B2060" w:rsidRDefault="005211CB" w:rsidP="00CA20B5">
      <w:pPr>
        <w:pStyle w:val="ListParagraph"/>
        <w:numPr>
          <w:ilvl w:val="0"/>
          <w:numId w:val="40"/>
        </w:numPr>
        <w:ind w:right="51"/>
      </w:pPr>
      <w:r>
        <w:t xml:space="preserve">Pentru a îndeplini criteriile stabilite la articolul 3, producătorul de agregat recuperat păstrează timp de cinci ani, la unitatea de producție sau la sediul său social, un eșantion de agregat recuperat prelevat, la sfârșitul procesului de producție al fiecărui lot de agregat recuperat, în conformitate cu UNI 10802. Metoda de stocare a eșantionului trebuie să asigure faptul că caracteristicile chimice și fizice ale agregatului recuperat nu sunt modificate și sunt adecvate pentru repetarea analizelor.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Articolul 6 </w:t>
      </w:r>
    </w:p>
    <w:p w14:paraId="0ADCBA18" w14:textId="61BFB2AB" w:rsidR="000B2060" w:rsidRPr="008610D3" w:rsidRDefault="009E72B8" w:rsidP="007B53AC">
      <w:pPr>
        <w:pStyle w:val="Heading1"/>
        <w:spacing w:after="120"/>
        <w:ind w:left="11" w:right="62" w:hanging="11"/>
        <w:rPr>
          <w:b w:val="0"/>
          <w:i/>
        </w:rPr>
      </w:pPr>
      <w:r>
        <w:rPr>
          <w:b w:val="0"/>
          <w:i/>
        </w:rPr>
        <w:t xml:space="preserve">Sistemul de gestionare  </w:t>
      </w:r>
    </w:p>
    <w:p w14:paraId="0DD1A645" w14:textId="3688D537" w:rsidR="000B2060" w:rsidRPr="00CA20B5" w:rsidRDefault="005211CB" w:rsidP="00CA20B5">
      <w:pPr>
        <w:pStyle w:val="ListParagraph"/>
        <w:numPr>
          <w:ilvl w:val="0"/>
          <w:numId w:val="43"/>
        </w:numPr>
        <w:ind w:right="51"/>
      </w:pPr>
      <w:r>
        <w:t>Producătorul de agregat recuperat aplică un sistem de management al calității în conformitate cu standardul UNI EN ISO 9001 certificat de o organizație acreditată în conformitate cu legislația în vigoare, demonstrând conformitatea cu criteriile stabilite în prezentul regulament. Manualul de calitate include proceduri operaționale pentru verificarea caracteristicilor conformității cu criteriile stabilite în anexa 1 la planul de eșantionare și automonitorizare.</w:t>
      </w:r>
    </w:p>
    <w:p w14:paraId="71F6D2EA" w14:textId="171C3204" w:rsidR="005211CB" w:rsidRPr="001B60FC" w:rsidRDefault="005211CB" w:rsidP="00CA20B5">
      <w:pPr>
        <w:pStyle w:val="ListParagraph"/>
        <w:numPr>
          <w:ilvl w:val="0"/>
          <w:numId w:val="43"/>
        </w:numPr>
        <w:ind w:right="51"/>
      </w:pPr>
      <w:r>
        <w:t>Dispozițiile menționate la articolul 5 alineatul (3) nu se aplică societăților înregistrate în temeiul Regulamentului (CE) nr. 1221/2009 al Parlamentului European și al Consiliului din 25 noiembrie 2009 sau societăților care dețin certificarea de mediu UNI EN ISO 14001, eliberată de un organism acreditat în conformitate cu legislația aplicabilă.</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Articolul 7 </w:t>
      </w:r>
    </w:p>
    <w:p w14:paraId="3EE44B21" w14:textId="4328195D" w:rsidR="000B2060" w:rsidRPr="001571B3" w:rsidRDefault="009E72B8" w:rsidP="007B53AC">
      <w:pPr>
        <w:pStyle w:val="Heading1"/>
        <w:spacing w:after="120"/>
        <w:ind w:left="11" w:right="62" w:hanging="11"/>
        <w:rPr>
          <w:b w:val="0"/>
          <w:i/>
        </w:rPr>
      </w:pPr>
      <w:r>
        <w:rPr>
          <w:b w:val="0"/>
          <w:i/>
        </w:rPr>
        <w:t xml:space="preserve">Dispoziții tranzitorii și finale </w:t>
      </w:r>
    </w:p>
    <w:p w14:paraId="77F5A694" w14:textId="21F82AE1" w:rsidR="000B2060" w:rsidRDefault="009E72B8" w:rsidP="00CA20B5">
      <w:pPr>
        <w:pStyle w:val="ListParagraph"/>
        <w:numPr>
          <w:ilvl w:val="0"/>
          <w:numId w:val="44"/>
        </w:numPr>
        <w:ind w:right="51"/>
      </w:pPr>
      <w:r>
        <w:t xml:space="preserve"> Pentru a respecta criteriile prevăzute în prezentul regulament, producătorul prezintă autorității competente, în termen de 180 de zile de la intrarea în vigoare a prezentului regulament, o actualizare a comunicării efectuate în temeiul articolului 216 din Decretul legislativ nr. 152 din 3 aprilie 2006, indicând suma maximă recuperabilă, sau o cerere de actualizare a autorizației acordate în temeiul capitolului IV titlul I partea IV sau al titlului IIIa din partea II din Decretul legislativ nr. 152 din 3 aprilie 2006. Pentru procedurile simplificate, limitele cantitative stabilite în Decretul ministrului mediului din 5 februarie 1998 din anexa 4, standardele tehnice prevăzute în anexa 5 și valorile limită de emisie stabilite în anexa 1, subanexa 2, rămân fixate. </w:t>
      </w:r>
    </w:p>
    <w:p w14:paraId="26047A06" w14:textId="77777777" w:rsidR="000B2060" w:rsidRDefault="009E72B8" w:rsidP="00CA20B5">
      <w:pPr>
        <w:pStyle w:val="ListParagraph"/>
        <w:numPr>
          <w:ilvl w:val="0"/>
          <w:numId w:val="44"/>
        </w:numPr>
        <w:ind w:right="51"/>
      </w:pPr>
      <w:r>
        <w:t xml:space="preserve">În așteptarea ajustării menționate la alineatul (1), materialele care rezultă din procedurile de recuperare deja autorizate pot fi utilizate în scopurile specifice menționate la articolul 4 dacă au </w:t>
      </w:r>
      <w:r>
        <w:lastRenderedPageBreak/>
        <w:t xml:space="preserve">caracteristici care îndeplinesc criteriile prevăzute la articolul 3, certificate printr-o declarație de conformitate în temeiul articolului 5. </w:t>
      </w:r>
    </w:p>
    <w:p w14:paraId="14C9EE35" w14:textId="3E32E2C5" w:rsidR="000B2060" w:rsidRDefault="009E72B8" w:rsidP="00CA20B5">
      <w:pPr>
        <w:pStyle w:val="ListParagraph"/>
        <w:numPr>
          <w:ilvl w:val="0"/>
          <w:numId w:val="44"/>
        </w:numPr>
        <w:ind w:right="51"/>
      </w:pPr>
      <w:r>
        <w:t xml:space="preserve">Anexele constituie parte integrantă a prezentului regulament.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Prezentul decret, prevăzut cu sigiliul de stat, se introduce în colecția oficială a actelor juridice ale Republicii Italiene. Toate părțile interesate sunt obligate să respecte și să asigure respectarea prezentului decret.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Anexa 1 (articolul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Deșeuri admisibile. </w:t>
      </w:r>
    </w:p>
    <w:p w14:paraId="14E32E02" w14:textId="44D47E89" w:rsidR="001A66C5" w:rsidRPr="00E126AE" w:rsidRDefault="001A66C5" w:rsidP="001A66C5">
      <w:pPr>
        <w:spacing w:after="0" w:line="259" w:lineRule="auto"/>
        <w:ind w:left="0" w:firstLine="0"/>
        <w:rPr>
          <w:color w:val="auto"/>
          <w:sz w:val="22"/>
        </w:rPr>
      </w:pPr>
      <w:r>
        <w:rPr>
          <w:color w:val="auto"/>
        </w:rPr>
        <w:t>Numai deșeurile inerte nepericuloase din construcții și demolări identificate în tabelul 1 punctul 1 și deșeurile inerte nepericuloase de origine minerală enumerate în tabelul 1 punctul 2 pot fi utilizate pentru producția de agregat recuperat.</w:t>
      </w:r>
    </w:p>
    <w:p w14:paraId="520B0D8E" w14:textId="0360FF1C" w:rsidR="001A66C5" w:rsidRPr="00E126AE" w:rsidRDefault="00D55B0D" w:rsidP="00435FEC">
      <w:pPr>
        <w:spacing w:after="0" w:line="259" w:lineRule="auto"/>
        <w:ind w:left="0" w:firstLine="0"/>
        <w:rPr>
          <w:color w:val="auto"/>
        </w:rPr>
      </w:pPr>
      <w:r>
        <w:rPr>
          <w:color w:val="auto"/>
        </w:rPr>
        <w:t>Deșeurile eligibile pentru producția de agregat recuperat provin exclusiv din produse care au făcut obiectul unor operațiuni anterioare de decontaminare/reabilitare care vizează eliminarea materialelor care conțin azbest, a echipamentelor care conțin PCB/contaminate, a învelișurilor bituminoase, a materialelor de acoperire și a materialelor izolante potențial periculoase și a altor materiale contaminate sau care conțin substanțe periculoase, în sensul Deciziei 2000/532/CE și al Directivei 2008/98/CE. Deșeurile permise în mod preferențial provin din produse demolate selectiv.</w:t>
      </w:r>
    </w:p>
    <w:p w14:paraId="3AB8468F" w14:textId="5C103CE9" w:rsidR="000B2060" w:rsidRPr="00E126AE" w:rsidRDefault="001A66C5" w:rsidP="001A66C5">
      <w:pPr>
        <w:spacing w:after="0" w:line="259" w:lineRule="auto"/>
        <w:ind w:left="0" w:firstLine="0"/>
        <w:rPr>
          <w:color w:val="auto"/>
        </w:rPr>
      </w:pPr>
      <w:r>
        <w:rPr>
          <w:color w:val="auto"/>
        </w:rPr>
        <w:t xml:space="preserve">Deșeurile rezultate din activități de construcție și de demolare abandonate sau îngropate nu sunt eligibile pentru producția de agregat recuperat.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Deșeuri inerte provenite din activități de construcții și demolări </w:t>
            </w:r>
            <w:r>
              <w:rPr>
                <w:color w:val="auto"/>
              </w:rPr>
              <w:t xml:space="preserve">(capitolul 17 din lista europeană a deșeurilor)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Ciment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Cărămizi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Țigle și materiale ceramice </w:t>
            </w:r>
          </w:p>
          <w:p w14:paraId="26105786" w14:textId="0427E9EF" w:rsidR="00563958" w:rsidRDefault="00563958" w:rsidP="001F73B8">
            <w:pPr>
              <w:spacing w:after="0" w:line="259" w:lineRule="auto"/>
              <w:ind w:left="708" w:right="60" w:hanging="708"/>
              <w:rPr>
                <w:color w:val="auto"/>
              </w:rPr>
            </w:pPr>
            <w:r>
              <w:rPr>
                <w:color w:val="auto"/>
              </w:rPr>
              <w:t xml:space="preserve">170107 Amestecuri sau zgură de ciment, cărămizi, dale și ceramică, altele decât cele menționate la rubrica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Amestecuri bituminoase, altele decât cele specificate la poziția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Pământ și roci de excavare, altele decât cele specificate la poziția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Piatră concasată pentru balast feroviar, alta decât cea menționată la poziția 170507 </w:t>
            </w:r>
          </w:p>
          <w:p w14:paraId="1FC36289" w14:textId="77777777" w:rsidR="00563958" w:rsidRPr="001A66C5" w:rsidRDefault="00563958" w:rsidP="001F73B8">
            <w:pPr>
              <w:spacing w:after="0" w:line="259" w:lineRule="auto"/>
              <w:ind w:left="699" w:right="60" w:hanging="708"/>
              <w:rPr>
                <w:color w:val="auto"/>
              </w:rPr>
            </w:pPr>
            <w:r>
              <w:rPr>
                <w:color w:val="auto"/>
              </w:rPr>
              <w:t>170904 Deșeuri amestecate din construcții și demolări, altele decât cele menționate la pozițiile 170901, 170902 și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Alte deșeuri inerte de origine minerală (</w:t>
            </w:r>
            <w:r>
              <w:rPr>
                <w:color w:val="auto"/>
              </w:rPr>
              <w:t>care nu fac parte din capitolul 17 din lista europeană a deșeurilor)</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Pietriș și deșeuri de pietre concasate, altele decât cele menționate la rubrica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Deșeuri de nisip și argilă </w:t>
            </w:r>
          </w:p>
          <w:p w14:paraId="7A226E88" w14:textId="77777777" w:rsidR="000B2060" w:rsidRPr="001A66C5" w:rsidRDefault="009E72B8">
            <w:pPr>
              <w:spacing w:after="16" w:line="259" w:lineRule="auto"/>
              <w:ind w:left="0" w:firstLine="0"/>
              <w:jc w:val="left"/>
              <w:rPr>
                <w:color w:val="auto"/>
              </w:rPr>
            </w:pPr>
            <w:r>
              <w:rPr>
                <w:color w:val="auto"/>
              </w:rPr>
              <w:t xml:space="preserve">010410 Praf și reziduuri similare, altele decât cele specificate la rubrica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Deșeuri din cioplirea și tăierea cu fierăstrăul a pietrelor, altele decât cele specificate la rubrica 010407 </w:t>
            </w:r>
          </w:p>
          <w:p w14:paraId="4AE084E7" w14:textId="18C3375C" w:rsidR="000B2060" w:rsidRPr="001A66C5" w:rsidRDefault="009E72B8">
            <w:pPr>
              <w:spacing w:after="16" w:line="259" w:lineRule="auto"/>
              <w:ind w:left="0" w:firstLine="0"/>
              <w:jc w:val="left"/>
              <w:rPr>
                <w:color w:val="auto"/>
              </w:rPr>
            </w:pPr>
            <w:r>
              <w:rPr>
                <w:color w:val="auto"/>
              </w:rPr>
              <w:t xml:space="preserve">101201 Reziduuri de amestec preparat care nu au fost tratate termic </w:t>
            </w:r>
          </w:p>
          <w:p w14:paraId="7FE59863" w14:textId="77777777" w:rsidR="000B2060" w:rsidRDefault="009E72B8">
            <w:pPr>
              <w:spacing w:after="0" w:line="259" w:lineRule="auto"/>
              <w:ind w:left="708" w:right="60" w:hanging="708"/>
              <w:rPr>
                <w:color w:val="auto"/>
              </w:rPr>
            </w:pPr>
            <w:r>
              <w:rPr>
                <w:color w:val="auto"/>
              </w:rPr>
              <w:t xml:space="preserve">101206 Forme pentru resturi constând exclusiv din așchii și deșeuri provenite de la produse ceramice nearse sau lăcuite sau din așchii de teracotă coapte și argilă expandată, eventual acoperite cu glazură nearsă în concentrație &lt;10 % din greutate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Deșeuri ceramice, cărămizi, țigle și materiale de construcții (tratate termic)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Deșeuri rezultate din fabricarea materialelor compozite pe bază de ciment, altele decât cele specificate la rubricile 101309 și 101310 </w:t>
            </w:r>
          </w:p>
          <w:p w14:paraId="4442198A" w14:textId="43BD1BC2" w:rsidR="00D55B0D" w:rsidRDefault="00563958" w:rsidP="00563958">
            <w:pPr>
              <w:spacing w:after="0" w:line="259" w:lineRule="auto"/>
              <w:ind w:left="708" w:right="60" w:hanging="708"/>
              <w:rPr>
                <w:color w:val="auto"/>
              </w:rPr>
            </w:pPr>
            <w:r>
              <w:rPr>
                <w:color w:val="auto"/>
              </w:rPr>
              <w:t xml:space="preserve">120117 Reziduuri de materiale de sablare, altele decât cele specificate la rubrica 120116, constituite exclusiv din deșeuri de nisip abraziv </w:t>
            </w:r>
          </w:p>
          <w:p w14:paraId="225763E4" w14:textId="46F1C5E7" w:rsidR="00563958" w:rsidRPr="001A66C5" w:rsidRDefault="00563958" w:rsidP="00563958">
            <w:pPr>
              <w:spacing w:after="0" w:line="259" w:lineRule="auto"/>
              <w:ind w:left="708" w:right="60" w:hanging="708"/>
              <w:rPr>
                <w:color w:val="auto"/>
              </w:rPr>
            </w:pPr>
            <w:r>
              <w:rPr>
                <w:color w:val="auto"/>
              </w:rPr>
              <w:t>191209 Minerale (de exemplu, nisip, roci)</w:t>
            </w:r>
          </w:p>
        </w:tc>
      </w:tr>
    </w:tbl>
    <w:p w14:paraId="2957BE6E" w14:textId="68A671EE" w:rsidR="000B2060" w:rsidRDefault="001A66C5" w:rsidP="001A66C5">
      <w:pPr>
        <w:spacing w:after="0" w:line="259" w:lineRule="auto"/>
        <w:ind w:left="0" w:firstLine="0"/>
        <w:jc w:val="center"/>
      </w:pPr>
      <w:r>
        <w:rPr>
          <w:sz w:val="18"/>
        </w:rPr>
        <w:lastRenderedPageBreak/>
        <w:t>Tabelul 1 – Deșeuri permise pentru producția de agregat recuperat</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Verificări privind deșeurile primite.  </w:t>
      </w:r>
    </w:p>
    <w:p w14:paraId="2EC2AED3" w14:textId="77777777" w:rsidR="00E126AE" w:rsidRPr="00E126AE" w:rsidRDefault="00E126AE" w:rsidP="00E126AE">
      <w:pPr>
        <w:spacing w:after="0" w:line="259" w:lineRule="auto"/>
        <w:ind w:left="0" w:firstLine="0"/>
        <w:rPr>
          <w:color w:val="auto"/>
          <w:sz w:val="22"/>
        </w:rPr>
      </w:pPr>
      <w:r>
        <w:rPr>
          <w:color w:val="auto"/>
        </w:rPr>
        <w:t>Deșeurile autorizate pentru producerea de agregat recuperat fac obiectul unei examinări a documentației care însoțește deșeurile intrate, al unei inspecții vizuale și al unor verificări suplimentare, dacă este necesar.</w:t>
      </w:r>
    </w:p>
    <w:p w14:paraId="7DB9A040" w14:textId="281FD861" w:rsidR="00E126AE" w:rsidRPr="00E126AE" w:rsidRDefault="00E126AE" w:rsidP="00E126AE">
      <w:pPr>
        <w:spacing w:after="0" w:line="259" w:lineRule="auto"/>
        <w:ind w:left="0" w:firstLine="0"/>
        <w:rPr>
          <w:color w:val="auto"/>
        </w:rPr>
      </w:pPr>
      <w:r>
        <w:rPr>
          <w:color w:val="auto"/>
        </w:rPr>
        <w:t>În acest scop, producătorul agregatului recuperat trebuie să dispună de un sistem de verificare a acceptării deșeurilor pentru a verifica dacă deșeurile corespund caracteristicilor stabilite în prezentul regulament.</w:t>
      </w:r>
    </w:p>
    <w:p w14:paraId="5545C204" w14:textId="44B7EC22" w:rsidR="00E126AE" w:rsidRPr="00E126AE" w:rsidRDefault="00E126AE" w:rsidP="00E126AE">
      <w:pPr>
        <w:spacing w:after="0" w:line="259" w:lineRule="auto"/>
        <w:ind w:left="0" w:firstLine="0"/>
        <w:rPr>
          <w:color w:val="auto"/>
        </w:rPr>
      </w:pPr>
      <w:r>
        <w:rPr>
          <w:color w:val="auto"/>
        </w:rPr>
        <w:t xml:space="preserve">Pentru întreprinderile înregistrate în conformitate cu Regulamentul (CE) nr. 1221/2009 al Parlamentului European și al Consiliului din 25 noiembrie 2009 și pentru întreprinderile care dețin certificarea de mediu UNI EN ISO 14001 emisă de o organizație acreditată în temeiul legislației în vigoare, sistemul respectiv este integrat în sistemul de management de mediu. </w:t>
      </w:r>
    </w:p>
    <w:p w14:paraId="7030FC93" w14:textId="77777777" w:rsidR="00E126AE" w:rsidRPr="00E126AE" w:rsidRDefault="00E126AE" w:rsidP="00E126AE">
      <w:pPr>
        <w:spacing w:after="0" w:line="259" w:lineRule="auto"/>
        <w:ind w:left="0" w:firstLine="0"/>
        <w:rPr>
          <w:color w:val="auto"/>
        </w:rPr>
      </w:pPr>
      <w:r>
        <w:rPr>
          <w:color w:val="auto"/>
        </w:rPr>
        <w:t>Sistemul asigură cel puțin respectarea următoarelor obligații și impune stabilirea unei proceduri pentru gestionarea, trasabilitatea și raportarea neconformităților detectate:</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examinarea documentației de însoțire a încărcării de deșeuri primite de către personal cu un nivel adecvat de formare;</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inspecția vizuală a încărcăturii de deșeuri primite;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acceptarea unor astfel de deșeuri numai în cazul în care examinarea documentației însoțitoare și inspecția vizuală se desfășoară cu succes sub controlul personalului, cu cursuri anuale de formare și perfecționare pentru sortarea deșeurilor, precum și în cazul în care se îndepărtează și se păstrează separat orice material străin;</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cântărirea și înregistrarea datelor privind încărcările de deșeuri primite;</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depozitarea separată a deșeurilor care nu respectă criteriile stabilite în prezentul regulament într-un domeniu specific;</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plasarea în rezervă a deșeurilor conforme, astfel cum se prevede în tabelul l din prezenta anexă, în zona dedicată exclusiv acestuia, care este structurată astfel încât să se prevină amestecarea, inclusiv amestecarea accidentală, cu alte tipuri de deșeuri care nu sunt permise;</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manipularea deșeurilor trimise la producerea de agregate recuperate de către personal cu cursuri anuale de formare și perfecționare pentru a preveni contaminarea deșeurilor cu alte deșeuri sau materiale străine;</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efectuarea de controale suplimentare, inclusiv controale analitice, pe bază de eșantion sau ori de câte ori analiza documentației și/sau inspecția vizuală indică această necesitate. </w:t>
      </w:r>
    </w:p>
    <w:p w14:paraId="0164859B" w14:textId="77777777" w:rsidR="000B2060" w:rsidRDefault="009E72B8">
      <w:pPr>
        <w:spacing w:after="18" w:line="259" w:lineRule="auto"/>
        <w:ind w:left="-5"/>
        <w:jc w:val="left"/>
      </w:pPr>
      <w:r>
        <w:rPr>
          <w:b/>
        </w:rPr>
        <w:t xml:space="preserve">(c) Procesul minim de fabricație și depozitare la producător </w:t>
      </w:r>
    </w:p>
    <w:p w14:paraId="0866423C" w14:textId="77777777" w:rsidR="000B2060" w:rsidRDefault="009E72B8">
      <w:pPr>
        <w:spacing w:after="35" w:line="267" w:lineRule="auto"/>
        <w:ind w:left="-5" w:right="49"/>
      </w:pPr>
      <w:r>
        <w:t xml:space="preserve">Procesul de tratare și valorificare a „deșeurilor inerte provenite din activități de construcții și demolări” și a „alte deșeuri inerte de origine minerală”, astfel cum sunt definite la articolul 2 literele (a) și (b), pentru producerea agregatului recuperat, se realizează prin etape mecanice și interconectate tehnologic, cum ar fi, doar cu titlu de exemplu: </w:t>
      </w:r>
    </w:p>
    <w:p w14:paraId="5607B0BE" w14:textId="77777777" w:rsidR="000B2060" w:rsidRDefault="009E72B8">
      <w:pPr>
        <w:numPr>
          <w:ilvl w:val="0"/>
          <w:numId w:val="6"/>
        </w:numPr>
        <w:spacing w:after="44"/>
        <w:ind w:right="51" w:hanging="708"/>
      </w:pPr>
      <w:r>
        <w:t xml:space="preserve">măcinare,  </w:t>
      </w:r>
    </w:p>
    <w:p w14:paraId="0014502B" w14:textId="77777777" w:rsidR="000B2060" w:rsidRDefault="009E72B8">
      <w:pPr>
        <w:numPr>
          <w:ilvl w:val="0"/>
          <w:numId w:val="6"/>
        </w:numPr>
        <w:spacing w:after="46"/>
        <w:ind w:right="51" w:hanging="708"/>
      </w:pPr>
      <w:r>
        <w:t xml:space="preserve">cernere,  </w:t>
      </w:r>
    </w:p>
    <w:p w14:paraId="2654230A" w14:textId="77777777" w:rsidR="000B2060" w:rsidRDefault="009E72B8">
      <w:pPr>
        <w:numPr>
          <w:ilvl w:val="0"/>
          <w:numId w:val="6"/>
        </w:numPr>
        <w:spacing w:after="44"/>
        <w:ind w:right="51" w:hanging="708"/>
      </w:pPr>
      <w:r>
        <w:t xml:space="preserve">selecție granulometrică, </w:t>
      </w:r>
    </w:p>
    <w:p w14:paraId="04D110ED" w14:textId="77777777" w:rsidR="000B2060" w:rsidRDefault="009E72B8">
      <w:pPr>
        <w:numPr>
          <w:ilvl w:val="0"/>
          <w:numId w:val="6"/>
        </w:numPr>
        <w:ind w:right="51" w:hanging="708"/>
      </w:pPr>
      <w:r>
        <w:t xml:space="preserve">separarea fracției metalice și a fracțiilor nedorite.  </w:t>
      </w:r>
    </w:p>
    <w:p w14:paraId="6383107D" w14:textId="77777777" w:rsidR="000B2060" w:rsidRDefault="009E72B8">
      <w:pPr>
        <w:ind w:left="-5" w:right="51"/>
      </w:pPr>
      <w:r>
        <w:t xml:space="preserve">Procesul de recuperare, în funcție de tipul de material, se realizează prin finalizarea tuturor sau numai a unora dintre etapele menționate sau a altor procese mecanice care permit respectarea criteriilor stabilite în prezentul decret. </w:t>
      </w:r>
    </w:p>
    <w:p w14:paraId="0F8FFEA4" w14:textId="6463D22A" w:rsidR="00FC1B37" w:rsidRDefault="00FC1B37" w:rsidP="00FC1B37">
      <w:pPr>
        <w:spacing w:after="19" w:line="259" w:lineRule="auto"/>
        <w:ind w:left="0" w:firstLine="0"/>
      </w:pPr>
      <w:r>
        <w:lastRenderedPageBreak/>
        <w:t>În timpul etapei de verificare a conformității pentru agregatul recuperat, depozitarea și manipularea la producător sunt organizate astfel încât loturile de producție individuale să nu fie amestecate.</w:t>
      </w:r>
    </w:p>
    <w:p w14:paraId="57AFE5D5" w14:textId="2228A33C" w:rsidR="000B2060" w:rsidRDefault="00FC1B37" w:rsidP="00FC1B37">
      <w:pPr>
        <w:spacing w:after="19" w:line="259" w:lineRule="auto"/>
        <w:ind w:left="0" w:firstLine="0"/>
      </w:pPr>
      <w:r>
        <w:t xml:space="preserve">În așteptarea transportului la locul unde va fi utilizat, agregatul recuperat este depozitat și manipulat în instalația în care a fost produs și în zonele de depozitare utilizate în acest scop. Acest lucru nu aduce atingere tuturor dispozițiilor în vigoare privind siguranța și prevenirea la locul de muncă și dispozițiilor specifice privind autorizarea.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Cerințele de calitate ale agregatului recuperat </w:t>
      </w:r>
    </w:p>
    <w:p w14:paraId="5AC1392F" w14:textId="77777777" w:rsidR="000B2060" w:rsidRDefault="009E72B8">
      <w:pPr>
        <w:tabs>
          <w:tab w:val="center" w:pos="2519"/>
        </w:tabs>
        <w:spacing w:after="23" w:line="259" w:lineRule="auto"/>
        <w:ind w:left="-15" w:firstLine="0"/>
        <w:jc w:val="left"/>
      </w:pPr>
      <w:r>
        <w:rPr>
          <w:b/>
        </w:rPr>
        <w:t xml:space="preserve">(d.1) Verificări ale agregatului recuperat  </w:t>
      </w:r>
    </w:p>
    <w:p w14:paraId="121A2F5D" w14:textId="4189B06B" w:rsidR="008817D3" w:rsidRDefault="008817D3" w:rsidP="008817D3">
      <w:pPr>
        <w:ind w:left="-5" w:right="51"/>
        <w:rPr>
          <w:color w:val="auto"/>
        </w:rPr>
      </w:pPr>
      <w:r>
        <w:rPr>
          <w:color w:val="auto"/>
        </w:rPr>
        <w:t xml:space="preserve">Pentru fiecare lot de producție de agregat recuperat, se asigură conformitatea cu parametrii stabiliți în tabelul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Unitatea de măsură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Concentrații-limită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exprimat ca substanță uscată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(HIDROCARBURI</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AROMATICE)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exprimat ca substanță uscată</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Stiren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Xilen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Aditivi aromatici organici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(HIDROCARBURI AROMATICE POLICICLICE)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lastRenderedPageBreak/>
              <w:t xml:space="preserve">Crisen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Dibenzo(a,e)piren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Dibenzo(a,h)piren </w:t>
            </w:r>
          </w:p>
        </w:tc>
        <w:tc>
          <w:tcPr>
            <w:tcW w:w="2379" w:type="dxa"/>
            <w:vAlign w:val="center"/>
          </w:tcPr>
          <w:p w14:paraId="41624DC3" w14:textId="32160A98" w:rsidR="000A5B7E" w:rsidRPr="00FD253E" w:rsidRDefault="0077381B"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Dibenzo(a,h)antracen</w:t>
            </w:r>
          </w:p>
        </w:tc>
        <w:tc>
          <w:tcPr>
            <w:tcW w:w="2379" w:type="dxa"/>
            <w:vAlign w:val="center"/>
          </w:tcPr>
          <w:p w14:paraId="42798929" w14:textId="5977BEC8" w:rsidR="00453851" w:rsidRPr="00FD253E" w:rsidRDefault="0077381B"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Indenopiren</w:t>
            </w:r>
          </w:p>
        </w:tc>
        <w:tc>
          <w:tcPr>
            <w:tcW w:w="2379" w:type="dxa"/>
            <w:vAlign w:val="center"/>
          </w:tcPr>
          <w:p w14:paraId="0361AC22" w14:textId="389FB566" w:rsidR="00453851" w:rsidRPr="00FD253E" w:rsidRDefault="0077381B"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w:t>
            </w:r>
          </w:p>
        </w:tc>
        <w:tc>
          <w:tcPr>
            <w:tcW w:w="2379" w:type="dxa"/>
            <w:vAlign w:val="center"/>
          </w:tcPr>
          <w:p w14:paraId="6AB60582" w14:textId="7491CEFA" w:rsidR="00453851" w:rsidRPr="00FD253E" w:rsidRDefault="0077381B"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Aditivi aromatici policiclici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exprimat ca substanță uscată</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exprimat ca substanță uscată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exprimat ca substanță uscată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exprimat ca substanță uscată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exprimat ca substanță uscată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Materiale plutitoare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Fracții străine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din greutate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Tabelul 2 – Parametrii care trebuie căutați și valorile limită</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Corespunzând limitei de detecție a tehnicii analitice (microscopie și/sau echivalentă în termeni de detecție). În orice caz, se utilizează metodologia recunoscută oficial pentru întregul teritoriu național, care permite detectarea unor valori ale concentrației mai mici.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În cazul în care nu sunt definite de standardele tehnice aplicabile</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Testul de eliberare pe agregatul recuperat.  </w:t>
      </w:r>
    </w:p>
    <w:p w14:paraId="05765F60" w14:textId="50B4051B" w:rsidR="000B2060" w:rsidRPr="00751073" w:rsidRDefault="009E72B8" w:rsidP="005F0151">
      <w:pPr>
        <w:ind w:left="-5" w:right="51"/>
        <w:rPr>
          <w:color w:val="auto"/>
        </w:rPr>
      </w:pPr>
      <w:r>
        <w:rPr>
          <w:color w:val="auto"/>
        </w:rPr>
        <w:t>Fiecare lot de agregat recuperat produs, cu excepția celor destinate ambalării betonului menționat în UNI EN 12620 cu clasa de rezistență Rck/leq ≥ 15 MPa, trebuie supus testului de eliberare pentru a evalua conformitatea cu concentrațiile limită ale parametrilor identificați în tabelul 3</w:t>
      </w:r>
      <w:r>
        <w:rPr>
          <w:b/>
          <w:color w:val="auto"/>
        </w:rPr>
        <w:t xml:space="preserve">. </w:t>
      </w:r>
      <w:r>
        <w:rPr>
          <w:color w:val="auto"/>
        </w:rPr>
        <w:t xml:space="preserve"> </w:t>
      </w:r>
    </w:p>
    <w:p w14:paraId="2935AABC" w14:textId="77777777" w:rsidR="000B2060" w:rsidRDefault="009E72B8">
      <w:pPr>
        <w:ind w:left="-5" w:right="51"/>
      </w:pPr>
      <w:r>
        <w:lastRenderedPageBreak/>
        <w:t xml:space="preserve">Pentru determinarea încercării de eliberare se aplică apendicele A la standardul UNI 10802 și metoda prevăzută de standardul UNI EN 12457-2.  </w:t>
      </w:r>
    </w:p>
    <w:p w14:paraId="0AE3C55E" w14:textId="77777777" w:rsidR="000B2060" w:rsidRDefault="009E72B8">
      <w:pPr>
        <w:ind w:left="-5" w:right="51"/>
      </w:pPr>
      <w:r>
        <w:t xml:space="preserve">Numai în cazurile în care eșantionul care urmează să fie analizat are o dimensiune foarte fină a granulelor, se utilizează un ultracentrifugiu (20000 G) timp de cel puțin 10 minute, fără a se trece la etapa naturală de sedimentare.  </w:t>
      </w:r>
    </w:p>
    <w:p w14:paraId="5F175D2C" w14:textId="77777777" w:rsidR="000B2060" w:rsidRDefault="009E72B8">
      <w:pPr>
        <w:ind w:left="-5" w:right="51"/>
      </w:pPr>
      <w:r>
        <w:t xml:space="preserve">Numai după această etapă se poate efectua etapa de filtrare ulterioară în conformitate cu punctul 5.2.2 din etapa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Parametri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Unitatea de măsură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Concentrații-limită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Fluorură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Cianuri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Cupru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Zinc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Beriliu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Cobalt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Nichel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Arsenic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Cadmiu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Crom total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Plumb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Seleniu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Mercur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micrograme/l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Sulfați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Cloruri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Tabelul 3 – Analiții care trebuie cercetați și valorile-limită.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Standarde tehnice de referință pentru certificarea CE a agregatului recuperat. </w:t>
      </w:r>
    </w:p>
    <w:p w14:paraId="25900C48" w14:textId="2534B946" w:rsidR="000B2060" w:rsidRDefault="009E72B8">
      <w:pPr>
        <w:spacing w:after="12" w:line="267" w:lineRule="auto"/>
        <w:ind w:left="-5" w:right="49"/>
      </w:pPr>
      <w:r>
        <w:t xml:space="preserve">Tabelul 4 prezintă standardele tehnice de referință pentru atribuirea marcajului CE agregatului recuperat.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lastRenderedPageBreak/>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Titlul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Agregate pentru materiale nealiate și aliaje cu lianți hidraulici utilizați în construcții civile și rutiere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Agregate pentru beton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Agregate pentru mortar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Agregate pentru amestecuri bituminoase și tratamente de suprafață pentru drumuri, aerodromuri și alte zone traficate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Agregate ușoare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Agregate pentru balast feroviar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Agregate pentru lucrări de protecție (blocuri de piatră pentru protecție) – Specificații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Tabelul 4 – Standarde tehnice pentru certificarea CE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Anexa 2 (articolul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Agregatele recuperate se utilizează, în conformitate cu standardele tehnice de utilizare stabilite în tabelul 5, pentru: </w:t>
      </w:r>
    </w:p>
    <w:p w14:paraId="3C7300BE" w14:textId="77777777" w:rsidR="00D55B0D" w:rsidRDefault="00D55B0D" w:rsidP="00D55B0D">
      <w:pPr>
        <w:numPr>
          <w:ilvl w:val="0"/>
          <w:numId w:val="8"/>
        </w:numPr>
        <w:ind w:right="51" w:hanging="282"/>
      </w:pPr>
      <w:r>
        <w:t>construcția corpului de diguri în lucrările de construcții civile;</w:t>
      </w:r>
    </w:p>
    <w:p w14:paraId="22F0545D" w14:textId="77777777" w:rsidR="00D55B0D" w:rsidRDefault="00D55B0D" w:rsidP="00D55B0D">
      <w:pPr>
        <w:numPr>
          <w:ilvl w:val="0"/>
          <w:numId w:val="8"/>
        </w:numPr>
        <w:ind w:right="51" w:hanging="282"/>
      </w:pPr>
      <w:r>
        <w:t>construcția de subbaze rutiere, feroviare, aeroportuare și civile și industriale;</w:t>
      </w:r>
    </w:p>
    <w:p w14:paraId="78E1375E" w14:textId="77777777" w:rsidR="00D55B0D" w:rsidRDefault="00D55B0D" w:rsidP="00D55B0D">
      <w:pPr>
        <w:numPr>
          <w:ilvl w:val="0"/>
          <w:numId w:val="8"/>
        </w:numPr>
        <w:ind w:right="51" w:hanging="282"/>
      </w:pPr>
      <w:r>
        <w:t>construirea de baze pentru infrastructura de transport și instanțe civile și industriale;</w:t>
      </w:r>
    </w:p>
    <w:p w14:paraId="73160B34" w14:textId="77777777" w:rsidR="00D55B0D" w:rsidRDefault="00D55B0D" w:rsidP="00D55B0D">
      <w:pPr>
        <w:numPr>
          <w:ilvl w:val="0"/>
          <w:numId w:val="8"/>
        </w:numPr>
        <w:ind w:right="51" w:hanging="282"/>
      </w:pPr>
      <w:r>
        <w:t>realizarea recuperărilor de mediu, umplerea și corelarea;</w:t>
      </w:r>
    </w:p>
    <w:p w14:paraId="2FB8C60C" w14:textId="77777777" w:rsidR="00D55B0D" w:rsidRDefault="00D55B0D" w:rsidP="00D55B0D">
      <w:pPr>
        <w:numPr>
          <w:ilvl w:val="0"/>
          <w:numId w:val="8"/>
        </w:numPr>
        <w:ind w:right="51" w:hanging="282"/>
      </w:pPr>
      <w:r>
        <w:t>crearea de straturi auxiliare cu funcții de rupere capilară, antigel, drenare etc.;</w:t>
      </w:r>
    </w:p>
    <w:p w14:paraId="5E929373" w14:textId="77777777" w:rsidR="00D55B0D" w:rsidRDefault="00D55B0D" w:rsidP="00D55B0D">
      <w:pPr>
        <w:numPr>
          <w:ilvl w:val="0"/>
          <w:numId w:val="8"/>
        </w:numPr>
        <w:ind w:right="51" w:hanging="282"/>
      </w:pPr>
      <w:r>
        <w:t>ambalarea betonului și a amestecurilor aliate cu lianți hidraulici (amestecuri de ciment, amestecuri de beton etc.).</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487"/>
        <w:gridCol w:w="2894"/>
        <w:gridCol w:w="3230"/>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Utilizare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Respectarea standardelor/performanței europene armonizate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Capacități tehnice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Umpluturi, rambleuri, restaurări morfologice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Graficul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Corpul digului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Graficul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Amestecuri nealiate, strat de rupere capilară, fundație, bază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Graficul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Producerea amestecurilor aliate cu lianți hidraulici (amestecuri de ciment, amestecuri de beton etc.)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Producția de beton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Anexa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Anexa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Anexa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ANEXA E </w:t>
            </w:r>
          </w:p>
          <w:p w14:paraId="1A14DB3D" w14:textId="77777777" w:rsidR="000B2060" w:rsidRDefault="009E72B8">
            <w:pPr>
              <w:spacing w:after="14" w:line="259" w:lineRule="auto"/>
              <w:ind w:left="0" w:right="221" w:firstLine="0"/>
              <w:jc w:val="center"/>
            </w:pPr>
            <w:r>
              <w:rPr>
                <w:sz w:val="22"/>
              </w:rPr>
              <w:t xml:space="preserve">Decretul ministerial din 17 ianuarie 2018 </w:t>
            </w:r>
          </w:p>
          <w:p w14:paraId="2D2B7699" w14:textId="77777777" w:rsidR="000B2060" w:rsidRDefault="009E72B8">
            <w:pPr>
              <w:spacing w:after="0" w:line="259" w:lineRule="auto"/>
              <w:ind w:left="0" w:right="223" w:firstLine="0"/>
              <w:jc w:val="center"/>
            </w:pPr>
            <w:r>
              <w:rPr>
                <w:sz w:val="22"/>
              </w:rPr>
              <w:t xml:space="preserve">NTC: Tabelul 11.2.III: </w:t>
            </w:r>
          </w:p>
        </w:tc>
      </w:tr>
    </w:tbl>
    <w:p w14:paraId="1B0D5020" w14:textId="134EABAA" w:rsidR="000B2060" w:rsidRDefault="009E72B8">
      <w:pPr>
        <w:spacing w:after="24" w:line="253" w:lineRule="auto"/>
        <w:ind w:left="4820" w:right="2444" w:hanging="2393"/>
        <w:jc w:val="left"/>
      </w:pPr>
      <w:r>
        <w:rPr>
          <w:sz w:val="18"/>
        </w:rPr>
        <w:t xml:space="preserve">Tabelul 5 – Standarde tehnice de utilizare pentru agregat recuperat </w:t>
      </w:r>
      <w:r>
        <w:t xml:space="preserve"> </w:t>
      </w:r>
    </w:p>
    <w:p w14:paraId="14D42672" w14:textId="77777777" w:rsidR="00D17D7F" w:rsidRDefault="00D17D7F" w:rsidP="00D17D7F">
      <w:pPr>
        <w:ind w:left="-5" w:right="51"/>
      </w:pPr>
    </w:p>
    <w:p w14:paraId="68C7A01B" w14:textId="59F91DD9" w:rsidR="000B2060" w:rsidRDefault="009E72B8">
      <w:pPr>
        <w:ind w:left="-5" w:right="51"/>
      </w:pPr>
      <w:r>
        <w:t>Pentru toate utilizările, cu excepția celor menționate la litera (</w:t>
      </w:r>
      <w:r w:rsidR="007816B1">
        <w:t>d</w:t>
      </w:r>
      <w:r>
        <w:t xml:space="preserve">), este necesară aplicarea marcajului CE, astfel cum se prevede în Regulamentul (UE) nr. 305/2011 al Parlamentului European și al Consiliului din 9 martie 2011.  </w:t>
      </w:r>
    </w:p>
    <w:p w14:paraId="24B2FD2B" w14:textId="3BDE4F41" w:rsidR="001E2424" w:rsidRDefault="00B90036" w:rsidP="00B90036">
      <w:pPr>
        <w:ind w:left="-5" w:right="51"/>
        <w:rPr>
          <w:color w:val="auto"/>
        </w:rPr>
      </w:pPr>
      <w:r>
        <w:rPr>
          <w:color w:val="auto"/>
        </w:rPr>
        <w:t xml:space="preserve">Utilizările solului nu constituie o sursă potențială de contaminare a solului, subsolului și apelor subterane. </w:t>
      </w:r>
    </w:p>
    <w:p w14:paraId="5A934368" w14:textId="1DEDE070" w:rsidR="00605A70" w:rsidRDefault="00605A70" w:rsidP="00605A70">
      <w:pPr>
        <w:ind w:left="-5" w:right="51"/>
        <w:rPr>
          <w:color w:val="auto"/>
        </w:rPr>
      </w:pPr>
      <w:r>
        <w:rPr>
          <w:color w:val="auto"/>
        </w:rPr>
        <w:t>Pentru utilizările menționate la punctul 1 litera (f), trebuie respectate limitele stabilite la rubrica 47 din anexa XVII la Regulamentul (CE) nr. 1907/2006 pentru prezența Cr VI în ciment și în amestecurile care conțin ciment.</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Anexa 3 Declarația de conformitate (articolul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DECLARAȚIA DE CONFORMITATE (DoC)</w:t>
      </w:r>
      <w:r>
        <w:rPr>
          <w:b/>
        </w:rPr>
        <w:t xml:space="preserve">  </w:t>
      </w:r>
    </w:p>
    <w:p w14:paraId="3B572F20" w14:textId="77777777" w:rsidR="000B2060" w:rsidRPr="00CA20B5" w:rsidRDefault="009E72B8">
      <w:pPr>
        <w:spacing w:after="18" w:line="259" w:lineRule="auto"/>
        <w:ind w:left="10" w:right="69"/>
        <w:jc w:val="center"/>
        <w:rPr>
          <w:color w:val="auto"/>
        </w:rPr>
      </w:pPr>
      <w:r>
        <w:t>DECLARAȚIE CARE ÎNLOCUIEȘTE ACTUL NOTARIAL</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ÎN TEMEIUL ȘI ÎN CONFORMARE CU ARTICOLUL 5 din </w:t>
      </w:r>
      <w:r>
        <w:t>DECRETUL MINISTERULUI TRANZIȚIEI ECOLOGICE, NR. [•] DIN [•] [•] [•] [202•] PUBLICAT ÎN [•]</w:t>
      </w:r>
    </w:p>
    <w:p w14:paraId="7CF40EA8" w14:textId="77777777" w:rsidR="000B2060" w:rsidRDefault="009E72B8">
      <w:pPr>
        <w:spacing w:after="17" w:line="259" w:lineRule="auto"/>
        <w:ind w:left="10" w:right="62"/>
        <w:jc w:val="center"/>
      </w:pPr>
      <w:r>
        <w:t xml:space="preserve">(Articolele 47 și 38 din Decretul prezidențial nr. 445 din 28 decembrie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Numărul declarației </w:t>
            </w:r>
          </w:p>
          <w:p w14:paraId="50F66536" w14:textId="77777777" w:rsidR="000B2060" w:rsidRDefault="009E72B8">
            <w:pPr>
              <w:spacing w:after="0" w:line="259" w:lineRule="auto"/>
              <w:ind w:left="0" w:firstLine="0"/>
              <w:jc w:val="left"/>
            </w:pPr>
            <w:r>
              <w:t xml:space="preserve">(Nr. lotului)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Anul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(aaaa)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(NOTĂ: se înregistrează numărul declarației în mod progresiv)</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Detaliile producătorului de agregat recuperat în temeiul articolului 2 alineatul (1) litera (f) din Decretul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Denumirea companiei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Codul fiscal/TVA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Înregistrarea în Registrul Comerțului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Numărul domiciliului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Codul poștal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Orașul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Unitate de producție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Numărul domiciliului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Codul poștal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Orașul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Organismul de autorizare/emitere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Emis la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Producătorul indicat mai sus declară că </w:t>
      </w:r>
    </w:p>
    <w:p w14:paraId="5A7DFBB1" w14:textId="4188EACE" w:rsidR="000B2060" w:rsidRDefault="009E72B8">
      <w:pPr>
        <w:numPr>
          <w:ilvl w:val="0"/>
          <w:numId w:val="9"/>
        </w:numPr>
        <w:spacing w:after="0" w:line="259" w:lineRule="auto"/>
        <w:ind w:right="51" w:hanging="360"/>
      </w:pPr>
      <w:r>
        <w:t xml:space="preserve">lotul de agregat recuperat este reprezentat de următoarea cantitate în cantitate în </w:t>
      </w:r>
      <w:r>
        <w:rPr>
          <w:color w:val="auto"/>
        </w:rPr>
        <w:t>volum</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NOTĂ: </w:t>
      </w:r>
      <w:r>
        <w:rPr>
          <w:i/>
          <w:color w:val="auto"/>
        </w:rPr>
        <w:t>a se indica metri cubi în cifre și litere</w:t>
      </w:r>
      <w:r>
        <w:rPr>
          <w:color w:val="auto"/>
        </w:rPr>
        <w:t xml:space="preserve">) </w:t>
      </w:r>
    </w:p>
    <w:p w14:paraId="381D82F8" w14:textId="12A3AC51" w:rsidR="000B2060" w:rsidRDefault="009E72B8">
      <w:pPr>
        <w:numPr>
          <w:ilvl w:val="0"/>
          <w:numId w:val="9"/>
        </w:numPr>
        <w:spacing w:after="33" w:line="267" w:lineRule="auto"/>
        <w:ind w:right="51" w:hanging="360"/>
      </w:pPr>
      <w:r>
        <w:t xml:space="preserve">lotul menționat anterior de agregat recuperat îndeplinește criteriile prevăzute la articolul 3 din Decretul nr. [•] al ministrului tranziției ecologice din [•] [•] [202•] publicat în [•]; </w:t>
      </w:r>
    </w:p>
    <w:p w14:paraId="5F363D2F" w14:textId="77777777" w:rsidR="000B2060" w:rsidRDefault="009E72B8">
      <w:pPr>
        <w:numPr>
          <w:ilvl w:val="0"/>
          <w:numId w:val="9"/>
        </w:numPr>
        <w:ind w:right="51" w:hanging="360"/>
      </w:pPr>
      <w:r>
        <w:t xml:space="preserve">lotul de agregat recuperat de mai sus prezintă caracteristici mai detaliate în tabelul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lastRenderedPageBreak/>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Tabelul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Caracteristicile agregatului recuperat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Standarde tehnice de referință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Scopuri specifice (anexa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Agregate pentru materiale nealiate și aliaje cu lianți hidraulici utilizați în construcții civile și rutiere;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Amestecuri aliate cu lianți hidraulici – Specificații – Partea 1: Amestecuri granulare legate cu ciment pentru baze rutiere și subbaze;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Agregate pentru beton;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Agregate per mortar;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Agregate pentru amestecuri bituminoase și tratamente de suprafață pentru drumuri, aerodromuri și alte zone traficate;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Agregate ușoare;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Agregate pentru balast feroviar;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Agregate pentru lucrări de protecție (blocuri de piatră pentru protecție) – Specificații.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În cele din urmă, producătorul declară că: </w:t>
      </w:r>
    </w:p>
    <w:p w14:paraId="0F0B2894" w14:textId="77777777" w:rsidR="000B2060" w:rsidRDefault="009E72B8">
      <w:pPr>
        <w:numPr>
          <w:ilvl w:val="0"/>
          <w:numId w:val="9"/>
        </w:numPr>
        <w:ind w:right="51" w:hanging="360"/>
      </w:pPr>
      <w:r>
        <w:t xml:space="preserve">a luat cunoștință de sancțiunile penale pentru furnizarea de declarații false sau inexacte în documentele oficiale și de pierderea, în consecință, a beneficiilor în temeiul articolelor 75 și 76 din </w:t>
      </w:r>
    </w:p>
    <w:p w14:paraId="3A205EC1" w14:textId="77777777" w:rsidR="000B2060" w:rsidRDefault="009E72B8">
      <w:pPr>
        <w:spacing w:after="36"/>
        <w:ind w:left="798" w:right="51"/>
      </w:pPr>
      <w:r>
        <w:t xml:space="preserve">DECRETUL PREZIDENȚIAL NR. 445/2000; </w:t>
      </w:r>
    </w:p>
    <w:p w14:paraId="06DFD34E" w14:textId="77777777" w:rsidR="000B2060" w:rsidRDefault="009E72B8">
      <w:pPr>
        <w:numPr>
          <w:ilvl w:val="0"/>
          <w:numId w:val="9"/>
        </w:numPr>
        <w:ind w:right="51" w:hanging="360"/>
      </w:pPr>
      <w:r>
        <w:t xml:space="preserve">acesta a fost informat că toate datele cu caracter personal colectate sunt prelucrate electronic exclusiv pentru procedura pentru care este depusă declarația [articolul 13 din Regulamentul (UE) nr.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la ______________________ </w:t>
            </w:r>
          </w:p>
          <w:p w14:paraId="28DE5481" w14:textId="77777777" w:rsidR="000B2060" w:rsidRDefault="009E72B8">
            <w:pPr>
              <w:spacing w:after="16" w:line="259" w:lineRule="auto"/>
              <w:ind w:left="926" w:firstLine="0"/>
              <w:jc w:val="left"/>
            </w:pPr>
            <w:r>
              <w:rPr>
                <w:i/>
              </w:rPr>
              <w:t>(NOTĂ: a se indica locul și data)</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NOTĂ: (Semnătura și ștampila producătorului)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(scutită de taxa de timbru în temeiul articolului 37 din Decretul prezidențial nr.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Anexe: copie fotostat a documentului de identitate și a raportului de analiză al abonatului.</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7381B"/>
    <w:rsid w:val="007816B1"/>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4111</Words>
  <Characters>23438</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2022-03-31T14:01:00Z</dcterms:modified>
</cp:coreProperties>
</file>