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CD0E" w14:textId="77777777" w:rsidR="002A6A4D" w:rsidRPr="00BB401D" w:rsidRDefault="002A6A4D" w:rsidP="002A6A4D">
      <w:pPr>
        <w:pStyle w:val="02BDGesBlatt"/>
        <w:rPr>
          <w:sz w:val="64"/>
          <w:szCs w:val="64"/>
        </w:rPr>
      </w:pPr>
      <w:r>
        <w:rPr>
          <w:sz w:val="64"/>
        </w:rPr>
        <w:t>JOURNAL OFFICIEL FÉDÉRAL</w:t>
      </w:r>
    </w:p>
    <w:p w14:paraId="05FC4E8F" w14:textId="77777777" w:rsidR="002A6A4D" w:rsidRPr="00016BD1" w:rsidRDefault="002A6A4D" w:rsidP="002A6A4D">
      <w:pPr>
        <w:pStyle w:val="03RepOesterr"/>
      </w:pPr>
      <w:r>
        <w:t>DE LA RÉPUBLIQUE D’AUTRICHE</w:t>
      </w:r>
    </w:p>
    <w:p w14:paraId="3B5E6777" w14:textId="77777777" w:rsidR="002A6A4D" w:rsidRPr="00016BD1" w:rsidRDefault="002A6A4D" w:rsidP="002A6A4D">
      <w:pPr>
        <w:pStyle w:val="04AusgabeDaten"/>
      </w:pPr>
      <w:r>
        <w:t>Année 2021</w:t>
      </w:r>
      <w:r>
        <w:tab/>
        <w:t>Publié le 29 décembre 2021</w:t>
      </w:r>
      <w:r>
        <w:tab/>
        <w:t>Partie II</w:t>
      </w:r>
    </w:p>
    <w:p w14:paraId="2FB41DD1" w14:textId="77777777" w:rsidR="002A6A4D" w:rsidRDefault="002A6A4D" w:rsidP="002A6A4D">
      <w:pPr>
        <w:pStyle w:val="05Kurztitel"/>
      </w:pPr>
      <w:r>
        <w:t>597e ordonnance:</w:t>
      </w:r>
      <w:r>
        <w:tab/>
        <w:t>Nouvelle ordonnance de 2021 relative aux emballages</w:t>
      </w:r>
    </w:p>
    <w:p w14:paraId="2BE8AFBF" w14:textId="77777777" w:rsidR="00667CEA" w:rsidRPr="00016BD1" w:rsidRDefault="00667CEA" w:rsidP="002A6A4D">
      <w:pPr>
        <w:pStyle w:val="05Kurztitel"/>
      </w:pPr>
      <w:r>
        <w:tab/>
        <w:t>[CELEX n°: 32018L0851, 32018L0852, 32019L0904]</w:t>
      </w:r>
    </w:p>
    <w:p w14:paraId="18AAFD8B" w14:textId="77777777" w:rsidR="00FB46F1" w:rsidRPr="00016BD1" w:rsidRDefault="002A6A4D" w:rsidP="00F225D7">
      <w:pPr>
        <w:pStyle w:val="11Titel"/>
      </w:pPr>
      <w:r>
        <w:t>597e ordonnance du Ministre fédéral de l’action climatique, de l’environnement, de l’énergie, de la mobilité, de l’innovation et de la technologie modifiant l’ordonnance de 2014 sur les emballages (</w:t>
      </w:r>
      <w:proofErr w:type="spellStart"/>
      <w:r>
        <w:t>Verpackungsverordnungs</w:t>
      </w:r>
      <w:proofErr w:type="spellEnd"/>
      <w:r>
        <w:t>-Novelle, 2021)</w:t>
      </w:r>
    </w:p>
    <w:p w14:paraId="72CD7816" w14:textId="77777777" w:rsidR="00FB46F1" w:rsidRPr="00016BD1" w:rsidRDefault="00FB46F1" w:rsidP="00F225D7">
      <w:pPr>
        <w:pStyle w:val="12PromKlEinlSatz"/>
      </w:pPr>
      <w:r>
        <w:t>En vertu de l’article 12b, paragraphes 1 et 6, l’article 13, l’article 13a, l’article 13b, l’article 14, l’article 19, l’article 23, paragraphes 1 et 3, l’article 28a et l’article 36 de la Loi de 2002 relative à la gestion des déchets (AWG 2002), Journal officiel fédéral (</w:t>
      </w:r>
      <w:proofErr w:type="spellStart"/>
      <w:r>
        <w:t>BGBl</w:t>
      </w:r>
      <w:proofErr w:type="spellEnd"/>
      <w:r>
        <w:t xml:space="preserve">.) I n° 102/2002, modifiée en dernier lieu par la loi fédérale promulguée dans </w:t>
      </w:r>
      <w:proofErr w:type="spellStart"/>
      <w:r>
        <w:t>BGBl</w:t>
      </w:r>
      <w:proofErr w:type="spellEnd"/>
      <w:r>
        <w:t>. I n° 200/2021, ce qui suit est décrété en accord avec le ministre fédéral des affaires économiques et numériques :</w:t>
      </w:r>
    </w:p>
    <w:p w14:paraId="4F84E5D8" w14:textId="77777777" w:rsidR="00FB46F1" w:rsidRPr="00016BD1" w:rsidRDefault="00FB46F1" w:rsidP="00F225D7">
      <w:pPr>
        <w:pStyle w:val="12PromKlEinlSatz"/>
      </w:pPr>
      <w:r>
        <w:t xml:space="preserve">L’Ordonnance de 2014 relative aux emballages, </w:t>
      </w:r>
      <w:proofErr w:type="spellStart"/>
      <w:r>
        <w:t>BGBl</w:t>
      </w:r>
      <w:proofErr w:type="spellEnd"/>
      <w:r>
        <w:t>. II n° 184/2014, est modifiée comme suit :</w:t>
      </w:r>
    </w:p>
    <w:p w14:paraId="38726111" w14:textId="77777777" w:rsidR="00FB46F1" w:rsidRPr="00016BD1" w:rsidRDefault="006C5635" w:rsidP="00A9409F">
      <w:pPr>
        <w:pStyle w:val="21NovAo1"/>
      </w:pPr>
      <w:r>
        <w:t xml:space="preserve">1. À l’article 1, le mot </w:t>
      </w:r>
      <w:r>
        <w:rPr>
          <w:i w:val="0"/>
        </w:rPr>
        <w:t>« et »</w:t>
      </w:r>
      <w:r>
        <w:t xml:space="preserve"> à la fin du sous-alinéa 1 et le point final à la fin du sous-alinéa 2 sont remplacés par une virgule et les points 3 et 4 suivants sont ajoutés :</w:t>
      </w:r>
    </w:p>
    <w:p w14:paraId="17029B9A" w14:textId="77777777" w:rsidR="00FB46F1" w:rsidRPr="00016BD1" w:rsidRDefault="00FB46F1" w:rsidP="00083D50">
      <w:pPr>
        <w:pStyle w:val="52Aufzaehle1Ziffer"/>
      </w:pPr>
      <w:r>
        <w:tab/>
        <w:t>« 3.</w:t>
      </w:r>
      <w:r>
        <w:tab/>
        <w:t>prendre des mesures, conformément à la hiérarchie des déchets, pour encourager l’augmentation de la part des emballages réutilisables mis sur le marché et des systèmes de réutilisation des emballages d’une manière écologiquement rationnelle, sans compromettre l’hygiène alimentaire ou la sécurité des consommateurs, et</w:t>
      </w:r>
    </w:p>
    <w:p w14:paraId="5A180EED" w14:textId="77777777" w:rsidR="00FB46F1" w:rsidRPr="00016BD1" w:rsidRDefault="00083D50" w:rsidP="00083D50">
      <w:pPr>
        <w:pStyle w:val="52Aufzaehle1Ziffer"/>
      </w:pPr>
      <w:r>
        <w:tab/>
        <w:t>4.</w:t>
      </w:r>
      <w:r>
        <w:tab/>
        <w:t>prévenir et réduire l’impact de certains produits plastiques sur l’environnement, en particulier sur le milieu aquatique, et sur la santé humaine, ainsi que promouvoir la transition vers une économie circulaire avec des modèles d’entreprise, des produits et des matériaux innovants et durables. »</w:t>
      </w:r>
    </w:p>
    <w:p w14:paraId="68018BD6" w14:textId="77777777" w:rsidR="00FB46F1" w:rsidRPr="00016BD1" w:rsidRDefault="006C5635" w:rsidP="00F225D7">
      <w:pPr>
        <w:pStyle w:val="21NovAo1"/>
      </w:pPr>
      <w:r>
        <w:t>2. L'article 2(3) est formulé comme suit :</w:t>
      </w:r>
    </w:p>
    <w:p w14:paraId="1E5E869B" w14:textId="77777777" w:rsidR="00FB46F1" w:rsidRPr="00016BD1" w:rsidRDefault="00FB46F1" w:rsidP="00F225D7">
      <w:pPr>
        <w:pStyle w:val="51Abs"/>
      </w:pPr>
      <w:r>
        <w:t>« 3. La présente Ordonnance s’applique aux produits suivants mis sur le marché en Autriche :</w:t>
      </w:r>
    </w:p>
    <w:p w14:paraId="2B5EB76F" w14:textId="77777777" w:rsidR="00FB46F1" w:rsidRPr="00016BD1" w:rsidRDefault="00E61D0F" w:rsidP="00E61D0F">
      <w:pPr>
        <w:pStyle w:val="52Aufzaehle1Ziffer"/>
      </w:pPr>
      <w:r>
        <w:tab/>
        <w:t>1.</w:t>
      </w:r>
      <w:r>
        <w:tab/>
        <w:t>Articles de table et couverts à usage unique,</w:t>
      </w:r>
    </w:p>
    <w:p w14:paraId="6BAFEFF8" w14:textId="77777777" w:rsidR="00FB46F1" w:rsidRPr="00016BD1" w:rsidRDefault="00E61D0F" w:rsidP="00E61D0F">
      <w:pPr>
        <w:pStyle w:val="52Aufzaehle1Ziffer"/>
      </w:pPr>
      <w:r>
        <w:tab/>
        <w:t>2.</w:t>
      </w:r>
      <w:r>
        <w:tab/>
        <w:t>Les produits plastiques à usage unique énumérés à l’annexe 6, et</w:t>
      </w:r>
    </w:p>
    <w:p w14:paraId="5795E458" w14:textId="77777777" w:rsidR="00FB46F1" w:rsidRPr="00016BD1" w:rsidRDefault="00E61D0F" w:rsidP="00B57AB5">
      <w:pPr>
        <w:pStyle w:val="52Aufzaehle1Ziffer"/>
      </w:pPr>
      <w:r>
        <w:tab/>
        <w:t>3. l’équipement de pêche tels que défini à l’article 3, sous-alinéa 27. »</w:t>
      </w:r>
      <w:r>
        <w:tab/>
      </w:r>
    </w:p>
    <w:p w14:paraId="2C65E980" w14:textId="77777777" w:rsidR="00FB46F1" w:rsidRPr="00016BD1" w:rsidRDefault="006C5635" w:rsidP="00F225D7">
      <w:pPr>
        <w:pStyle w:val="21NovAo1"/>
      </w:pPr>
      <w:r>
        <w:t>3. Les sous-alinéas 4 à 6 de l'article 3 sont formulés comme suit:</w:t>
      </w:r>
    </w:p>
    <w:p w14:paraId="5CBB8BB2" w14:textId="77777777" w:rsidR="00FB46F1" w:rsidRPr="00016BD1" w:rsidRDefault="00FB46F1" w:rsidP="00F225D7">
      <w:pPr>
        <w:pStyle w:val="52Aufzaehle1Ziffer"/>
      </w:pPr>
      <w:r>
        <w:tab/>
        <w:t>« 4.</w:t>
      </w:r>
      <w:r>
        <w:tab/>
        <w:t>« emballage de vente ou emballage primaire » signifie un emballage conçu de manière à constituer une unité de vente au consommateur final.</w:t>
      </w:r>
    </w:p>
    <w:p w14:paraId="21EB0E59" w14:textId="77777777" w:rsidR="00E61D0F" w:rsidRPr="00016BD1" w:rsidRDefault="00FB46F1" w:rsidP="00F225D7">
      <w:pPr>
        <w:pStyle w:val="52Aufzaehle1Ziffer"/>
      </w:pPr>
      <w:r>
        <w:tab/>
        <w:t>5.</w:t>
      </w:r>
      <w:r>
        <w:tab/>
        <w:t>« Emballage groupé ou emballage secondaire », sauf dans les cas visés aux sous-alinéas 4 ou 6, signifie un emballage :</w:t>
      </w:r>
    </w:p>
    <w:p w14:paraId="51922846" w14:textId="77777777" w:rsidR="00E61D0F" w:rsidRPr="00016BD1" w:rsidRDefault="00392544" w:rsidP="00392544">
      <w:pPr>
        <w:pStyle w:val="52Aufzaehle2Lit"/>
      </w:pPr>
      <w:r>
        <w:tab/>
        <w:t>a)</w:t>
      </w:r>
      <w:r>
        <w:tab/>
        <w:t>conçu de manière à constituer un groupement d’un certain nombre d’unités de vente vendues ensemble au consommateur final ou uniquement comme moyen de réapprovisionnement des rayons de vente et</w:t>
      </w:r>
    </w:p>
    <w:p w14:paraId="6F1FEB41" w14:textId="77777777" w:rsidR="00FB46F1" w:rsidRPr="00016BD1" w:rsidRDefault="00E61D0F" w:rsidP="00E61D0F">
      <w:pPr>
        <w:pStyle w:val="52Aufzaehle2Lit"/>
      </w:pPr>
      <w:r>
        <w:tab/>
        <w:t>b)</w:t>
      </w:r>
      <w:r>
        <w:tab/>
        <w:t>qui peut être retiré du produit sans en modifier les caractéristiques.</w:t>
      </w:r>
    </w:p>
    <w:p w14:paraId="3691170C" w14:textId="77777777" w:rsidR="00FB46F1" w:rsidRPr="00016BD1" w:rsidRDefault="00FB46F1" w:rsidP="00F225D7">
      <w:pPr>
        <w:pStyle w:val="52Aufzaehle1Ziffer"/>
      </w:pPr>
      <w:r>
        <w:tab/>
        <w:t>6.</w:t>
      </w:r>
      <w:r>
        <w:tab/>
        <w:t>« emballage de transport ou emballage tertiaire » signifie un emballage conçu de manière à faciliter la manutention et le transport d’un certain nombre d’unités de vente ou d’emballages groupés afin de prévenir les dommages physiques liés à la manutention et au transport. Les emballages de transport n’incluent pas les conteneurs routiers, ferroviaires, maritimes et aériens. »</w:t>
      </w:r>
    </w:p>
    <w:p w14:paraId="772DF9B4" w14:textId="77777777" w:rsidR="00FB46F1" w:rsidRPr="00016BD1" w:rsidRDefault="006C5635" w:rsidP="00F225D7">
      <w:pPr>
        <w:pStyle w:val="21NovAo1"/>
      </w:pPr>
      <w:r>
        <w:lastRenderedPageBreak/>
        <w:t>4. L'article 3, sous-alinéas 8 et 9, sont formulés comme suit :</w:t>
      </w:r>
    </w:p>
    <w:p w14:paraId="39D16022" w14:textId="77777777" w:rsidR="00FB46F1" w:rsidRPr="00016BD1" w:rsidRDefault="00FB46F1" w:rsidP="00F225D7">
      <w:pPr>
        <w:pStyle w:val="52Aufzaehle1Ziffer"/>
      </w:pPr>
      <w:r>
        <w:tab/>
        <w:t>« 8.</w:t>
      </w:r>
      <w:r>
        <w:tab/>
        <w:t>« matériaux d’emballage », les matériaux suivants à partir desquels sont fabriqués les emballages, les aides à l’emballage ou les palettes :</w:t>
      </w:r>
    </w:p>
    <w:p w14:paraId="3061C800" w14:textId="77777777" w:rsidR="00FB46F1" w:rsidRPr="00016BD1" w:rsidRDefault="00FB46F1" w:rsidP="00F225D7">
      <w:pPr>
        <w:pStyle w:val="52Aufzaehle2Lit"/>
      </w:pPr>
      <w:r>
        <w:tab/>
        <w:t>a)</w:t>
      </w:r>
      <w:r>
        <w:tab/>
        <w:t>papier, carton, cartonnage et carton ondulé ;</w:t>
      </w:r>
    </w:p>
    <w:p w14:paraId="32428510" w14:textId="77777777" w:rsidR="00FB46F1" w:rsidRPr="00016BD1" w:rsidRDefault="00FB46F1" w:rsidP="00F225D7">
      <w:pPr>
        <w:pStyle w:val="52Aufzaehle2Lit"/>
      </w:pPr>
      <w:r>
        <w:tab/>
        <w:t>b)</w:t>
      </w:r>
      <w:r>
        <w:tab/>
        <w:t>verre ;</w:t>
      </w:r>
    </w:p>
    <w:p w14:paraId="3CF78138" w14:textId="77777777" w:rsidR="00FB46F1" w:rsidRPr="00016BD1" w:rsidRDefault="00FB46F1" w:rsidP="00F225D7">
      <w:pPr>
        <w:pStyle w:val="52Aufzaehle2Lit"/>
      </w:pPr>
      <w:r>
        <w:tab/>
        <w:t>c)</w:t>
      </w:r>
      <w:r>
        <w:tab/>
        <w:t>métaux ferreux ;</w:t>
      </w:r>
    </w:p>
    <w:p w14:paraId="7E2502FA" w14:textId="77777777" w:rsidR="00FB46F1" w:rsidRPr="00016BD1" w:rsidRDefault="00FB46F1" w:rsidP="00F225D7">
      <w:pPr>
        <w:pStyle w:val="52Aufzaehle2Lit"/>
      </w:pPr>
      <w:r>
        <w:tab/>
        <w:t>d)</w:t>
      </w:r>
      <w:r>
        <w:tab/>
        <w:t>aluminium ;</w:t>
      </w:r>
    </w:p>
    <w:p w14:paraId="6CF03584" w14:textId="77777777" w:rsidR="00FB46F1" w:rsidRPr="00016BD1" w:rsidRDefault="00FB46F1" w:rsidP="00F225D7">
      <w:pPr>
        <w:pStyle w:val="52Aufzaehle2Lit"/>
      </w:pPr>
      <w:r>
        <w:tab/>
        <w:t>e)</w:t>
      </w:r>
      <w:r>
        <w:tab/>
        <w:t>plastique tel que défini à l'article 2(10), sous-alinéa 2 de l'AWG 2002 ;</w:t>
      </w:r>
    </w:p>
    <w:p w14:paraId="5641FD2A" w14:textId="77777777" w:rsidR="00FB46F1" w:rsidRPr="00016BD1" w:rsidRDefault="00FB46F1" w:rsidP="00F225D7">
      <w:pPr>
        <w:pStyle w:val="52Aufzaehle2Lit"/>
      </w:pPr>
      <w:r>
        <w:tab/>
        <w:t>f)</w:t>
      </w:r>
      <w:r>
        <w:tab/>
        <w:t>bois ;</w:t>
      </w:r>
    </w:p>
    <w:p w14:paraId="3C9A29F8" w14:textId="77777777" w:rsidR="00FB46F1" w:rsidRPr="00016BD1" w:rsidRDefault="00FB46F1" w:rsidP="00F225D7">
      <w:pPr>
        <w:pStyle w:val="52Aufzaehle2Lit"/>
      </w:pPr>
      <w:r>
        <w:tab/>
        <w:t>g)</w:t>
      </w:r>
      <w:r>
        <w:tab/>
        <w:t>fibres textiles ;</w:t>
      </w:r>
    </w:p>
    <w:p w14:paraId="0148F6A6" w14:textId="77777777" w:rsidR="00FB46F1" w:rsidRPr="00016BD1" w:rsidRDefault="00FB46F1" w:rsidP="00F225D7">
      <w:pPr>
        <w:pStyle w:val="52Aufzaehle2Lit"/>
      </w:pPr>
      <w:r>
        <w:tab/>
        <w:t>h)</w:t>
      </w:r>
      <w:r>
        <w:tab/>
        <w:t>autres matériaux d'emballage organiques ;</w:t>
      </w:r>
    </w:p>
    <w:p w14:paraId="672AF2D4" w14:textId="77777777" w:rsidR="00FB46F1" w:rsidRPr="00016BD1" w:rsidRDefault="00FB46F1" w:rsidP="00F225D7">
      <w:pPr>
        <w:pStyle w:val="52Aufzaehle2Lit"/>
      </w:pPr>
      <w:r>
        <w:tab/>
        <w:t>k)</w:t>
      </w:r>
      <w:r>
        <w:tab/>
        <w:t>céramiques. »</w:t>
      </w:r>
    </w:p>
    <w:p w14:paraId="75B29584" w14:textId="77777777" w:rsidR="00FB46F1" w:rsidRPr="00016BD1" w:rsidRDefault="00FB46F1" w:rsidP="00F225D7">
      <w:pPr>
        <w:pStyle w:val="52Aufzaehle1Ziffer"/>
      </w:pPr>
      <w:r>
        <w:tab/>
        <w:t>9.</w:t>
      </w:r>
      <w:r>
        <w:tab/>
        <w:t>« emballage réutilisable » signifie un emballage qui a été conçu et mis sur le marché pour effectuer, au cours de son cycle de vie, des voyages ou des rotations multiples en étant retourné à un producteur, notamment à un conditionneur conformément à l’article 13 g, paragraphe 1, sous-alinéa 2 AWG 2002, et rechargé ou réutilisé dans le même but que celui pour lequel il a été conçu. »</w:t>
      </w:r>
    </w:p>
    <w:p w14:paraId="5F1EE0D6" w14:textId="77777777" w:rsidR="00FB46F1" w:rsidRPr="00016BD1" w:rsidRDefault="006C5635" w:rsidP="00917946">
      <w:pPr>
        <w:pStyle w:val="22NovAo2"/>
      </w:pPr>
      <w:r>
        <w:t xml:space="preserve">5. À l'article 3, sous-alinéa 13, point a, après les mots </w:t>
      </w:r>
      <w:r>
        <w:rPr>
          <w:i w:val="0"/>
        </w:rPr>
        <w:t>« des produits ou marchandises emballés »</w:t>
      </w:r>
      <w:r>
        <w:t xml:space="preserve"> et à l'article 3, sous-alinéa 13, point b, après les mots </w:t>
      </w:r>
      <w:r>
        <w:rPr>
          <w:i w:val="0"/>
        </w:rPr>
        <w:t>« des produits ou marchandises en emballage »</w:t>
      </w:r>
      <w:r>
        <w:t>, les mots « </w:t>
      </w:r>
      <w:r>
        <w:rPr>
          <w:i w:val="0"/>
        </w:rPr>
        <w:t>ou des produits en plastique à usage unique énumérés à l’annexe 6 »</w:t>
      </w:r>
      <w:r>
        <w:t xml:space="preserve"> sont insérés dans chaque cas.</w:t>
      </w:r>
    </w:p>
    <w:p w14:paraId="3EA4638F" w14:textId="77777777" w:rsidR="00917946" w:rsidRPr="00016BD1" w:rsidRDefault="006C5635" w:rsidP="00917946">
      <w:pPr>
        <w:pStyle w:val="21NovAo1"/>
      </w:pPr>
      <w:r>
        <w:t>6. À l'article 3, les sous-alinéas 25 et 26 sont remplacés par les sous-alinéas 25 à 30 suivants :</w:t>
      </w:r>
    </w:p>
    <w:p w14:paraId="438C3B6B" w14:textId="77777777" w:rsidR="00FB46F1" w:rsidRPr="00016BD1" w:rsidRDefault="00FB46F1" w:rsidP="00F225D7">
      <w:pPr>
        <w:pStyle w:val="52Aufzaehle1Ziffer"/>
      </w:pPr>
      <w:r>
        <w:tab/>
        <w:t>« 25.</w:t>
      </w:r>
      <w:r>
        <w:tab/>
        <w:t>« carton composite pour boissons » signifie emballage composite fermé au sens du sous-alinéa 26 pour des aliments ou des boissons liquides ou sous formes de pâte, le matériau de base étant le papier, le carton ou le carton épais. Un capuchon est considéré comme faisant partie de l’emballage composite pour boissons.</w:t>
      </w:r>
    </w:p>
    <w:p w14:paraId="75D042DF" w14:textId="77777777" w:rsidR="00FB46F1" w:rsidRPr="00016BD1" w:rsidRDefault="00FB46F1" w:rsidP="00F225D7">
      <w:pPr>
        <w:pStyle w:val="52Aufzaehle1Ziffer"/>
      </w:pPr>
      <w:r>
        <w:tab/>
        <w:t>26.</w:t>
      </w:r>
      <w:r>
        <w:tab/>
        <w:t>« emballage composite » constitué de deux ou plusieurs couches de matériaux différents qui ne peuvent être séparées à la main et qui forment une seule unité intégrale, constituée par exemple d’un récipient intérieur et d’une enveloppe extérieure, et qui est rempli, stocké, transporté et vidé comme tel.</w:t>
      </w:r>
    </w:p>
    <w:p w14:paraId="51A25E65" w14:textId="77777777" w:rsidR="00FB46F1" w:rsidRPr="00016BD1" w:rsidRDefault="00FB46F1" w:rsidP="00F225D7">
      <w:pPr>
        <w:pStyle w:val="52Aufzaehle1Ziffer"/>
      </w:pPr>
      <w:r>
        <w:tab/>
        <w:t>27.</w:t>
      </w:r>
      <w:r>
        <w:tab/>
        <w:t>« équipement de pêche » signifie tout article ou pièce d'équipement utilisé dans la pêche ou l'aquaculture pour viser, capturer ou élever des ressources biologiques marines ou qui flotte à la surface de la mer, et qui est déployé dans le but d'attirer et de capturer ou d'élever ces ressources biologiques marines.</w:t>
      </w:r>
    </w:p>
    <w:p w14:paraId="5D0C2C6B" w14:textId="77777777" w:rsidR="00FB46F1" w:rsidRPr="00016BD1" w:rsidRDefault="00FB46F1" w:rsidP="00F225D7">
      <w:pPr>
        <w:pStyle w:val="52Aufzaehle1Ziffer"/>
      </w:pPr>
      <w:r>
        <w:tab/>
        <w:t>28.</w:t>
      </w:r>
      <w:r>
        <w:tab/>
        <w:t>« engin de pêche usagé » signifie tout équipement de pêche visé par la définition de « déchet » figurant à l'article 2, paragraphes 1 et 2, de la loi AWG 2002, y compris tous les composants, substances ou matériaux distincts qui faisaient partie de cet engin de pêche ou y étaient attachés au moment où il a été mis au rebut, y compris lorsqu'il a été abandonné ou perdu.</w:t>
      </w:r>
    </w:p>
    <w:p w14:paraId="3710FC02" w14:textId="77777777" w:rsidR="00FB46F1" w:rsidRPr="00016BD1" w:rsidRDefault="00FB46F1" w:rsidP="00F225D7">
      <w:pPr>
        <w:pStyle w:val="52Aufzaehle1Ziffer"/>
      </w:pPr>
      <w:r>
        <w:tab/>
        <w:t>29.</w:t>
      </w:r>
      <w:r>
        <w:tab/>
        <w:t>« plastique biodégradable » signifie un plastique capable de subir une décomposition physique et biologique, de telle sorte qu’il se décompose en dioxyde de carbone, en biomasse et en eau et qu’il soit, conformément à l’état de la technique, récupérable par compostage et digestion anaérobie.</w:t>
      </w:r>
    </w:p>
    <w:p w14:paraId="21A0AB3A" w14:textId="77777777" w:rsidR="00FB46F1" w:rsidRPr="00016BD1" w:rsidRDefault="00FB46F1" w:rsidP="00F225D7">
      <w:pPr>
        <w:pStyle w:val="52Aufzaehle1Ziffer"/>
      </w:pPr>
      <w:r>
        <w:tab/>
        <w:t>30.</w:t>
      </w:r>
      <w:r>
        <w:tab/>
        <w:t xml:space="preserve">« produits à base de tabac » signifie les produits à base de tabac tels que définis à l’article 1, sous-alinéa 1, de la Loi sur le Tabac et la Protection des non-fumeurs, </w:t>
      </w:r>
      <w:proofErr w:type="spellStart"/>
      <w:r>
        <w:t>BGBl</w:t>
      </w:r>
      <w:proofErr w:type="spellEnd"/>
      <w:r>
        <w:t xml:space="preserve">. n° 435/1995 tel que modifiée par la Loi fédérale promulguée dans </w:t>
      </w:r>
      <w:proofErr w:type="spellStart"/>
      <w:r>
        <w:t>BGBl</w:t>
      </w:r>
      <w:proofErr w:type="spellEnd"/>
      <w:r>
        <w:t>. I n° 66/2019. »</w:t>
      </w:r>
    </w:p>
    <w:p w14:paraId="2BD58306" w14:textId="77777777" w:rsidR="00D03944" w:rsidRPr="00016BD1" w:rsidRDefault="006C5635" w:rsidP="00D03944">
      <w:pPr>
        <w:pStyle w:val="21NovAo1"/>
      </w:pPr>
      <w:r>
        <w:t>7. Le titre de l'article 4 est formulé comme suit :</w:t>
      </w:r>
    </w:p>
    <w:p w14:paraId="39104470" w14:textId="77777777" w:rsidR="00FB46F1" w:rsidRPr="00016BD1" w:rsidRDefault="00FB46F1" w:rsidP="00F225D7">
      <w:pPr>
        <w:pStyle w:val="45UeberschrPara"/>
      </w:pPr>
      <w:r>
        <w:t xml:space="preserve">« Exigences relatives </w:t>
      </w:r>
      <w:proofErr w:type="gramStart"/>
      <w:r>
        <w:t>au emballages</w:t>
      </w:r>
      <w:proofErr w:type="gramEnd"/>
      <w:r>
        <w:t xml:space="preserve"> et à la prévention des déchets d’emballages »</w:t>
      </w:r>
    </w:p>
    <w:p w14:paraId="401E4C90" w14:textId="77777777" w:rsidR="00FB46F1" w:rsidRPr="00016BD1" w:rsidRDefault="006C5635" w:rsidP="00F225D7">
      <w:pPr>
        <w:pStyle w:val="21NovAo1"/>
      </w:pPr>
      <w:r>
        <w:t>8. Les paragraphes 4 à 8 sont ajoutés à l’article 4 comme suit :</w:t>
      </w:r>
    </w:p>
    <w:p w14:paraId="656BFBEA" w14:textId="77777777" w:rsidR="00DC098C" w:rsidRPr="00016BD1" w:rsidRDefault="00FB46F1" w:rsidP="00F225D7">
      <w:pPr>
        <w:pStyle w:val="51Abs"/>
      </w:pPr>
      <w:r>
        <w:t>« (4) Les entités soumises à l’obligation primaire conformément à l’article 13 g de la loi AWG 2002 des produits emballés veillent à ce que les emballages soient fabriqués et mis sur le marché de manière à satisfaire aux exigences de fabrication et de composition, de réutilisabilité et de valorisation énoncées dans l’</w:t>
      </w:r>
      <w:r>
        <w:rPr>
          <w:b/>
        </w:rPr>
        <w:t>annexe 1</w:t>
      </w:r>
      <w:r>
        <w:t>.</w:t>
      </w:r>
    </w:p>
    <w:p w14:paraId="7AAC2469" w14:textId="77777777" w:rsidR="00FB46F1" w:rsidRPr="00016BD1" w:rsidRDefault="00FB46F1" w:rsidP="00F225D7">
      <w:pPr>
        <w:pStyle w:val="51Abs"/>
      </w:pPr>
      <w:r>
        <w:t>(5) Les entités soumises à l'obligation primaire conformément à l'article 13g de la loi AWG 2002 ne peuvent, à partir du 1er janvier 2030, mettre sur le marché que des emballages en plastique pouvant être réutilisés ou recyclés.</w:t>
      </w:r>
    </w:p>
    <w:p w14:paraId="38FDB945" w14:textId="77777777" w:rsidR="00FB46F1" w:rsidRPr="00016BD1" w:rsidRDefault="00FB46F1" w:rsidP="00F225D7">
      <w:pPr>
        <w:pStyle w:val="51Abs"/>
      </w:pPr>
      <w:r>
        <w:lastRenderedPageBreak/>
        <w:t>(6) Les entités soumises à l'obligation primaire conformément à l'article 13g de la loi AWG 2002 ne peuvent, à partir du 3 juillet 2024, mettre sur le marché les récipients pour boissons en plastique à usage unique énumérés à l'</w:t>
      </w:r>
      <w:r>
        <w:rPr>
          <w:b/>
        </w:rPr>
        <w:t>annexe 6</w:t>
      </w:r>
      <w:r>
        <w:t>, point 1, que si leurs bouchons et couvercles en plastique restent attachés aux récipients pendant la phase d'utilisation prévue du produit. À cette fin, les fermetures et les couvercles munis de scellés en plastique ne sont pas considérés comme des objets en plastique.</w:t>
      </w:r>
    </w:p>
    <w:p w14:paraId="78B95FE8" w14:textId="77777777" w:rsidR="00FB46F1" w:rsidRPr="00016BD1" w:rsidRDefault="00FB46F1" w:rsidP="00F225D7">
      <w:pPr>
        <w:pStyle w:val="51Abs"/>
      </w:pPr>
      <w:r>
        <w:t>(7) Les entités soumises à des obligations primaires en vertu de l’article 13 g de la loi AWG 2002 veillent à ce que toutes les bouteilles de boissons énumérées à l’</w:t>
      </w:r>
      <w:r>
        <w:rPr>
          <w:b/>
        </w:rPr>
        <w:t>annexe 6</w:t>
      </w:r>
      <w:r>
        <w:t>, point 3, qu’elles mettent sur le marché en Autriche, qui se composent principalement de polyéthylène téréphtalate (ci-après dénommées « bouteilles PET »), soient en moyenne constituées d’au moins 25 % de plastique recyclé à partir de 2025. La base de référence est constituée par les bouteilles en PET énumérées à l’</w:t>
      </w:r>
      <w:r>
        <w:rPr>
          <w:b/>
        </w:rPr>
        <w:t>annexe 6</w:t>
      </w:r>
      <w:r>
        <w:t>, point 3, mises sur le marché au cours de l’année civile concernée.</w:t>
      </w:r>
    </w:p>
    <w:p w14:paraId="7AA1514C" w14:textId="77777777" w:rsidR="00FB46F1" w:rsidRPr="00016BD1" w:rsidRDefault="00FB46F1" w:rsidP="00F225D7">
      <w:pPr>
        <w:pStyle w:val="51Abs"/>
      </w:pPr>
      <w:r>
        <w:t>(8) Les entités soumises à des obligations primaires en vertu de l’article 13 g de la loi AWG 2002 veillent à ce que toutes les bouteilles de boissons en plastique à usage unique énumérées à l’</w:t>
      </w:r>
      <w:r>
        <w:rPr>
          <w:b/>
        </w:rPr>
        <w:t>annexe 6</w:t>
      </w:r>
      <w:r>
        <w:t>, point 3, qu’elles mettent sur le marché en Autriche, soient composées en moyenne d’au moins 30 % de plastique recyclé à partir de 2030. La base de référence est constituée par les bouteilles de boisson en plastique à usage unique énumérées à l’</w:t>
      </w:r>
      <w:r>
        <w:rPr>
          <w:b/>
        </w:rPr>
        <w:t>annexe 6</w:t>
      </w:r>
      <w:r>
        <w:t>, point 3, mises sur le marché au cours de l'année civile concernée.</w:t>
      </w:r>
    </w:p>
    <w:p w14:paraId="19B8C0EE" w14:textId="77777777" w:rsidR="00FB46F1" w:rsidRPr="00016BD1" w:rsidRDefault="006C5635" w:rsidP="00F225D7">
      <w:pPr>
        <w:pStyle w:val="21NovAo1"/>
      </w:pPr>
      <w:r>
        <w:t>9. L’article 5 est formulé comme suit :</w:t>
      </w:r>
    </w:p>
    <w:p w14:paraId="5FCE28BA" w14:textId="77777777" w:rsidR="00FB46F1" w:rsidRPr="00016BD1" w:rsidRDefault="00FB46F1" w:rsidP="00F225D7">
      <w:pPr>
        <w:pStyle w:val="51Abs"/>
      </w:pPr>
      <w:r>
        <w:t>« </w:t>
      </w:r>
      <w:r>
        <w:rPr>
          <w:rStyle w:val="991GldSymbol"/>
        </w:rPr>
        <w:t>Article 5.</w:t>
      </w:r>
      <w:r>
        <w:t xml:space="preserve"> (1) Au moins la proportion des parties suivantes de la masse de chaque matériau d’emballage mis sur le marché en Autriche sera recyclée au cours de chaque année civile :</w:t>
      </w:r>
    </w:p>
    <w:p w14:paraId="02FD3F3E" w14:textId="77777777" w:rsidR="00FB46F1" w:rsidRPr="00016BD1" w:rsidRDefault="00FB46F1" w:rsidP="00F225D7">
      <w:pPr>
        <w:pStyle w:val="52Aufzaehle1ZiffermitBetrag"/>
      </w:pPr>
      <w:r>
        <w:tab/>
        <w:t>1.</w:t>
      </w:r>
      <w:r>
        <w:tab/>
        <w:t xml:space="preserve">Papier, carton, cartonnage et carton ondulé </w:t>
      </w:r>
      <w:r>
        <w:tab/>
        <w:t>60 %</w:t>
      </w:r>
    </w:p>
    <w:p w14:paraId="486FCE91" w14:textId="77777777" w:rsidR="00FB46F1" w:rsidRPr="00016BD1" w:rsidRDefault="00FB46F1" w:rsidP="00F225D7">
      <w:pPr>
        <w:pStyle w:val="52Aufzaehle1ZiffermitBetrag"/>
      </w:pPr>
      <w:r>
        <w:tab/>
        <w:t>2.</w:t>
      </w:r>
      <w:r>
        <w:tab/>
        <w:t xml:space="preserve">Verre </w:t>
      </w:r>
      <w:r>
        <w:tab/>
        <w:t>60 %</w:t>
      </w:r>
    </w:p>
    <w:p w14:paraId="04546E7E" w14:textId="77777777" w:rsidR="00FB46F1" w:rsidRPr="00016BD1" w:rsidRDefault="00FB46F1" w:rsidP="00F225D7">
      <w:pPr>
        <w:pStyle w:val="52Aufzaehle1ZiffermitBetrag"/>
      </w:pPr>
      <w:r>
        <w:tab/>
        <w:t>3.</w:t>
      </w:r>
      <w:r>
        <w:tab/>
        <w:t>Métal</w:t>
      </w:r>
      <w:r>
        <w:tab/>
        <w:t xml:space="preserve"> 50 %</w:t>
      </w:r>
    </w:p>
    <w:p w14:paraId="361F8BC6" w14:textId="77777777" w:rsidR="00FB46F1" w:rsidRPr="00016BD1" w:rsidRDefault="00FB46F1" w:rsidP="00F225D7">
      <w:pPr>
        <w:pStyle w:val="52Aufzaehle1ZiffermitBetrag"/>
      </w:pPr>
      <w:r>
        <w:tab/>
        <w:t>4.</w:t>
      </w:r>
      <w:r>
        <w:tab/>
        <w:t xml:space="preserve">Plastique </w:t>
      </w:r>
      <w:r>
        <w:tab/>
        <w:t>22,5 %</w:t>
      </w:r>
    </w:p>
    <w:p w14:paraId="73420704" w14:textId="77777777" w:rsidR="00FB46F1" w:rsidRPr="00016BD1" w:rsidRDefault="00FB46F1" w:rsidP="00F225D7">
      <w:pPr>
        <w:pStyle w:val="52Aufzaehle1ZiffermitBetrag"/>
      </w:pPr>
      <w:r>
        <w:tab/>
        <w:t>5.</w:t>
      </w:r>
      <w:r>
        <w:tab/>
        <w:t xml:space="preserve">Bois </w:t>
      </w:r>
      <w:r>
        <w:tab/>
        <w:t>15 %</w:t>
      </w:r>
    </w:p>
    <w:p w14:paraId="4714075C" w14:textId="77777777" w:rsidR="00FB46F1" w:rsidRPr="00016BD1" w:rsidRDefault="00FB46F1" w:rsidP="00F225D7">
      <w:pPr>
        <w:pStyle w:val="51Abs"/>
      </w:pPr>
      <w:r>
        <w:t>(2) Au plus tard à partir de l’année civile 2025, au moins 65 % en poids de tous les déchets d’emballages produits en Autriche seront recyclés au cours de chaque année civile. Au moins les actions suivantes sont réalisées :</w:t>
      </w:r>
    </w:p>
    <w:p w14:paraId="666B2544" w14:textId="77777777" w:rsidR="00FB46F1" w:rsidRPr="00016BD1" w:rsidRDefault="00FB46F1" w:rsidP="00F225D7">
      <w:pPr>
        <w:pStyle w:val="52Aufzaehle1ZiffermitBetrag"/>
      </w:pPr>
      <w:r>
        <w:tab/>
        <w:t>1.</w:t>
      </w:r>
      <w:r>
        <w:tab/>
        <w:t>Papier, carton, cartonnage et carton ondulé 75 %</w:t>
      </w:r>
    </w:p>
    <w:p w14:paraId="3781A188" w14:textId="77777777" w:rsidR="00FB46F1" w:rsidRPr="00016BD1" w:rsidRDefault="00FB46F1" w:rsidP="00F225D7">
      <w:pPr>
        <w:pStyle w:val="52Aufzaehle1ZiffermitBetrag"/>
      </w:pPr>
      <w:r>
        <w:tab/>
        <w:t>2.</w:t>
      </w:r>
      <w:r>
        <w:tab/>
        <w:t xml:space="preserve">Verre </w:t>
      </w:r>
      <w:r>
        <w:tab/>
        <w:t>70 %</w:t>
      </w:r>
    </w:p>
    <w:p w14:paraId="031EB39B" w14:textId="77777777" w:rsidR="00FB46F1" w:rsidRPr="00016BD1" w:rsidRDefault="00FB46F1" w:rsidP="00F225D7">
      <w:pPr>
        <w:pStyle w:val="52Aufzaehle1ZiffermitBetrag"/>
      </w:pPr>
      <w:r>
        <w:tab/>
        <w:t>3.</w:t>
      </w:r>
      <w:r>
        <w:tab/>
        <w:t xml:space="preserve">Métal ferreux </w:t>
      </w:r>
      <w:r>
        <w:tab/>
        <w:t>70 %</w:t>
      </w:r>
    </w:p>
    <w:p w14:paraId="4BDCE294" w14:textId="77777777" w:rsidR="00FB46F1" w:rsidRPr="00016BD1" w:rsidRDefault="00FB46F1" w:rsidP="00F225D7">
      <w:pPr>
        <w:pStyle w:val="52Aufzaehle1ZiffermitBetrag"/>
      </w:pPr>
      <w:r>
        <w:tab/>
        <w:t>4.</w:t>
      </w:r>
      <w:r>
        <w:tab/>
        <w:t xml:space="preserve">Aluminium </w:t>
      </w:r>
      <w:r>
        <w:tab/>
        <w:t>50 %</w:t>
      </w:r>
    </w:p>
    <w:p w14:paraId="73ED141E" w14:textId="77777777" w:rsidR="00FB46F1" w:rsidRPr="00016BD1" w:rsidRDefault="00FB46F1" w:rsidP="00F225D7">
      <w:pPr>
        <w:pStyle w:val="52Aufzaehle1ZiffermitBetrag"/>
      </w:pPr>
      <w:r>
        <w:tab/>
        <w:t>5.</w:t>
      </w:r>
      <w:r>
        <w:tab/>
        <w:t xml:space="preserve">Plastique </w:t>
      </w:r>
      <w:r>
        <w:tab/>
        <w:t>50 %</w:t>
      </w:r>
    </w:p>
    <w:p w14:paraId="6929B743" w14:textId="77777777" w:rsidR="00FB46F1" w:rsidRPr="00016BD1" w:rsidRDefault="00FB46F1" w:rsidP="00F225D7">
      <w:pPr>
        <w:pStyle w:val="52Aufzaehle1ZiffermitBetrag"/>
      </w:pPr>
      <w:r>
        <w:tab/>
        <w:t>6.</w:t>
      </w:r>
      <w:r>
        <w:tab/>
        <w:t xml:space="preserve">Bois </w:t>
      </w:r>
      <w:r>
        <w:tab/>
        <w:t>25 %</w:t>
      </w:r>
    </w:p>
    <w:p w14:paraId="006862A1" w14:textId="77777777" w:rsidR="00FB46F1" w:rsidRPr="00016BD1" w:rsidRDefault="00FB46F1" w:rsidP="00F225D7">
      <w:pPr>
        <w:pStyle w:val="51Abs"/>
      </w:pPr>
      <w:r>
        <w:t>(3) Au plus tard à partir de l’année civile 2030, au moins 70 % en poids de tous les déchets d’emballages produits en Autriche seront recyclés au cours de chaque année civile. Au moins les actions suivantes sont réalisées :</w:t>
      </w:r>
    </w:p>
    <w:p w14:paraId="3F9C736F" w14:textId="77777777" w:rsidR="00FB46F1" w:rsidRPr="00016BD1" w:rsidRDefault="00FB46F1" w:rsidP="00F225D7">
      <w:pPr>
        <w:pStyle w:val="52Aufzaehle1ZiffermitBetrag"/>
      </w:pPr>
      <w:r>
        <w:tab/>
        <w:t>1.</w:t>
      </w:r>
      <w:r>
        <w:tab/>
        <w:t>Papier, carton, cartonnage et carton ondulé 85 %</w:t>
      </w:r>
    </w:p>
    <w:p w14:paraId="700544F6" w14:textId="77777777" w:rsidR="00FB46F1" w:rsidRPr="00016BD1" w:rsidRDefault="00FB46F1" w:rsidP="00F225D7">
      <w:pPr>
        <w:pStyle w:val="52Aufzaehle1ZiffermitBetrag"/>
      </w:pPr>
      <w:r>
        <w:tab/>
        <w:t>2.</w:t>
      </w:r>
      <w:r>
        <w:tab/>
        <w:t xml:space="preserve">Verre </w:t>
      </w:r>
      <w:r>
        <w:tab/>
        <w:t>75 %</w:t>
      </w:r>
    </w:p>
    <w:p w14:paraId="15337F37" w14:textId="77777777" w:rsidR="00FB46F1" w:rsidRPr="00016BD1" w:rsidRDefault="00FB46F1" w:rsidP="00F225D7">
      <w:pPr>
        <w:pStyle w:val="52Aufzaehle1ZiffermitBetrag"/>
      </w:pPr>
      <w:r>
        <w:tab/>
        <w:t>3.</w:t>
      </w:r>
      <w:r>
        <w:tab/>
        <w:t xml:space="preserve">Métal ferreux </w:t>
      </w:r>
      <w:r>
        <w:tab/>
        <w:t>80 %</w:t>
      </w:r>
    </w:p>
    <w:p w14:paraId="73A41F8B" w14:textId="77777777" w:rsidR="00FB46F1" w:rsidRPr="00016BD1" w:rsidRDefault="00FB46F1" w:rsidP="00F225D7">
      <w:pPr>
        <w:pStyle w:val="52Aufzaehle1ZiffermitBetrag"/>
      </w:pPr>
      <w:r>
        <w:tab/>
        <w:t>4.</w:t>
      </w:r>
      <w:r>
        <w:tab/>
        <w:t xml:space="preserve">Aluminium </w:t>
      </w:r>
      <w:r>
        <w:tab/>
        <w:t>60 %</w:t>
      </w:r>
    </w:p>
    <w:p w14:paraId="7A5B0B08" w14:textId="77777777" w:rsidR="00FB46F1" w:rsidRPr="00016BD1" w:rsidRDefault="00FB46F1" w:rsidP="00F225D7">
      <w:pPr>
        <w:pStyle w:val="52Aufzaehle1ZiffermitBetrag"/>
      </w:pPr>
      <w:r>
        <w:tab/>
        <w:t>5.</w:t>
      </w:r>
      <w:r>
        <w:tab/>
        <w:t xml:space="preserve">Plastique </w:t>
      </w:r>
      <w:r>
        <w:tab/>
        <w:t>55 %</w:t>
      </w:r>
    </w:p>
    <w:p w14:paraId="11C335B5" w14:textId="77777777" w:rsidR="00FB46F1" w:rsidRPr="00016BD1" w:rsidRDefault="00FB46F1" w:rsidP="00F225D7">
      <w:pPr>
        <w:pStyle w:val="52Aufzaehle1ZiffermitBetrag"/>
      </w:pPr>
      <w:r>
        <w:tab/>
        <w:t>6.</w:t>
      </w:r>
      <w:r>
        <w:tab/>
        <w:t xml:space="preserve">Bois </w:t>
      </w:r>
      <w:r>
        <w:tab/>
        <w:t>30 %</w:t>
      </w:r>
    </w:p>
    <w:p w14:paraId="08F027B7" w14:textId="77777777" w:rsidR="0021767F" w:rsidRPr="00016BD1" w:rsidRDefault="0021767F" w:rsidP="00F11FC8">
      <w:pPr>
        <w:pStyle w:val="51Abs"/>
      </w:pPr>
      <w:r>
        <w:t>(4) Les objectifs fixés aux paragraphes 2 et 3 pour une année donnée peuvent être atteints dans une mesure ajustée en tenant compte de la part moyenne des emballages de vente réutilisables mis sur le marché pour la première fois, qui a été réutilisée au cours des trois années précédentes dans le cadre d’un système de réutilisation des emballages. Pour calculer l’étendue ajustée, les éléments suivants sont déduits :</w:t>
      </w:r>
    </w:p>
    <w:p w14:paraId="00304B7C" w14:textId="77777777" w:rsidR="0021767F" w:rsidRPr="00016BD1" w:rsidRDefault="00F11FC8" w:rsidP="00F11FC8">
      <w:pPr>
        <w:pStyle w:val="52Aufzaehle1Ziffer"/>
      </w:pPr>
      <w:r>
        <w:tab/>
        <w:t>1.</w:t>
      </w:r>
      <w:r>
        <w:tab/>
        <w:t>sur base des objectifs totaux fixés aux paragraphes 2 et 3, la part des emballages de vente réutilisables mis sur le marché pour la première fois au cours de l’année civile correspondante de tous les emballages de vente mis sur le marché au cours de cette année civile, et</w:t>
      </w:r>
    </w:p>
    <w:p w14:paraId="57CC89C5" w14:textId="77777777" w:rsidR="0021767F" w:rsidRPr="00016BD1" w:rsidRDefault="00F11FC8" w:rsidP="00F11FC8">
      <w:pPr>
        <w:pStyle w:val="52Aufzaehle1Ziffer"/>
      </w:pPr>
      <w:r>
        <w:tab/>
        <w:t>2.</w:t>
      </w:r>
      <w:r>
        <w:tab/>
        <w:t xml:space="preserve">sur base des objectifs fixés aux paragraphes 2 et 3, sous-alinéas 1 à 6, pour les matériaux d’emballage individuels, la part des emballages de vente réutilisables mis sur le marché pour la première fois au cours de l’année civile correspondante de tous les emballages de vente de cette année civile mis sur </w:t>
      </w:r>
      <w:proofErr w:type="gramStart"/>
      <w:r>
        <w:t>le marché constitués</w:t>
      </w:r>
      <w:proofErr w:type="gramEnd"/>
      <w:r>
        <w:t xml:space="preserve"> du matériau d’emballage respectif.</w:t>
      </w:r>
    </w:p>
    <w:p w14:paraId="5CCE2D79" w14:textId="77777777" w:rsidR="0021767F" w:rsidRPr="00016BD1" w:rsidRDefault="0021767F" w:rsidP="00F11FC8">
      <w:pPr>
        <w:pStyle w:val="58Schlussteile0Abs"/>
      </w:pPr>
      <w:r>
        <w:lastRenderedPageBreak/>
        <w:t xml:space="preserve">Lors du calcul de la mesure ajustée visée aux alinéas 1 et 2, il ne peut être tenu compte de plus de cinq pour cent d'une telle part. </w:t>
      </w:r>
    </w:p>
    <w:p w14:paraId="6CB35A30" w14:textId="77777777" w:rsidR="0021767F" w:rsidRPr="00016BD1" w:rsidRDefault="0021767F" w:rsidP="0021767F">
      <w:pPr>
        <w:pStyle w:val="51Abs"/>
      </w:pPr>
      <w:r>
        <w:t>(5) La masse des emballages en bois, qui est réparée puis réutilisée, peut être incluse dans les quotas visés à l’article 5, paragraphes 2 et 3.</w:t>
      </w:r>
    </w:p>
    <w:p w14:paraId="3797DE78" w14:textId="77777777" w:rsidR="00440DC1" w:rsidRPr="00016BD1" w:rsidRDefault="00FB46F1" w:rsidP="0021767F">
      <w:pPr>
        <w:pStyle w:val="51Abs"/>
      </w:pPr>
      <w:r>
        <w:t>(6) Les quotas minimaux fixés aux paragraphes 1 à 3 doivent être calculés en tenant compte de la décision 2005/270/CE établissant les formats relatifs au système de base de données conformément à la directive 94/62/CE relative aux emballages et aux déchets d’emballages, JO L 86 du 5.4.2005, p. 6, modifiée par la décision d’exécution (UE) 2019/665 modifiant la décision 2005/270/CE, JO L 112 du 26.4.2019, p. 26.</w:t>
      </w:r>
    </w:p>
    <w:p w14:paraId="583E8552" w14:textId="77777777" w:rsidR="00440DC1" w:rsidRPr="00016BD1" w:rsidRDefault="00440DC1" w:rsidP="00A9409F">
      <w:pPr>
        <w:pStyle w:val="51Abs"/>
      </w:pPr>
      <w:r>
        <w:t>(7) Les déchets d’emballages exportés vers des pays situés en dehors de l’Union européenne ne peuvent être pris en compte dans le calcul des parts spécifiées aux sections 1 à 3, que si</w:t>
      </w:r>
    </w:p>
    <w:p w14:paraId="718D91EC" w14:textId="77777777" w:rsidR="00440DC1" w:rsidRPr="00016BD1" w:rsidRDefault="00440DC1" w:rsidP="00A9409F">
      <w:pPr>
        <w:pStyle w:val="52Aufzaehle1Ziffer"/>
      </w:pPr>
      <w:r>
        <w:tab/>
        <w:t>1.</w:t>
      </w:r>
      <w:r>
        <w:tab/>
        <w:t xml:space="preserve">l’entité soumise à obligations démontre que la valorisation, en particulier le recyclage, a eu lieu dans des conditions substantiellement équivalentes à celles prévues par la législation pertinente de l’Union ; et </w:t>
      </w:r>
    </w:p>
    <w:p w14:paraId="5F240398" w14:textId="77777777" w:rsidR="00FB46F1" w:rsidRPr="00016BD1" w:rsidRDefault="00440DC1" w:rsidP="00A9409F">
      <w:pPr>
        <w:pStyle w:val="52Aufzaehle1Ziffer"/>
      </w:pPr>
      <w:r>
        <w:tab/>
        <w:t>2.</w:t>
      </w:r>
      <w:r>
        <w:tab/>
        <w:t>l’exportation est dûment effectuée conformément aux règles relatives au transfert de déchets prévues par le droit de l’Union. »</w:t>
      </w:r>
    </w:p>
    <w:p w14:paraId="03AAB79D" w14:textId="77777777" w:rsidR="00FB46F1" w:rsidRPr="00016BD1" w:rsidRDefault="006C5635" w:rsidP="00F225D7">
      <w:pPr>
        <w:pStyle w:val="21NovAo1"/>
      </w:pPr>
      <w:r>
        <w:t>10. L’article 6, y compris son titre, est formulé comme suit :</w:t>
      </w:r>
    </w:p>
    <w:p w14:paraId="4752A9E6" w14:textId="77777777" w:rsidR="00FB46F1" w:rsidRPr="00016BD1" w:rsidRDefault="00FB46F1" w:rsidP="00F225D7">
      <w:pPr>
        <w:pStyle w:val="45UeberschrPara"/>
      </w:pPr>
      <w:r>
        <w:t>« Emballage réutilisable</w:t>
      </w:r>
    </w:p>
    <w:p w14:paraId="494CA84F" w14:textId="77777777" w:rsidR="00FB46F1" w:rsidRPr="00016BD1" w:rsidRDefault="00FB46F1" w:rsidP="00F225D7">
      <w:pPr>
        <w:pStyle w:val="51Abs"/>
      </w:pPr>
      <w:r>
        <w:rPr>
          <w:rStyle w:val="991GldSymbol"/>
        </w:rPr>
        <w:t>Article 6.</w:t>
      </w:r>
      <w:r>
        <w:t xml:space="preserve"> (1) Pour</w:t>
      </w:r>
    </w:p>
    <w:p w14:paraId="1CE1AAAE" w14:textId="77777777" w:rsidR="00FB46F1" w:rsidRPr="00016BD1" w:rsidRDefault="00FB46F1" w:rsidP="00F225D7">
      <w:pPr>
        <w:pStyle w:val="52Aufzaehle1Ziffer"/>
      </w:pPr>
      <w:r>
        <w:tab/>
        <w:t>1.</w:t>
      </w:r>
      <w:r>
        <w:tab/>
        <w:t>les emballages réutilisables auxquels s'applique manifestement une consigne et pour lesquels une consigne a été payée ou lorsque, en cas de livraison en échange direct entre le fournisseur et le client, le propriétaire change sans qu'un montant de consigne soit facturé dans ce processus, et</w:t>
      </w:r>
    </w:p>
    <w:p w14:paraId="185D8FBC" w14:textId="77777777" w:rsidR="00FB46F1" w:rsidRPr="00016BD1" w:rsidRDefault="00FB46F1" w:rsidP="00F225D7">
      <w:pPr>
        <w:pStyle w:val="52Aufzaehle1Ziffer"/>
      </w:pPr>
      <w:r>
        <w:tab/>
        <w:t>2.</w:t>
      </w:r>
      <w:r>
        <w:tab/>
        <w:t>les auxiliaires d'emballage mis sur le marché avec ces emballages, tels que les bouchons et les étiquettes, pour autant que la masse totale de ces auxiliaires d'emballage ne dépasse pas 5 % en masse de l'unité d'emballage,</w:t>
      </w:r>
    </w:p>
    <w:p w14:paraId="585FCD74" w14:textId="77777777" w:rsidR="00FB46F1" w:rsidRPr="00016BD1" w:rsidRDefault="00FB46F1" w:rsidP="00F225D7">
      <w:pPr>
        <w:pStyle w:val="58Schlussteile0Abs"/>
      </w:pPr>
      <w:r>
        <w:t>les obligations énoncées aux articles 8, 10 et 11 ne s’appliquent pas.</w:t>
      </w:r>
    </w:p>
    <w:p w14:paraId="6E59B0C8" w14:textId="77777777" w:rsidR="00FB46F1" w:rsidRPr="00016BD1" w:rsidRDefault="00FB46F1" w:rsidP="00F225D7">
      <w:pPr>
        <w:pStyle w:val="51Abs"/>
      </w:pPr>
      <w:r>
        <w:t>(2) Les emballages réutilisables peuvent être étiquetés comme étant réutilisables pour les distinguer des emballages à usage unique.</w:t>
      </w:r>
    </w:p>
    <w:p w14:paraId="01DFDA1A" w14:textId="77777777" w:rsidR="00FB46F1" w:rsidRPr="00016BD1" w:rsidRDefault="00FB46F1" w:rsidP="00F225D7">
      <w:pPr>
        <w:pStyle w:val="51Abs"/>
      </w:pPr>
      <w:r>
        <w:t>(3) Les entités soumises à une obligation primaire en vertu de l’article 13 g de la loi AWG 2002, qui ne mettent sur le marché que des emballages réutilisables au sens du paragraphe 1, doivent tenir un registre des données visées à l’</w:t>
      </w:r>
      <w:r>
        <w:rPr>
          <w:b/>
        </w:rPr>
        <w:t>annexe 3</w:t>
      </w:r>
      <w:r>
        <w:t>, point 4, et le notifier par voie électronique au ministre fédéral de l’action climatique, de l’environnement, de l’énergie, de la mobilité, de l’innovation et de la technologie, au moyen du registre visé à l’article 22 de la loi AWG 2002 au plus tard trois mois suivant la fin de chaque année civile de l’année civile précédente. Cette notification doit être faite pour la première fois pour l’année civile 2022.</w:t>
      </w:r>
    </w:p>
    <w:p w14:paraId="03BECB3A" w14:textId="77777777" w:rsidR="00B57AB5" w:rsidRPr="00016BD1" w:rsidRDefault="006C5635" w:rsidP="00A9409F">
      <w:pPr>
        <w:pStyle w:val="21NovAo1"/>
      </w:pPr>
      <w:r>
        <w:t>11. Après l’article 6, l’article 6a, incluant son titre, est inséré comme suit :</w:t>
      </w:r>
    </w:p>
    <w:p w14:paraId="498710E4" w14:textId="77777777" w:rsidR="0069747C" w:rsidRPr="00016BD1" w:rsidRDefault="0069747C" w:rsidP="00A9409F">
      <w:pPr>
        <w:pStyle w:val="45UeberschrPara"/>
      </w:pPr>
      <w:r>
        <w:t>« Emballages jetables pour boissons en consigne</w:t>
      </w:r>
    </w:p>
    <w:p w14:paraId="5D9FDABA" w14:textId="77777777" w:rsidR="00B57AB5" w:rsidRPr="00016BD1" w:rsidRDefault="00B57AB5" w:rsidP="00A9409F">
      <w:pPr>
        <w:pStyle w:val="51Abs"/>
      </w:pPr>
      <w:r>
        <w:rPr>
          <w:rStyle w:val="991GldSymbol"/>
        </w:rPr>
        <w:t>Article 6a.</w:t>
      </w:r>
      <w:r>
        <w:t xml:space="preserve"> Les obligations prévues aux articles 8, 16b, 17, 20, 21, 21a et 22 ne s’appliquent pas aux emballages jetables pour boissons en consigne en plastique ou en métal conformément à une ordonnance prise en vertu de l’article 14c de l’AWG 2002. »</w:t>
      </w:r>
    </w:p>
    <w:p w14:paraId="5896EF4E" w14:textId="77777777" w:rsidR="00D03944" w:rsidRPr="00016BD1" w:rsidRDefault="006C5635" w:rsidP="00D03944">
      <w:pPr>
        <w:pStyle w:val="22NovAo2"/>
      </w:pPr>
      <w:r>
        <w:t xml:space="preserve">12. À l'article 7, l’expression </w:t>
      </w:r>
      <w:r>
        <w:rPr>
          <w:i w:val="0"/>
        </w:rPr>
        <w:t>« à l'article 10(2), (5) et (7) »</w:t>
      </w:r>
      <w:r>
        <w:t xml:space="preserve"> est remplacée par l’expression </w:t>
      </w:r>
      <w:r>
        <w:rPr>
          <w:i w:val="0"/>
        </w:rPr>
        <w:t>« à l'article 10 »</w:t>
      </w:r>
      <w:r>
        <w:t>.</w:t>
      </w:r>
    </w:p>
    <w:p w14:paraId="31676618" w14:textId="77777777" w:rsidR="00FB46F1" w:rsidRPr="00016BD1" w:rsidRDefault="006C5635" w:rsidP="00F225D7">
      <w:pPr>
        <w:pStyle w:val="21NovAo1"/>
      </w:pPr>
      <w:r>
        <w:t>13. À l'article 9, le paragraphe (1) est remplacé par les paragraphes (1) à (1b) suivants :</w:t>
      </w:r>
    </w:p>
    <w:p w14:paraId="66C469A1" w14:textId="77777777" w:rsidR="00FB46F1" w:rsidRPr="00016BD1" w:rsidRDefault="00FB46F1" w:rsidP="00F225D7">
      <w:pPr>
        <w:pStyle w:val="51Abs"/>
      </w:pPr>
      <w:r>
        <w:t>« (1) Les systèmes de collecte et de valorisation des emballages ménagers enregistrent les emballages ménagers dans les catégories approuvées respectives conformément aux parts de marché publiées conformément à l’article 29b(4) AWG 2002 et les recyclent en tenant compte des paragraphes (5) et (5a). Les systèmes de collecte et de valorisation des emballages ménagers acceptent également, en fonction de leur part de marché, les emballages collectés séparément dans le cadre des opérations de nettoyage effectuées par les municipalités et les associations municipales dans les catégories de collecte visées à l’</w:t>
      </w:r>
      <w:r>
        <w:rPr>
          <w:b/>
        </w:rPr>
        <w:t>annexe 5</w:t>
      </w:r>
      <w:r>
        <w:t>, point 1.</w:t>
      </w:r>
    </w:p>
    <w:p w14:paraId="18152733" w14:textId="77777777" w:rsidR="00FB46F1" w:rsidRPr="00016BD1" w:rsidRDefault="00FB46F1" w:rsidP="00F225D7">
      <w:pPr>
        <w:pStyle w:val="51Abs"/>
      </w:pPr>
      <w:r>
        <w:t xml:space="preserve">(1a) Les systèmes de collecte et de valorisation des emballages ménagers sont tenus de conclure des contrats avec chaque entité engagée conformément aux articles 8 et 18a, dans le cadre de leur zone d’intervention définie dans l'avis d'agrément, à condition que l'entité engagée le souhaite et que cela soit </w:t>
      </w:r>
      <w:r>
        <w:lastRenderedPageBreak/>
        <w:t>objectivement justifié. Dans le cadre de ces contrats, les obligations découlant des paragraphes 1 et 3 de l'article 18a sont transférées au système de collecte et de valorisation des emballages ménagers.</w:t>
      </w:r>
    </w:p>
    <w:p w14:paraId="7E8D7D9B" w14:textId="77777777" w:rsidR="00FB46F1" w:rsidRPr="00016BD1" w:rsidRDefault="00FB46F1" w:rsidP="00F225D7">
      <w:pPr>
        <w:pStyle w:val="51Abs"/>
      </w:pPr>
      <w:r>
        <w:t>(1b) Les systèmes de collecte et de valorisation des emballages ménagers doivent obliger leurs participants au système, à moins qu’ils n’utilisent une solution forfaitaire visée au paragraphe 2, sous-alinéa 3, à communiquer les données suivantes au système de collecte et de valorisation pour chaque année civile, au plus tard le 15 mars de l’année suivante et pour la première fois pour l’année civile 2022, en plus des notifications visées au paragraphe 2, sous-alinéa 4 :</w:t>
      </w:r>
    </w:p>
    <w:p w14:paraId="15189859" w14:textId="77777777" w:rsidR="00FB46F1" w:rsidRPr="00016BD1" w:rsidRDefault="00FB46F1" w:rsidP="00F225D7">
      <w:pPr>
        <w:pStyle w:val="52Aufzaehle2Lit"/>
      </w:pPr>
      <w:r>
        <w:tab/>
        <w:t>1.</w:t>
      </w:r>
      <w:r>
        <w:tab/>
        <w:t>la masse des emballages mis sur le marché pour la première fois par catégorie tarifaire, comme indiqué au point 1 de l’</w:t>
      </w:r>
      <w:r>
        <w:rPr>
          <w:b/>
        </w:rPr>
        <w:t>annexe 5,</w:t>
      </w:r>
    </w:p>
    <w:p w14:paraId="6B995DAE" w14:textId="77777777" w:rsidR="00FB46F1" w:rsidRPr="00016BD1" w:rsidRDefault="00FB46F1" w:rsidP="00F225D7">
      <w:pPr>
        <w:pStyle w:val="52Aufzaehle2Lit"/>
      </w:pPr>
      <w:r>
        <w:tab/>
        <w:t>2.</w:t>
      </w:r>
      <w:r>
        <w:tab/>
        <w:t>la masse des emballages de vente mis sur le marché pour la première fois par catégorie tarifaire, comme indiqué au point 1 de l’</w:t>
      </w:r>
      <w:r>
        <w:rPr>
          <w:b/>
        </w:rPr>
        <w:t>annexe 5</w:t>
      </w:r>
      <w:r>
        <w:t>,</w:t>
      </w:r>
    </w:p>
    <w:p w14:paraId="75ABC3C2" w14:textId="77777777" w:rsidR="00FB46F1" w:rsidRPr="00016BD1" w:rsidRDefault="00FB46F1" w:rsidP="00F225D7">
      <w:pPr>
        <w:pStyle w:val="52Aufzaehle2Lit"/>
      </w:pPr>
      <w:r>
        <w:tab/>
        <w:t>3.</w:t>
      </w:r>
      <w:r>
        <w:tab/>
        <w:t>la masse des emballages réutilisables mis sur le marché pour la première fois par catégorie tarifaire, comme indiqué au point 1 de l’</w:t>
      </w:r>
      <w:r>
        <w:rPr>
          <w:b/>
        </w:rPr>
        <w:t>annexe 5</w:t>
      </w:r>
      <w:r>
        <w:t>,</w:t>
      </w:r>
    </w:p>
    <w:p w14:paraId="5981EAE0" w14:textId="77777777" w:rsidR="00FB46F1" w:rsidRPr="00016BD1" w:rsidRDefault="00FB46F1" w:rsidP="00F225D7">
      <w:pPr>
        <w:pStyle w:val="52Aufzaehle2Lit"/>
      </w:pPr>
      <w:r>
        <w:tab/>
        <w:t>4.</w:t>
      </w:r>
      <w:r>
        <w:tab/>
        <w:t>la masse des emballages de vente réutilisables mis sur le marché pour la première fois par catégorie tarifaire, comme indiqué au point 1 de l’</w:t>
      </w:r>
      <w:r>
        <w:rPr>
          <w:b/>
        </w:rPr>
        <w:t>annexe 5,</w:t>
      </w:r>
    </w:p>
    <w:p w14:paraId="681C87E3" w14:textId="77777777" w:rsidR="00FB46F1" w:rsidRPr="00016BD1" w:rsidRDefault="00FB46F1" w:rsidP="00F225D7">
      <w:pPr>
        <w:pStyle w:val="52Aufzaehle2Lit"/>
      </w:pPr>
      <w:r>
        <w:tab/>
        <w:t>5.</w:t>
      </w:r>
      <w:r>
        <w:tab/>
        <w:t>la masse des emballages réutilisables par catégorie tarifaire indiquée à l’</w:t>
      </w:r>
      <w:r>
        <w:rPr>
          <w:b/>
        </w:rPr>
        <w:t>annexe 5</w:t>
      </w:r>
      <w:r>
        <w:t>, point 1 (masse des emballages réutilisables utilisés au cours de l’année civile par catégorie tarifaire multipliée par les cycles de l’année civile),</w:t>
      </w:r>
    </w:p>
    <w:p w14:paraId="2995FA9D" w14:textId="77777777" w:rsidR="00FB46F1" w:rsidRPr="00016BD1" w:rsidRDefault="00FB46F1" w:rsidP="00F225D7">
      <w:pPr>
        <w:pStyle w:val="52Aufzaehle2Lit"/>
      </w:pPr>
      <w:r>
        <w:tab/>
        <w:t>6.</w:t>
      </w:r>
      <w:r>
        <w:tab/>
        <w:t>la masse des emballages de vente réutilisables par catégorie tarifaire indiquée à l’</w:t>
      </w:r>
      <w:r>
        <w:rPr>
          <w:b/>
        </w:rPr>
        <w:t>annexe 5</w:t>
      </w:r>
      <w:r>
        <w:t>, point 1 (masse des emballages de vente réutilisables utilisés au cours de l’année civile par catégorie tarifaire multipliée par les cycles de l’année civile), et</w:t>
      </w:r>
    </w:p>
    <w:p w14:paraId="79BC2921" w14:textId="77777777" w:rsidR="00FB46F1" w:rsidRPr="00016BD1" w:rsidRDefault="00FB46F1" w:rsidP="00F225D7">
      <w:pPr>
        <w:pStyle w:val="52Aufzaehle2Lit"/>
      </w:pPr>
      <w:r>
        <w:tab/>
        <w:t>7.</w:t>
      </w:r>
      <w:r>
        <w:tab/>
        <w:t>la masse d’emballages réutilisables qui ne sont pas sous licence (article 6, paragraphe 1) générée comme déchet dans leur entreprise par matériau d’emballage et emballage composite, la masse transférée à l’opérateur de valorisation concerné par matériau d’emballage, le nom et l’adresse des installations de valorisation et le type de valorisation concernée (recyclage, récupération thermique ou autre valorisation) et la masse d’emballages récupérés respective par matériau d’emballage compte tenu de la méthode de calcul visée à l’article 5, paragraphe 6. »</w:t>
      </w:r>
    </w:p>
    <w:p w14:paraId="4282DDDC" w14:textId="77777777" w:rsidR="00FB46F1" w:rsidRPr="00016BD1" w:rsidRDefault="006C5635" w:rsidP="00F225D7">
      <w:pPr>
        <w:pStyle w:val="21NovAo1"/>
      </w:pPr>
      <w:r>
        <w:t>14. La phrase suivante est ajoutée après l’article 9, paragraphe 2, sous-alinéa 2 :</w:t>
      </w:r>
    </w:p>
    <w:p w14:paraId="318618F7" w14:textId="77777777" w:rsidR="00FB46F1" w:rsidRPr="00016BD1" w:rsidRDefault="00FB46F1" w:rsidP="00A9409F">
      <w:pPr>
        <w:pStyle w:val="23SatznachNovao"/>
      </w:pPr>
      <w:r>
        <w:t>« Dans le calcul des tarifs, il est tenu compte des recettes provenant des déchets de matériaux et des recettes provenant de la préparation des déchets d’emballages en vue de leur réutilisation ainsi que des montants impayés des dépôts de déchets d’emballages.</w:t>
      </w:r>
    </w:p>
    <w:p w14:paraId="00787F9F" w14:textId="77777777" w:rsidR="00FB46F1" w:rsidRPr="00016BD1" w:rsidRDefault="006C5635" w:rsidP="00F225D7">
      <w:pPr>
        <w:pStyle w:val="21NovAo1"/>
      </w:pPr>
      <w:r>
        <w:t>15. Après l’article 9(2), le paragraphe (2a) est inséré comme suit :</w:t>
      </w:r>
    </w:p>
    <w:p w14:paraId="29C4999B" w14:textId="77777777" w:rsidR="00FB46F1" w:rsidRPr="00016BD1" w:rsidRDefault="00FB46F1" w:rsidP="00DE6A60">
      <w:pPr>
        <w:pStyle w:val="51Abs"/>
      </w:pPr>
      <w:r>
        <w:t xml:space="preserve">« (2a) À partir de l’année civile 2023, les systèmes de collecte et de valorisation des emballages ménagers imposent, pour les produits concernés, des surtaxes uniformes nationales ou des moyens de compensation des coûts pour les obligations visées aux articles 18a, paragraphes 1 et 3. Les coûts à supporter ne peuvent pas dépasser les coûts nécessaires à la prestation rentable des services visés aux articles 18a, paragraphes 1 et 3, et sont déterminés en droit civil de manière transparente entre les parties concernées. Les coûts des opérations de nettoyage liées aux déchets sont limités aux activités menées par les autorités publiques ou pour le compte des autorités publiques. La méthode de calcul est conçue de manière à déterminer les coûts liés à l’élimination des déchets d’une manière proportionnée. Afin de maintenir les coûts administratifs aussi bas que possible, les contributions financières aux coûts des opérations de nettoyage peuvent être déterminées par des montants fixes raisonnables, y compris pluriannuels. » </w:t>
      </w:r>
    </w:p>
    <w:p w14:paraId="7645948A" w14:textId="77777777" w:rsidR="00083D36" w:rsidRPr="00016BD1" w:rsidRDefault="006C5635" w:rsidP="006C5635">
      <w:pPr>
        <w:pStyle w:val="21NovAo1"/>
      </w:pPr>
      <w:r>
        <w:t>16. La phrase suivante est ajoutée à l'article 9(3) :</w:t>
      </w:r>
    </w:p>
    <w:p w14:paraId="6660778A" w14:textId="77777777" w:rsidR="00FB46F1" w:rsidRPr="00016BD1" w:rsidRDefault="00FB46F1" w:rsidP="00A9409F">
      <w:pPr>
        <w:pStyle w:val="23SatznachNovao"/>
      </w:pPr>
      <w:r>
        <w:t>« Cette notification doit être accompagnée de l’attestation de l'auditeur concernant le respect des principes tarifaires énoncés à l’article 28c, paragraphe 3 de la loi AWG 2002 en liaison avec l’article 9, paragraphe 2 et du respect de l’interdiction de subventions croisées en vertu de l’article 32, paragraphe 3 de la loi AWG 2002. »</w:t>
      </w:r>
    </w:p>
    <w:p w14:paraId="1DD6E60A" w14:textId="77777777" w:rsidR="007B41B8" w:rsidRPr="00016BD1" w:rsidRDefault="006C5635" w:rsidP="007B41B8">
      <w:pPr>
        <w:pStyle w:val="21NovAo1"/>
      </w:pPr>
      <w:r>
        <w:t>17. À l'article 9, le paragraphe 4 est supprimé et les paragraphes 4a à 4c suivants sont insérés après le paragraphe 4 :</w:t>
      </w:r>
    </w:p>
    <w:p w14:paraId="5843DF9A" w14:textId="77777777" w:rsidR="00FB46F1" w:rsidRPr="00016BD1" w:rsidRDefault="00FB46F1" w:rsidP="00F225D7">
      <w:pPr>
        <w:pStyle w:val="51Abs"/>
      </w:pPr>
      <w:r>
        <w:t>« (4a) Les systèmes de collecte et de valorisation des emballages ménagers doivent enregistrer au moins les proportions d’emballage suivantes au cours de chaque année civile par rapport au taux de participation de tous les systèmes de collecte et de valorisation des emballages ménagers dans le cadre d’une collecte séparée :</w:t>
      </w:r>
    </w:p>
    <w:tbl>
      <w:tblPr>
        <w:tblStyle w:val="TableGrid"/>
        <w:tblW w:w="0" w:type="auto"/>
        <w:tblLook w:val="04A0" w:firstRow="1" w:lastRow="0" w:firstColumn="1" w:lastColumn="0" w:noHBand="0" w:noVBand="1"/>
      </w:tblPr>
      <w:tblGrid>
        <w:gridCol w:w="2590"/>
        <w:gridCol w:w="1476"/>
        <w:gridCol w:w="1476"/>
        <w:gridCol w:w="1476"/>
        <w:gridCol w:w="1476"/>
      </w:tblGrid>
      <w:tr w:rsidR="00F15BF9" w:rsidRPr="00016BD1" w14:paraId="28E122D9" w14:textId="77777777" w:rsidTr="00A9409F">
        <w:tc>
          <w:tcPr>
            <w:tcW w:w="2660" w:type="dxa"/>
          </w:tcPr>
          <w:p w14:paraId="3EE60C35" w14:textId="77777777" w:rsidR="00F15BF9" w:rsidRPr="00016BD1" w:rsidRDefault="00F15BF9" w:rsidP="001D540A">
            <w:pPr>
              <w:pStyle w:val="51Abs"/>
              <w:ind w:firstLine="0"/>
            </w:pPr>
          </w:p>
        </w:tc>
        <w:tc>
          <w:tcPr>
            <w:tcW w:w="1515" w:type="dxa"/>
          </w:tcPr>
          <w:p w14:paraId="1A6F315C" w14:textId="77777777" w:rsidR="00F15BF9" w:rsidRPr="00016BD1" w:rsidRDefault="00F15BF9" w:rsidP="006C3AD6">
            <w:pPr>
              <w:pStyle w:val="61bTabTextZentriert"/>
            </w:pPr>
            <w:r>
              <w:t>à partir de 2022</w:t>
            </w:r>
          </w:p>
        </w:tc>
        <w:tc>
          <w:tcPr>
            <w:tcW w:w="1515" w:type="dxa"/>
          </w:tcPr>
          <w:p w14:paraId="36C563AD" w14:textId="77777777" w:rsidR="00F15BF9" w:rsidRPr="00016BD1" w:rsidRDefault="00F11870" w:rsidP="00F225D7">
            <w:pPr>
              <w:pStyle w:val="61bTabTextZentriert"/>
            </w:pPr>
            <w:r>
              <w:t>à partir de 2023</w:t>
            </w:r>
          </w:p>
        </w:tc>
        <w:tc>
          <w:tcPr>
            <w:tcW w:w="1515" w:type="dxa"/>
          </w:tcPr>
          <w:p w14:paraId="4D8DA1BD" w14:textId="77777777" w:rsidR="00F15BF9" w:rsidRPr="00016BD1" w:rsidRDefault="00F15BF9" w:rsidP="00F225D7">
            <w:pPr>
              <w:pStyle w:val="61bTabTextZentriert"/>
            </w:pPr>
            <w:r>
              <w:t>à partir de 2025</w:t>
            </w:r>
          </w:p>
        </w:tc>
        <w:tc>
          <w:tcPr>
            <w:tcW w:w="1515" w:type="dxa"/>
          </w:tcPr>
          <w:p w14:paraId="4D82AAD9" w14:textId="77777777" w:rsidR="00F15BF9" w:rsidRPr="00016BD1" w:rsidRDefault="00F15BF9" w:rsidP="00F225D7">
            <w:pPr>
              <w:pStyle w:val="61bTabTextZentriert"/>
            </w:pPr>
            <w:r>
              <w:t>à partir de 2030</w:t>
            </w:r>
          </w:p>
        </w:tc>
      </w:tr>
      <w:tr w:rsidR="00F15BF9" w:rsidRPr="00016BD1" w14:paraId="0F10BD86" w14:textId="77777777" w:rsidTr="00A9409F">
        <w:tc>
          <w:tcPr>
            <w:tcW w:w="2660" w:type="dxa"/>
          </w:tcPr>
          <w:p w14:paraId="60029467" w14:textId="77777777" w:rsidR="00F15BF9" w:rsidRPr="00016BD1" w:rsidRDefault="00F15BF9" w:rsidP="00F225D7">
            <w:pPr>
              <w:pStyle w:val="61TabText"/>
            </w:pPr>
            <w:r>
              <w:t>Papier, carton, cartonnage et carton ondulé</w:t>
            </w:r>
          </w:p>
        </w:tc>
        <w:tc>
          <w:tcPr>
            <w:tcW w:w="1515" w:type="dxa"/>
            <w:vAlign w:val="center"/>
          </w:tcPr>
          <w:p w14:paraId="5E042EC0" w14:textId="77777777" w:rsidR="00F15BF9" w:rsidRPr="00016BD1" w:rsidRDefault="00F15BF9" w:rsidP="00F15BF9">
            <w:pPr>
              <w:pStyle w:val="61bTabTextZentriert"/>
            </w:pPr>
            <w:r>
              <w:t>80 %</w:t>
            </w:r>
          </w:p>
        </w:tc>
        <w:tc>
          <w:tcPr>
            <w:tcW w:w="1515" w:type="dxa"/>
            <w:vAlign w:val="center"/>
          </w:tcPr>
          <w:p w14:paraId="618254D7" w14:textId="77777777" w:rsidR="00F15BF9" w:rsidRPr="00016BD1" w:rsidRDefault="00F15BF9" w:rsidP="00F15BF9">
            <w:pPr>
              <w:pStyle w:val="61bTabTextZentriert"/>
            </w:pPr>
            <w:r>
              <w:t>80 %</w:t>
            </w:r>
          </w:p>
        </w:tc>
        <w:tc>
          <w:tcPr>
            <w:tcW w:w="1515" w:type="dxa"/>
            <w:vAlign w:val="center"/>
          </w:tcPr>
          <w:p w14:paraId="5FFD94D2" w14:textId="77777777" w:rsidR="00F15BF9" w:rsidRPr="00016BD1" w:rsidRDefault="00F15BF9" w:rsidP="00F15BF9">
            <w:pPr>
              <w:pStyle w:val="61bTabTextZentriert"/>
            </w:pPr>
            <w:r>
              <w:t>80 %</w:t>
            </w:r>
          </w:p>
        </w:tc>
        <w:tc>
          <w:tcPr>
            <w:tcW w:w="1515" w:type="dxa"/>
            <w:vAlign w:val="center"/>
          </w:tcPr>
          <w:p w14:paraId="1E431887" w14:textId="77777777" w:rsidR="00F15BF9" w:rsidRPr="00016BD1" w:rsidRDefault="00F15BF9" w:rsidP="00F15BF9">
            <w:pPr>
              <w:pStyle w:val="61bTabTextZentriert"/>
            </w:pPr>
            <w:r>
              <w:t>85 %</w:t>
            </w:r>
          </w:p>
        </w:tc>
      </w:tr>
      <w:tr w:rsidR="00F15BF9" w:rsidRPr="00016BD1" w14:paraId="44BACAA7" w14:textId="77777777" w:rsidTr="00A9409F">
        <w:tc>
          <w:tcPr>
            <w:tcW w:w="2660" w:type="dxa"/>
          </w:tcPr>
          <w:p w14:paraId="1043864A" w14:textId="77777777" w:rsidR="00F15BF9" w:rsidRPr="001D540A" w:rsidRDefault="00F15BF9" w:rsidP="00F225D7">
            <w:pPr>
              <w:pStyle w:val="61TabText"/>
            </w:pPr>
            <w:r>
              <w:t>Verre</w:t>
            </w:r>
          </w:p>
        </w:tc>
        <w:tc>
          <w:tcPr>
            <w:tcW w:w="1515" w:type="dxa"/>
            <w:vAlign w:val="center"/>
          </w:tcPr>
          <w:p w14:paraId="098378BD" w14:textId="77777777" w:rsidR="00F15BF9" w:rsidRPr="00016BD1" w:rsidRDefault="00F15BF9" w:rsidP="00F15BF9">
            <w:pPr>
              <w:pStyle w:val="61bTabTextZentriert"/>
            </w:pPr>
            <w:r>
              <w:t>80 %</w:t>
            </w:r>
          </w:p>
        </w:tc>
        <w:tc>
          <w:tcPr>
            <w:tcW w:w="1515" w:type="dxa"/>
            <w:vAlign w:val="center"/>
          </w:tcPr>
          <w:p w14:paraId="13BB9273" w14:textId="77777777" w:rsidR="00F15BF9" w:rsidRPr="00016BD1" w:rsidRDefault="00F15BF9" w:rsidP="00F15BF9">
            <w:pPr>
              <w:pStyle w:val="61bTabTextZentriert"/>
            </w:pPr>
            <w:r>
              <w:t>80 %</w:t>
            </w:r>
          </w:p>
        </w:tc>
        <w:tc>
          <w:tcPr>
            <w:tcW w:w="1515" w:type="dxa"/>
            <w:vAlign w:val="center"/>
          </w:tcPr>
          <w:p w14:paraId="1DEE0A90" w14:textId="77777777" w:rsidR="00F15BF9" w:rsidRPr="00016BD1" w:rsidRDefault="00F15BF9" w:rsidP="00F15BF9">
            <w:pPr>
              <w:pStyle w:val="61bTabTextZentriert"/>
            </w:pPr>
            <w:r>
              <w:t>80 %</w:t>
            </w:r>
          </w:p>
        </w:tc>
        <w:tc>
          <w:tcPr>
            <w:tcW w:w="1515" w:type="dxa"/>
            <w:vAlign w:val="center"/>
          </w:tcPr>
          <w:p w14:paraId="50180669" w14:textId="77777777" w:rsidR="00F15BF9" w:rsidRPr="00016BD1" w:rsidRDefault="00F15BF9" w:rsidP="00F15BF9">
            <w:pPr>
              <w:pStyle w:val="61bTabTextZentriert"/>
            </w:pPr>
            <w:r>
              <w:t>85 %</w:t>
            </w:r>
          </w:p>
        </w:tc>
      </w:tr>
      <w:tr w:rsidR="00F15BF9" w:rsidRPr="00016BD1" w14:paraId="0D6FB99B" w14:textId="77777777" w:rsidTr="00A9409F">
        <w:tc>
          <w:tcPr>
            <w:tcW w:w="2660" w:type="dxa"/>
          </w:tcPr>
          <w:p w14:paraId="4CFD40B5" w14:textId="77777777" w:rsidR="00F15BF9" w:rsidRPr="00016BD1" w:rsidRDefault="00F15BF9" w:rsidP="00F225D7">
            <w:pPr>
              <w:pStyle w:val="61TabText"/>
            </w:pPr>
            <w:r>
              <w:t>Métaux ferreux</w:t>
            </w:r>
          </w:p>
        </w:tc>
        <w:tc>
          <w:tcPr>
            <w:tcW w:w="1515" w:type="dxa"/>
            <w:vMerge w:val="restart"/>
            <w:vAlign w:val="center"/>
          </w:tcPr>
          <w:p w14:paraId="2AA84A01" w14:textId="77777777" w:rsidR="00F15BF9" w:rsidRPr="00016BD1" w:rsidRDefault="00F15BF9" w:rsidP="00F15BF9">
            <w:pPr>
              <w:pStyle w:val="61bTabTextZentriert"/>
            </w:pPr>
            <w:r>
              <w:t>50 %</w:t>
            </w:r>
          </w:p>
        </w:tc>
        <w:tc>
          <w:tcPr>
            <w:tcW w:w="1515" w:type="dxa"/>
            <w:vMerge w:val="restart"/>
            <w:vAlign w:val="center"/>
          </w:tcPr>
          <w:p w14:paraId="152BD192" w14:textId="77777777" w:rsidR="00F15BF9" w:rsidRPr="00016BD1" w:rsidDel="00A434AD" w:rsidRDefault="00F15BF9" w:rsidP="00F15BF9">
            <w:pPr>
              <w:pStyle w:val="61bTabTextZentriert"/>
            </w:pPr>
            <w:r>
              <w:t>60 %</w:t>
            </w:r>
          </w:p>
        </w:tc>
        <w:tc>
          <w:tcPr>
            <w:tcW w:w="1515" w:type="dxa"/>
            <w:vAlign w:val="center"/>
          </w:tcPr>
          <w:p w14:paraId="4D139346" w14:textId="77777777" w:rsidR="00F15BF9" w:rsidRPr="00016BD1" w:rsidRDefault="00F15BF9" w:rsidP="00F15BF9">
            <w:pPr>
              <w:pStyle w:val="61bTabTextZentriert"/>
            </w:pPr>
            <w:r>
              <w:t>65 %</w:t>
            </w:r>
          </w:p>
        </w:tc>
        <w:tc>
          <w:tcPr>
            <w:tcW w:w="1515" w:type="dxa"/>
            <w:vAlign w:val="center"/>
          </w:tcPr>
          <w:p w14:paraId="0305B7FB" w14:textId="77777777" w:rsidR="00F15BF9" w:rsidRPr="00016BD1" w:rsidRDefault="00F15BF9" w:rsidP="00F15BF9">
            <w:pPr>
              <w:pStyle w:val="61bTabTextZentriert"/>
            </w:pPr>
            <w:r>
              <w:t>75 %</w:t>
            </w:r>
          </w:p>
        </w:tc>
      </w:tr>
      <w:tr w:rsidR="00F15BF9" w:rsidRPr="00016BD1" w14:paraId="605D9CCE" w14:textId="77777777" w:rsidTr="00A9409F">
        <w:tc>
          <w:tcPr>
            <w:tcW w:w="2660" w:type="dxa"/>
          </w:tcPr>
          <w:p w14:paraId="1230233D" w14:textId="77777777" w:rsidR="00F15BF9" w:rsidRPr="00016BD1" w:rsidRDefault="00F15BF9" w:rsidP="00F225D7">
            <w:pPr>
              <w:pStyle w:val="61TabText"/>
            </w:pPr>
            <w:r>
              <w:t>Aluminium</w:t>
            </w:r>
          </w:p>
        </w:tc>
        <w:tc>
          <w:tcPr>
            <w:tcW w:w="1515" w:type="dxa"/>
            <w:vMerge/>
            <w:vAlign w:val="center"/>
          </w:tcPr>
          <w:p w14:paraId="5BC4A0EB" w14:textId="77777777" w:rsidR="00F15BF9" w:rsidRPr="00016BD1" w:rsidRDefault="00F15BF9">
            <w:pPr>
              <w:pStyle w:val="61bTabTextZentriert"/>
            </w:pPr>
          </w:p>
        </w:tc>
        <w:tc>
          <w:tcPr>
            <w:tcW w:w="1515" w:type="dxa"/>
            <w:vMerge/>
            <w:vAlign w:val="center"/>
          </w:tcPr>
          <w:p w14:paraId="215E3555" w14:textId="77777777" w:rsidR="00F15BF9" w:rsidRPr="00016BD1" w:rsidRDefault="00F15BF9">
            <w:pPr>
              <w:pStyle w:val="61bTabTextZentriert"/>
            </w:pPr>
          </w:p>
        </w:tc>
        <w:tc>
          <w:tcPr>
            <w:tcW w:w="1515" w:type="dxa"/>
            <w:vAlign w:val="center"/>
          </w:tcPr>
          <w:p w14:paraId="3630CF2D" w14:textId="77777777" w:rsidR="00F15BF9" w:rsidRPr="00016BD1" w:rsidRDefault="00E8776B">
            <w:pPr>
              <w:pStyle w:val="61bTabTextZentriert"/>
            </w:pPr>
            <w:r>
              <w:t>65 %</w:t>
            </w:r>
          </w:p>
        </w:tc>
        <w:tc>
          <w:tcPr>
            <w:tcW w:w="1515" w:type="dxa"/>
            <w:vAlign w:val="center"/>
          </w:tcPr>
          <w:p w14:paraId="0988CE43" w14:textId="77777777" w:rsidR="00F15BF9" w:rsidRPr="00016BD1" w:rsidRDefault="00E8776B">
            <w:pPr>
              <w:pStyle w:val="61bTabTextZentriert"/>
            </w:pPr>
            <w:r>
              <w:t>75 %</w:t>
            </w:r>
          </w:p>
        </w:tc>
      </w:tr>
      <w:tr w:rsidR="00F15BF9" w:rsidRPr="00016BD1" w14:paraId="64D06220" w14:textId="77777777" w:rsidTr="00A9409F">
        <w:tc>
          <w:tcPr>
            <w:tcW w:w="2660" w:type="dxa"/>
          </w:tcPr>
          <w:p w14:paraId="02557B15" w14:textId="77777777" w:rsidR="00F15BF9" w:rsidRPr="00016BD1" w:rsidRDefault="00F15BF9" w:rsidP="00F225D7">
            <w:pPr>
              <w:pStyle w:val="61TabText"/>
            </w:pPr>
            <w:r>
              <w:t>Matière plastique</w:t>
            </w:r>
          </w:p>
        </w:tc>
        <w:tc>
          <w:tcPr>
            <w:tcW w:w="1515" w:type="dxa"/>
            <w:vAlign w:val="center"/>
          </w:tcPr>
          <w:p w14:paraId="245F8BDA" w14:textId="77777777" w:rsidR="00F15BF9" w:rsidRPr="00016BD1" w:rsidRDefault="00F15BF9" w:rsidP="00F15BF9">
            <w:pPr>
              <w:pStyle w:val="61bTabTextZentriert"/>
            </w:pPr>
            <w:r>
              <w:t>60 %</w:t>
            </w:r>
          </w:p>
        </w:tc>
        <w:tc>
          <w:tcPr>
            <w:tcW w:w="1515" w:type="dxa"/>
            <w:vAlign w:val="center"/>
          </w:tcPr>
          <w:p w14:paraId="0084FF05" w14:textId="77777777" w:rsidR="00F15BF9" w:rsidRPr="00016BD1" w:rsidRDefault="00F15BF9" w:rsidP="00F15BF9">
            <w:pPr>
              <w:pStyle w:val="61bTabTextZentriert"/>
            </w:pPr>
            <w:r>
              <w:t>75 %</w:t>
            </w:r>
          </w:p>
        </w:tc>
        <w:tc>
          <w:tcPr>
            <w:tcW w:w="1515" w:type="dxa"/>
            <w:vAlign w:val="center"/>
          </w:tcPr>
          <w:p w14:paraId="09381E9D" w14:textId="77777777" w:rsidR="00F15BF9" w:rsidRPr="00016BD1" w:rsidRDefault="00F373EF" w:rsidP="00AF75A0">
            <w:pPr>
              <w:pStyle w:val="61bTabTextZentriert"/>
            </w:pPr>
            <w:r>
              <w:t>80 %</w:t>
            </w:r>
          </w:p>
        </w:tc>
        <w:tc>
          <w:tcPr>
            <w:tcW w:w="1515" w:type="dxa"/>
            <w:vAlign w:val="center"/>
          </w:tcPr>
          <w:p w14:paraId="48FB1E90" w14:textId="77777777" w:rsidR="00F15BF9" w:rsidRPr="00016BD1" w:rsidRDefault="00F373EF" w:rsidP="00F15BF9">
            <w:pPr>
              <w:pStyle w:val="61bTabTextZentriert"/>
            </w:pPr>
            <w:r>
              <w:t>85 %</w:t>
            </w:r>
          </w:p>
        </w:tc>
      </w:tr>
      <w:tr w:rsidR="00F15BF9" w:rsidRPr="00016BD1" w14:paraId="1B38CB69" w14:textId="77777777" w:rsidTr="00A9409F">
        <w:tc>
          <w:tcPr>
            <w:tcW w:w="2660" w:type="dxa"/>
          </w:tcPr>
          <w:p w14:paraId="295145AF" w14:textId="77777777" w:rsidR="00F15BF9" w:rsidRPr="00016BD1" w:rsidRDefault="00F15BF9" w:rsidP="00F225D7">
            <w:pPr>
              <w:pStyle w:val="61TabText"/>
            </w:pPr>
            <w:r>
              <w:t>Cartons composites pour boissons</w:t>
            </w:r>
          </w:p>
        </w:tc>
        <w:tc>
          <w:tcPr>
            <w:tcW w:w="1515" w:type="dxa"/>
            <w:vAlign w:val="center"/>
          </w:tcPr>
          <w:p w14:paraId="2DEB1F2B" w14:textId="77777777" w:rsidR="00F15BF9" w:rsidRPr="00016BD1" w:rsidRDefault="00F15BF9" w:rsidP="00F15BF9">
            <w:pPr>
              <w:pStyle w:val="61bTabTextZentriert"/>
            </w:pPr>
            <w:r>
              <w:t>50 %</w:t>
            </w:r>
          </w:p>
        </w:tc>
        <w:tc>
          <w:tcPr>
            <w:tcW w:w="1515" w:type="dxa"/>
            <w:vAlign w:val="center"/>
          </w:tcPr>
          <w:p w14:paraId="3017913C" w14:textId="77777777" w:rsidR="00F15BF9" w:rsidRPr="00016BD1" w:rsidRDefault="00F15BF9" w:rsidP="00F15BF9">
            <w:pPr>
              <w:pStyle w:val="61bTabTextZentriert"/>
            </w:pPr>
            <w:r>
              <w:t>60 %</w:t>
            </w:r>
          </w:p>
        </w:tc>
        <w:tc>
          <w:tcPr>
            <w:tcW w:w="1515" w:type="dxa"/>
            <w:vAlign w:val="center"/>
          </w:tcPr>
          <w:p w14:paraId="132B71C2" w14:textId="77777777" w:rsidR="00F15BF9" w:rsidRPr="00016BD1" w:rsidRDefault="00F15BF9" w:rsidP="00F15BF9">
            <w:pPr>
              <w:pStyle w:val="61bTabTextZentriert"/>
            </w:pPr>
            <w:r>
              <w:t>80 %</w:t>
            </w:r>
          </w:p>
        </w:tc>
        <w:tc>
          <w:tcPr>
            <w:tcW w:w="1515" w:type="dxa"/>
            <w:vAlign w:val="center"/>
          </w:tcPr>
          <w:p w14:paraId="04B7D37B" w14:textId="77777777" w:rsidR="00F15BF9" w:rsidRPr="00016BD1" w:rsidRDefault="00F15BF9" w:rsidP="00F15BF9">
            <w:pPr>
              <w:pStyle w:val="61bTabTextZentriert"/>
            </w:pPr>
            <w:r>
              <w:t>80 %</w:t>
            </w:r>
          </w:p>
        </w:tc>
      </w:tr>
    </w:tbl>
    <w:p w14:paraId="6CE037AF" w14:textId="77777777" w:rsidR="00FB46F1" w:rsidRPr="00016BD1" w:rsidRDefault="00FB46F1" w:rsidP="00F225D7">
      <w:pPr>
        <w:pStyle w:val="58Schlussteile0Abs"/>
      </w:pPr>
      <w:r>
        <w:t>Pour ces parts, il n’est pas tenu compte des matériaux étrangers, matériaux ou emballages qui ne sont pas soumis à la présente Ordonnance. Pour les métaux ferreux et l’aluminium, les masses provenant de la récupération des cendres du sol par récupération thermique peuvent être incluses.</w:t>
      </w:r>
    </w:p>
    <w:p w14:paraId="70C52BC8" w14:textId="77777777" w:rsidR="00115630" w:rsidRPr="00016BD1" w:rsidRDefault="00FB46F1" w:rsidP="00F225D7">
      <w:pPr>
        <w:pStyle w:val="51Abs"/>
      </w:pPr>
      <w:r>
        <w:t>(4b) Les systèmes de collecte et de valorisation des emballages ménagers doivent fournir une capacité d'acceptation suffisante aux ménages privés et aux sources de production comparables dans chaque région de collecte et collecter les emballages ménagers séparément à partir de l'année civile 2023 conformément aux catégories de collecte énumérées à l'</w:t>
      </w:r>
      <w:r>
        <w:rPr>
          <w:b/>
        </w:rPr>
        <w:t>annexe 5</w:t>
      </w:r>
      <w:r>
        <w:t>, point 1; une collecte commune d’emballages légers et de métaux est autorisée. À partir de l'année civile 2025, les emballages légers et les métaux doivent être collectés ensemble.</w:t>
      </w:r>
    </w:p>
    <w:p w14:paraId="572D978F" w14:textId="77777777" w:rsidR="00F11870" w:rsidRPr="00016BD1" w:rsidRDefault="00C96F84" w:rsidP="006C5635">
      <w:pPr>
        <w:pStyle w:val="51Abs"/>
      </w:pPr>
      <w:r>
        <w:t>(4c) Par dérogation au paragraphe 4b une collecte séparée plus différenciée peut avoir lieu dans les centres de collecte des déchets. »</w:t>
      </w:r>
    </w:p>
    <w:p w14:paraId="0B1C2531" w14:textId="77777777" w:rsidR="00FB46F1" w:rsidRPr="00016BD1" w:rsidRDefault="006C5635" w:rsidP="00F225D7">
      <w:pPr>
        <w:pStyle w:val="21NovAo1"/>
      </w:pPr>
      <w:r>
        <w:t>18. Le paragraphe 5 de l’article 9 est supprimé et le paragraphe 5a suivant est inséré après le paragraphe 5 :</w:t>
      </w:r>
    </w:p>
    <w:p w14:paraId="51CB6CEA" w14:textId="77777777" w:rsidR="00097B81" w:rsidRPr="00016BD1" w:rsidRDefault="00FB46F1" w:rsidP="00F225D7">
      <w:pPr>
        <w:pStyle w:val="51Abs"/>
      </w:pPr>
      <w:r>
        <w:t>« (5a) Les systèmes de collecte et de valorisation des emballages ménagers doivent, à partir de l’année civile 2022, envoyer l’emballage collecté séparément ou autrement accepté qui est recyclable à une usine de recyclage. Lorsque plusieurs matériaux d’emballage ou matériaux d'emballage composites sont collectés ensemble dans la collecte séparée, ils sont recyclés indépendamment du champ d’application du système de collecte et de valorisation visé à la première phrase, sauf si la part du matériau d’emballage ou des matériaux d'emballage composites concernés dans la collecte séparée est inférieure à 1 % de la masse totale de cette fraction de collecte. Les systèmes de collecte et de valorisation des emballages ménagers, compte tenu de :</w:t>
      </w:r>
    </w:p>
    <w:p w14:paraId="041E3BFB" w14:textId="77777777" w:rsidR="00097B81" w:rsidRPr="00016BD1" w:rsidRDefault="00097B81" w:rsidP="00097B81">
      <w:pPr>
        <w:pStyle w:val="52Aufzaehle1Ziffer"/>
      </w:pPr>
      <w:r>
        <w:tab/>
        <w:t>1.</w:t>
      </w:r>
      <w:r>
        <w:tab/>
        <w:t>la méthode de calcul de l’article 5, paragraphe 6,</w:t>
      </w:r>
    </w:p>
    <w:p w14:paraId="16EFC009" w14:textId="77777777" w:rsidR="00B333BC" w:rsidRPr="00016BD1" w:rsidRDefault="00097B81" w:rsidP="00097B81">
      <w:pPr>
        <w:pStyle w:val="52Aufzaehle1Ziffer"/>
      </w:pPr>
      <w:r>
        <w:tab/>
        <w:t>2.</w:t>
      </w:r>
      <w:r>
        <w:tab/>
        <w:t xml:space="preserve">les masses recyclées d’emballages jetables pour boissons en consigne conformément à une ordonnance en vertu de l’article 14c de l’AWG 2002 ; et </w:t>
      </w:r>
    </w:p>
    <w:p w14:paraId="06A6E76C" w14:textId="77777777" w:rsidR="00097B81" w:rsidRPr="00016BD1" w:rsidRDefault="00B333BC" w:rsidP="00B333BC">
      <w:pPr>
        <w:pStyle w:val="52Aufzaehle1Ziffer"/>
      </w:pPr>
      <w:r>
        <w:tab/>
        <w:t>3.</w:t>
      </w:r>
      <w:r>
        <w:tab/>
        <w:t>leur part de marché</w:t>
      </w:r>
    </w:p>
    <w:p w14:paraId="4C08DF05" w14:textId="77777777" w:rsidR="00FB46F1" w:rsidRPr="00016BD1" w:rsidRDefault="00FB46F1" w:rsidP="00097B81">
      <w:pPr>
        <w:pStyle w:val="58Schlussteile0Abs"/>
      </w:pPr>
      <w:r>
        <w:t>doit garantir que les objectifs de recyclage respectifs fixés à l’article 5, par rapport à la masse des emballages ménagers mis sur le marché en Autriche au cours de l’année civile respective, sont atteints pour l’ensemble de l’Autriche. Pour les emballages en plastique, un taux de recyclage d’au moins 50 % est déjà atteint en 2023 et un taux de recyclage d’au moins 55 % de la masse couverte conformément au paragraphe 4a en 2024. »</w:t>
      </w:r>
    </w:p>
    <w:p w14:paraId="0B6092EB" w14:textId="77777777" w:rsidR="00FB46F1" w:rsidRPr="00016BD1" w:rsidRDefault="006C5635" w:rsidP="00F225D7">
      <w:pPr>
        <w:pStyle w:val="21NovAo1"/>
      </w:pPr>
      <w:r>
        <w:t xml:space="preserve">19. À l’article 9, paragraphe 6, les mots suivants </w:t>
      </w:r>
      <w:r>
        <w:rPr>
          <w:i w:val="0"/>
        </w:rPr>
        <w:t>« qui ont été acceptés dans le cadre des opérations de nettoyage par les municipalités et les associations municipales »</w:t>
      </w:r>
      <w:r>
        <w:t xml:space="preserve"> sont insérés après les mots </w:t>
      </w:r>
      <w:r>
        <w:rPr>
          <w:i w:val="0"/>
        </w:rPr>
        <w:t>« de chacune des collectes séparées »</w:t>
      </w:r>
      <w:r>
        <w:t xml:space="preserve"> et le sous-alinéa 1a suivant est ajouté après sous-alinéa 1 :</w:t>
      </w:r>
    </w:p>
    <w:p w14:paraId="12F0FB85" w14:textId="77777777" w:rsidR="00FB46F1" w:rsidRPr="00016BD1" w:rsidRDefault="00FB46F1" w:rsidP="00F225D7">
      <w:pPr>
        <w:pStyle w:val="52Aufzaehle1Ziffer"/>
      </w:pPr>
      <w:r>
        <w:tab/>
        <w:t>« 1a.</w:t>
      </w:r>
      <w:r>
        <w:tab/>
        <w:t>confirmation de la qualité des données recueillies et notifiées conformément aux sous-alinéas 1 et 3 ainsi qu’à l'article 22. Ce rapport est approuvé par un expert externe agréé pour la première fois pour l’année civile 2022 puis au moins tous les trois ans. »</w:t>
      </w:r>
    </w:p>
    <w:p w14:paraId="41EDCEFE" w14:textId="77777777" w:rsidR="00FB46F1" w:rsidRPr="00016BD1" w:rsidRDefault="006C5635" w:rsidP="00F225D7">
      <w:pPr>
        <w:pStyle w:val="21NovAo1"/>
      </w:pPr>
      <w:r>
        <w:t>20. L'article 9 (7) est formulé comme suit :</w:t>
      </w:r>
    </w:p>
    <w:p w14:paraId="5B2AD085" w14:textId="77777777" w:rsidR="00FB46F1" w:rsidRPr="00016BD1" w:rsidRDefault="00FB46F1" w:rsidP="00F225D7">
      <w:pPr>
        <w:pStyle w:val="51Abs"/>
      </w:pPr>
      <w:r>
        <w:t xml:space="preserve">« (7) En outre, les systèmes de collecte et de valorisation des emballages ménagers transmettent, au plus tard le 10 septembre de chaque année, au ministre fédéral de l’action pour le climat, de l’environnement, de l’énergie, de la mobilité, de l’innovation et de la technologie, un rapport annuel contenant les états financiers annuels et les notes explicatives pour l’année civile précédente, comprenant un rapport de gestion et une vue d’ensemble du coût final des tarifs applicables au cours de l’année civile précédente. Dans le rapport annuel, les revenus des licences sont indiqués séparément par secteur d’activité. Toute modification de la structure de propriété ou toute modification envisagée des conditions générales </w:t>
      </w:r>
      <w:r>
        <w:lastRenderedPageBreak/>
        <w:t>est immédiatement notifiée au Ministre fédéral de l’action pour le climat, de l’environnement, de l’énergie, de la mobilité, de l’innovation et de la technologie. »</w:t>
      </w:r>
    </w:p>
    <w:p w14:paraId="148E6DE3" w14:textId="77777777" w:rsidR="00FB46F1" w:rsidRPr="00016BD1" w:rsidRDefault="006C5635" w:rsidP="00F225D7">
      <w:pPr>
        <w:pStyle w:val="21NovAo1"/>
      </w:pPr>
      <w:r>
        <w:t>21. Après l’article 9(7), le paragraphe (7a) est inséré comme suit :</w:t>
      </w:r>
    </w:p>
    <w:p w14:paraId="371A62B3" w14:textId="77777777" w:rsidR="00FB46F1" w:rsidRPr="00016BD1" w:rsidRDefault="00FB46F1" w:rsidP="00F225D7">
      <w:pPr>
        <w:pStyle w:val="51Abs"/>
      </w:pPr>
      <w:r>
        <w:t>« (7a) Les systèmes de collecte et de valorisation comportent, avec le rapport annuel, une confirmation par l’auditeur</w:t>
      </w:r>
    </w:p>
    <w:p w14:paraId="0A494093" w14:textId="77777777" w:rsidR="00FB46F1" w:rsidRPr="00016BD1" w:rsidRDefault="00FB46F1" w:rsidP="00F225D7">
      <w:pPr>
        <w:pStyle w:val="52Aufzaehle1Ziffer"/>
      </w:pPr>
      <w:r>
        <w:tab/>
        <w:t>1.</w:t>
      </w:r>
      <w:r>
        <w:tab/>
        <w:t>du respect des principes tarifaires énoncés à l’article 28c(3) de la loi AWG 2002 en liaison avec l’article 9(2), y compris le coût final des tarifs applicables au cours de l’année civile précédente,</w:t>
      </w:r>
    </w:p>
    <w:p w14:paraId="373F0F2F" w14:textId="77777777" w:rsidR="00FB46F1" w:rsidRPr="00016BD1" w:rsidRDefault="00FB46F1" w:rsidP="00F225D7">
      <w:pPr>
        <w:pStyle w:val="52Aufzaehle1Ziffer"/>
      </w:pPr>
      <w:r>
        <w:tab/>
        <w:t>2.</w:t>
      </w:r>
      <w:r>
        <w:tab/>
        <w:t>du respect de l’interdiction des subventions croisées en vertu de l’article 32(3) de la loi AWG 2002, et</w:t>
      </w:r>
    </w:p>
    <w:p w14:paraId="0936585E" w14:textId="77777777" w:rsidR="00FB46F1" w:rsidRPr="00016BD1" w:rsidRDefault="00FB46F1" w:rsidP="00F225D7">
      <w:pPr>
        <w:pStyle w:val="52Aufzaehle1Ziffer"/>
      </w:pPr>
      <w:r>
        <w:tab/>
        <w:t>3.</w:t>
      </w:r>
      <w:r>
        <w:tab/>
        <w:t>de la garantie financière suffisante conformément à l'article 29(2) sous-alinéa 8 de la loi AWG 2002, précisant le montant et la nature de la garantie.’</w:t>
      </w:r>
    </w:p>
    <w:p w14:paraId="04E8BCE8" w14:textId="77777777" w:rsidR="00FB46F1" w:rsidRPr="00016BD1" w:rsidRDefault="00FB46F1" w:rsidP="00F225D7">
      <w:pPr>
        <w:pStyle w:val="58Schlussteile0Abs"/>
      </w:pPr>
    </w:p>
    <w:p w14:paraId="6FA3D0F1" w14:textId="77777777" w:rsidR="00FB46F1" w:rsidRPr="00016BD1" w:rsidRDefault="006C5635" w:rsidP="00F225D7">
      <w:pPr>
        <w:pStyle w:val="22NovAo2"/>
      </w:pPr>
      <w:r>
        <w:t>22. L’article 9(8) est supprimé.</w:t>
      </w:r>
    </w:p>
    <w:p w14:paraId="7A93A462" w14:textId="77777777" w:rsidR="00FB46F1" w:rsidRPr="00016BD1" w:rsidRDefault="006C5635" w:rsidP="00F225D7">
      <w:pPr>
        <w:pStyle w:val="21NovAo1"/>
      </w:pPr>
      <w:r>
        <w:t>23. Le titre de l'article 10 est formulé comme suit :</w:t>
      </w:r>
    </w:p>
    <w:p w14:paraId="0D16471B" w14:textId="77777777" w:rsidR="00FB46F1" w:rsidRPr="00016BD1" w:rsidRDefault="00FB46F1" w:rsidP="00F225D7">
      <w:pPr>
        <w:pStyle w:val="45UeberschrPara"/>
      </w:pPr>
      <w:r>
        <w:t>« Obligations des entités soumises à des obligations primaires pour l’emballage commercial »</w:t>
      </w:r>
    </w:p>
    <w:p w14:paraId="2AB281E5" w14:textId="77777777" w:rsidR="00FB46F1" w:rsidRPr="00016BD1" w:rsidRDefault="006C5635" w:rsidP="00F225D7">
      <w:pPr>
        <w:pStyle w:val="21NovAo1"/>
      </w:pPr>
      <w:r>
        <w:t>24. Les paragraphes 1 à 5 de l'article 10 sont formulés comme suit :</w:t>
      </w:r>
    </w:p>
    <w:p w14:paraId="1D2DF2AE" w14:textId="77777777" w:rsidR="00FB46F1" w:rsidRPr="00016BD1" w:rsidRDefault="00FB46F1" w:rsidP="00F225D7">
      <w:pPr>
        <w:pStyle w:val="51Abs"/>
      </w:pPr>
      <w:r>
        <w:t>« (1) Les entités soumises à des obligations primaires en vertu de l’article 13 g, paragraphe 1, sous-paragraphe 1 à 3 de l’AWG 2002 participent à un système de collecte et de valorisation des emballages commerciaux, sans préjudice de l’obligation supplémentaire imposée au distributeur final en vertu de l’article 11 pour les emballages commerciaux qu’elles mettent sur le marché. Cela ne s'applique pas dans les cas où il existe une exception en vertu de l'article 13 g(3) de la loi AWG 2002.</w:t>
      </w:r>
    </w:p>
    <w:p w14:paraId="06C3B171" w14:textId="77777777" w:rsidR="00FB46F1" w:rsidRPr="00016BD1" w:rsidRDefault="00FB46F1" w:rsidP="00F225D7">
      <w:pPr>
        <w:pStyle w:val="51Abs"/>
      </w:pPr>
      <w:r>
        <w:t>(2) Les entités soumises à des obligations primaires en vertu de l’article 13 g, paragraphe 1 sous-alinéa 1 à 3 de l’AWG 2002 informeront la prochaine étape de distribution de leur participation à un système de collecte et de valorisation des emballages commerciaux d’une manière appropriée, en indiquant également le nom du système de collecte et de valorisation et de la catégorie tarifaire, au moins une fois par an ou en cas de changement majeur, sur les documents de commande ou de livraison, par exemple.</w:t>
      </w:r>
    </w:p>
    <w:p w14:paraId="1C7AE052" w14:textId="77777777" w:rsidR="00FB46F1" w:rsidRPr="00016BD1" w:rsidRDefault="00FB46F1" w:rsidP="00F225D7">
      <w:pPr>
        <w:pStyle w:val="51Abs"/>
      </w:pPr>
      <w:r>
        <w:t>(3) Les distributeurs d’emballages commerciaux informeront de manière appropriée l’étape suivante de la distribution de la participation de l’entité soumise à des obligations primaires conformément à l’article 13 g, paragraphe 1, sous-alinéas 1 à 3 de l’AWG 2002, en indiquant également le nom du système de collecte et de valorisation et la catégorie tarifaire, au moins une fois par an ou en cas de changement majeur, sur les documents de commande ou de livraison, par exemple.</w:t>
      </w:r>
    </w:p>
    <w:p w14:paraId="30FC59F8" w14:textId="77777777" w:rsidR="00FB46F1" w:rsidRPr="00016BD1" w:rsidRDefault="00FB46F1" w:rsidP="00F225D7">
      <w:pPr>
        <w:pStyle w:val="51Abs"/>
      </w:pPr>
      <w:r>
        <w:t>(4) Dans le cas de la participation d'une phase de distribution en amont ou en aval de l'entité soumise à des obligations primaires conformément à l'article 13g(1) sous-alinéas 1 à 3 de la loi AWG 2002, le participant fournit à l'entité soumise à des obligations primaires la preuve sous la forme d'une déclaration de participation juridiquement contraignante. Cette déclaration juridiquement contraignante comprend le nom du système de collecte et de valorisation, la période et la catégorie tarifaire ainsi que le degré de participation et est fournie au moins une fois par an ou en cas de changement majeur. Elle peut être fournie, en particulier, sur la facture ou le bon de livraison correspondant. Les entités soumises à des obligations primaires en vertu de l’article 13 g(1) sous-alinéas 1 à 3 de la loi AWG 2002 conservent les preuves qui leur sont envoyées pendant au moins sept ans et les soumettent à l’autorité qui en fait la demande.</w:t>
      </w:r>
    </w:p>
    <w:p w14:paraId="5C145110" w14:textId="77777777" w:rsidR="00FB46F1" w:rsidRPr="00016BD1" w:rsidRDefault="00FB46F1" w:rsidP="00F225D7">
      <w:pPr>
        <w:pStyle w:val="51Abs"/>
      </w:pPr>
      <w:r>
        <w:t>(5) Les entités soumises à des obligations primaires en vertu de l’article 13 g, paragraphe 1, sous-alinéas 1 à 3 de l’AWG 2002 enregistrent les emballages commerciaux, dans la mesure où ils sont livrés à de grandes sources de production de déchets et pour lesquels il n’y a pas de participation à un système de collecte et de valorisation, séparément par grande source de production de déchets et ventilés par matériau d’emballage et emballage composite et la masse respective. Ces dossiers doivent être soumis à tout moment, sur demande, au ministre fédéral de l’action pour le climat, de l’environnement, de l’énergie, de la mobilité, de l’innovation et de la technologie. » Les notifications pour l’année civile 2021 sont soumises conformément à l’</w:t>
      </w:r>
      <w:r>
        <w:rPr>
          <w:b/>
        </w:rPr>
        <w:t>annexe 3</w:t>
      </w:r>
      <w:r>
        <w:t xml:space="preserve">, conformément à l’ordonnance de 2014 sur les emballages, </w:t>
      </w:r>
      <w:proofErr w:type="spellStart"/>
      <w:r>
        <w:t>BGBl</w:t>
      </w:r>
      <w:proofErr w:type="spellEnd"/>
      <w:r>
        <w:t>. II no 184/2014. »</w:t>
      </w:r>
    </w:p>
    <w:p w14:paraId="1276C814" w14:textId="77777777" w:rsidR="00FB46F1" w:rsidRPr="00016BD1" w:rsidRDefault="006C5635" w:rsidP="00F225D7">
      <w:pPr>
        <w:pStyle w:val="22NovAo2"/>
      </w:pPr>
      <w:r>
        <w:t>25. Les paragraphes 6 et 7 de l’article 10 sont supprimés.</w:t>
      </w:r>
    </w:p>
    <w:p w14:paraId="71E66501" w14:textId="77777777" w:rsidR="00FB46F1" w:rsidRPr="00016BD1" w:rsidRDefault="006C5635" w:rsidP="00F225D7">
      <w:pPr>
        <w:pStyle w:val="21NovAo1"/>
      </w:pPr>
      <w:r>
        <w:t>26. Le paragraphe 8 est ajouté à l'article 10 comme suit :</w:t>
      </w:r>
    </w:p>
    <w:p w14:paraId="2EBDCAFB" w14:textId="77777777" w:rsidR="00FB46F1" w:rsidRPr="00016BD1" w:rsidRDefault="00FB46F1" w:rsidP="00F225D7">
      <w:pPr>
        <w:pStyle w:val="51Abs"/>
      </w:pPr>
      <w:r>
        <w:t xml:space="preserve">« (8) Les entités soumises à des obligations primaires pour les emballages commerciaux conformément à l'article 13 g, paragraphe 1, sous-alinéas 1 à 3 de l’AWG 2002 pour lesquelles il n’y a pas </w:t>
      </w:r>
      <w:r>
        <w:lastRenderedPageBreak/>
        <w:t>de participation à un système de collecte et de valorisation soumettent les notifications pour l’année civile 2022 conformément à l’</w:t>
      </w:r>
      <w:r>
        <w:rPr>
          <w:b/>
        </w:rPr>
        <w:t>annexe 3</w:t>
      </w:r>
      <w:r>
        <w:t xml:space="preserve"> telle que modifiée par l’ordonnance de 2014 relative aux emballages, </w:t>
      </w:r>
      <w:proofErr w:type="spellStart"/>
      <w:r>
        <w:t>BGBl</w:t>
      </w:r>
      <w:proofErr w:type="spellEnd"/>
      <w:r>
        <w:t>. II n° 184/2014. »</w:t>
      </w:r>
    </w:p>
    <w:p w14:paraId="4220BD26" w14:textId="77777777" w:rsidR="00FB46F1" w:rsidRPr="00016BD1" w:rsidRDefault="006C5635" w:rsidP="00F225D7">
      <w:pPr>
        <w:pStyle w:val="21NovAo1"/>
      </w:pPr>
      <w:r>
        <w:t>27. L’article 11 est formulé comme suit :</w:t>
      </w:r>
    </w:p>
    <w:p w14:paraId="7D053CF5" w14:textId="77777777" w:rsidR="00FB46F1" w:rsidRPr="00016BD1" w:rsidRDefault="00FB46F1" w:rsidP="00F225D7">
      <w:pPr>
        <w:pStyle w:val="51Abs"/>
      </w:pPr>
      <w:r>
        <w:t>« </w:t>
      </w:r>
      <w:r>
        <w:rPr>
          <w:rStyle w:val="991GldSymbol"/>
        </w:rPr>
        <w:t>Article 11.</w:t>
      </w:r>
      <w:r>
        <w:t xml:space="preserve"> (1) Toute partie qui fournit également des emballages commerciaux aux consommateurs finaux (distributeurs finaux) doit, en tout état de cause, participer de façon manifeste à un système de collecte et de valorisation de ces emballages, à moins qu’une phase de distribution en amont ne participe déjà à un système de collecte et de valorisation de l’emballage commercial fourni et le confirme par écrit. L’article 10, paragraphe 5, s’applique à un distributeur final qui livre à une grande source de production de déchets.</w:t>
      </w:r>
    </w:p>
    <w:p w14:paraId="4D008142" w14:textId="77777777" w:rsidR="00FB46F1" w:rsidRPr="00016BD1" w:rsidRDefault="00FB46F1" w:rsidP="00F225D7">
      <w:pPr>
        <w:pStyle w:val="51Abs"/>
      </w:pPr>
      <w:r>
        <w:t>(2) La déclaration juridiquement contraignante de la phase de distribution en amont respective, selon laquelle elle assure l’exécution de l’obligation dans la mesure déclarée, est considérée comme une preuve. Cette déclaration juridiquement contraignante doit être faite au moins une fois par an ou en cas de changement majeur et peut être fournie, en particulier, sur la facture ou le bon de livraison correspondant. Les distributeurs finaux conservent les déclarations juridiquement contraignantes qui leur ont été envoyées pendant au moins sept ans et les soumettent à l’autorité qui en fait la demande. »</w:t>
      </w:r>
    </w:p>
    <w:p w14:paraId="276B9D5D" w14:textId="77777777" w:rsidR="00FB46F1" w:rsidRPr="00016BD1" w:rsidRDefault="006C5635" w:rsidP="00F225D7">
      <w:pPr>
        <w:pStyle w:val="22NovAo2"/>
      </w:pPr>
      <w:r>
        <w:t>28. L’article 12 et son titre sont supprimés.</w:t>
      </w:r>
    </w:p>
    <w:p w14:paraId="6680D133" w14:textId="77777777" w:rsidR="007B41B8" w:rsidRPr="00016BD1" w:rsidRDefault="006C5635" w:rsidP="007B41B8">
      <w:pPr>
        <w:pStyle w:val="21NovAo1"/>
      </w:pPr>
      <w:r>
        <w:t xml:space="preserve">29. À l’article 13, paragraphe 2, sous-alinéa 2, les mots </w:t>
      </w:r>
      <w:r>
        <w:rPr>
          <w:i w:val="0"/>
        </w:rPr>
        <w:t>« pour la collecte et »</w:t>
      </w:r>
      <w:r>
        <w:t xml:space="preserve"> sont remplacés par les mots </w:t>
      </w:r>
      <w:r>
        <w:rPr>
          <w:i w:val="0"/>
        </w:rPr>
        <w:t>« pour la collecte à partir de la source de génération et le »</w:t>
      </w:r>
      <w:r>
        <w:t xml:space="preserve"> et la phrase suivante est ajoutée :</w:t>
      </w:r>
    </w:p>
    <w:p w14:paraId="76E67840" w14:textId="77777777" w:rsidR="00FB46F1" w:rsidRPr="00016BD1" w:rsidRDefault="00FB46F1" w:rsidP="00A9409F">
      <w:pPr>
        <w:pStyle w:val="23SatznachNovao"/>
      </w:pPr>
      <w:r>
        <w:t>« Dans le calcul des tarifs, il est tenu compte des recettes provenant des déchets de matériaux et des recettes provenant de la préparation des déchets d’emballages en vue de leur réutilisation ainsi que des montants impayés des dépôts de déchets d’emballages.</w:t>
      </w:r>
    </w:p>
    <w:p w14:paraId="02A03095" w14:textId="77777777" w:rsidR="00FB46F1" w:rsidRPr="00016BD1" w:rsidRDefault="006C5635" w:rsidP="00F225D7">
      <w:pPr>
        <w:pStyle w:val="21NovAo1"/>
      </w:pPr>
      <w:r>
        <w:t>30. La phrase suivante est ajoutée à l'article 13(3) :</w:t>
      </w:r>
    </w:p>
    <w:p w14:paraId="56746505" w14:textId="77777777" w:rsidR="00FB46F1" w:rsidRPr="00016BD1" w:rsidRDefault="00FB46F1" w:rsidP="00A9409F">
      <w:pPr>
        <w:pStyle w:val="23SatznachNovao"/>
      </w:pPr>
      <w:r>
        <w:t>« Les systèmes de collecte et de valorisation comprennent, avec le rapport annuel, l’attestation de l’auditeur concernant le respect des principes tarifaires énoncés à l’article 28c, paragraphe 3, de l’AWG 2002, en liaison avec l’article 13, paragraphe 2, et une confirmation par l’auditeur de l’existence d’une garantie financière suffisante conformément à l’article 29, paragraphe 2, sous-alinéa 8, précisant le montant et la nature de la garantie. »</w:t>
      </w:r>
    </w:p>
    <w:p w14:paraId="4A54670E" w14:textId="77777777" w:rsidR="00FB46F1" w:rsidRPr="00016BD1" w:rsidRDefault="006C5635" w:rsidP="00F225D7">
      <w:pPr>
        <w:pStyle w:val="21NovAo1"/>
      </w:pPr>
      <w:r>
        <w:t>31. Après l’article 13(3), le paragraphe (3a) est inséré comme suit :</w:t>
      </w:r>
    </w:p>
    <w:p w14:paraId="230266B2" w14:textId="77777777" w:rsidR="00FB46F1" w:rsidRPr="00016BD1" w:rsidRDefault="00FB46F1" w:rsidP="00F225D7">
      <w:pPr>
        <w:pStyle w:val="51Abs"/>
      </w:pPr>
      <w:r>
        <w:t>« (3a) Les systèmes de collecte et de valorisation des emballages commerciaux doivent obliger leurs participants au système, à moins qu’ils n’utilisent une solution forfaitaire visée au paragraphe 2, sous-alinéa 3, à communiquer les données suivantes au système de collecte et de valorisation pour chaque année civile, au plus tard le 15 mars de l’année suivante et pour la première fois pour l’année civile 2022, en plus des notifications visées au paragraphe 2, sous-paragraphe 4 :</w:t>
      </w:r>
    </w:p>
    <w:p w14:paraId="2E2A6FA4" w14:textId="77777777" w:rsidR="00FB46F1" w:rsidRPr="00016BD1" w:rsidRDefault="00FB46F1" w:rsidP="00F225D7">
      <w:pPr>
        <w:pStyle w:val="52Aufzaehle1Ziffer"/>
      </w:pPr>
      <w:r>
        <w:tab/>
        <w:t>1.</w:t>
      </w:r>
      <w:r>
        <w:tab/>
        <w:t>la masse des emballages mis sur le marché pour la première fois par catégorie tarifaire, comme indiqué au point 2 de l’</w:t>
      </w:r>
      <w:r>
        <w:rPr>
          <w:b/>
        </w:rPr>
        <w:t>annexe 5,</w:t>
      </w:r>
    </w:p>
    <w:p w14:paraId="2D09AA2A" w14:textId="77777777" w:rsidR="00FB46F1" w:rsidRPr="00016BD1" w:rsidRDefault="00FB46F1" w:rsidP="00F225D7">
      <w:pPr>
        <w:pStyle w:val="52Aufzaehle1Ziffer"/>
      </w:pPr>
      <w:r>
        <w:tab/>
        <w:t>2.</w:t>
      </w:r>
      <w:r>
        <w:tab/>
        <w:t>la masse des emballages de vente mis sur le marché pour la première fois par catégorie tarifaire, comme indiqué au point 2 de l’</w:t>
      </w:r>
      <w:r>
        <w:rPr>
          <w:b/>
        </w:rPr>
        <w:t>annexe 5</w:t>
      </w:r>
      <w:r>
        <w:t>,</w:t>
      </w:r>
    </w:p>
    <w:p w14:paraId="66D1E0F3" w14:textId="77777777" w:rsidR="00FB46F1" w:rsidRPr="00016BD1" w:rsidRDefault="00FB46F1" w:rsidP="00F225D7">
      <w:pPr>
        <w:pStyle w:val="52Aufzaehle1Ziffer"/>
      </w:pPr>
      <w:r>
        <w:tab/>
        <w:t>3.</w:t>
      </w:r>
      <w:r>
        <w:tab/>
        <w:t>la masse des emballages réutilisables mis sur le marché pour la première fois par catégorie tarifaire, comme indiqué au point 2 de l’</w:t>
      </w:r>
      <w:r>
        <w:rPr>
          <w:b/>
        </w:rPr>
        <w:t>annexe 5</w:t>
      </w:r>
      <w:r>
        <w:t>,</w:t>
      </w:r>
    </w:p>
    <w:p w14:paraId="1CAFC65C" w14:textId="77777777" w:rsidR="00FB46F1" w:rsidRPr="00016BD1" w:rsidRDefault="00FB46F1" w:rsidP="00F225D7">
      <w:pPr>
        <w:pStyle w:val="52Aufzaehle1Ziffer"/>
      </w:pPr>
      <w:r>
        <w:tab/>
        <w:t xml:space="preserve">4. </w:t>
      </w:r>
      <w:r>
        <w:tab/>
        <w:t>la masse des emballages de vente réutilisables mis sur le marché pour la première fois par catégorie tarifaire, comme indiqué au point 2 de l’</w:t>
      </w:r>
      <w:r>
        <w:rPr>
          <w:b/>
        </w:rPr>
        <w:t>annexe 5,</w:t>
      </w:r>
    </w:p>
    <w:p w14:paraId="1E598979" w14:textId="77777777" w:rsidR="00FB46F1" w:rsidRPr="00016BD1" w:rsidRDefault="00FB46F1" w:rsidP="00F225D7">
      <w:pPr>
        <w:pStyle w:val="52Aufzaehle1Ziffer"/>
      </w:pPr>
      <w:r>
        <w:tab/>
        <w:t>5.</w:t>
      </w:r>
      <w:r>
        <w:tab/>
        <w:t>la masse des emballages réutilisables par catégorie tarifaire indiquée à l’</w:t>
      </w:r>
      <w:r>
        <w:rPr>
          <w:b/>
        </w:rPr>
        <w:t>annexe 5</w:t>
      </w:r>
      <w:r>
        <w:t>, point 2 (masse des emballages réutilisables utilisés au cours de l’année civile par catégorie tarifaire multipliée par les cycles de l’année civile),</w:t>
      </w:r>
    </w:p>
    <w:p w14:paraId="6BFB9676" w14:textId="77777777" w:rsidR="00FB46F1" w:rsidRPr="00016BD1" w:rsidRDefault="00FB46F1" w:rsidP="00F225D7">
      <w:pPr>
        <w:pStyle w:val="52Aufzaehle1Ziffer"/>
      </w:pPr>
      <w:r>
        <w:tab/>
        <w:t>6.</w:t>
      </w:r>
      <w:r>
        <w:tab/>
        <w:t>la masse des emballages de vente réutilisables par catégorie tarifaire indiquée à l’</w:t>
      </w:r>
      <w:r>
        <w:rPr>
          <w:b/>
        </w:rPr>
        <w:t>annexe 5</w:t>
      </w:r>
      <w:r>
        <w:t>, point 2 (masse des emballages de vente réutilisables utilisés au cours de l’année civile multipliée par les cycles de l’année civile), et</w:t>
      </w:r>
    </w:p>
    <w:p w14:paraId="2DC80CDA" w14:textId="77777777" w:rsidR="00FB46F1" w:rsidRPr="00016BD1" w:rsidRDefault="00FB46F1" w:rsidP="00F225D7">
      <w:pPr>
        <w:pStyle w:val="52Aufzaehle1Ziffer"/>
      </w:pPr>
      <w:r>
        <w:tab/>
        <w:t xml:space="preserve">7. </w:t>
      </w:r>
      <w:r>
        <w:tab/>
        <w:t>la masse des emballages réutilisables qui ne sont pas sous licence (article 6, paragraphe 1) produite en tant que déchets dans leur entreprise par matériau d’emballage et emballage composite, la masse transférée à l’opérateur de valorisation concerné par matériau d’emballage, le nom et l’adresse des installations de valorisation et le type de valorisation (recyclage, récupération thermique et autre valorisation) et la masse récupérée respective de l’emballage par matériau d’emballage, compte tenu de la méthode de calcul visée à l’article 5, paragraphe 6. »</w:t>
      </w:r>
    </w:p>
    <w:p w14:paraId="6EA1D4E5" w14:textId="77777777" w:rsidR="00FB46F1" w:rsidRPr="00016BD1" w:rsidRDefault="006C5635" w:rsidP="006C5635">
      <w:pPr>
        <w:pStyle w:val="21NovAo1"/>
      </w:pPr>
      <w:r>
        <w:lastRenderedPageBreak/>
        <w:t>32. L’article 13, paragraphe 5, est libellée comme suit :</w:t>
      </w:r>
    </w:p>
    <w:p w14:paraId="51713CE4" w14:textId="77777777" w:rsidR="00FB46F1" w:rsidRPr="00016BD1" w:rsidRDefault="00FB46F1" w:rsidP="00F225D7">
      <w:pPr>
        <w:pStyle w:val="51Abs"/>
      </w:pPr>
      <w:r>
        <w:t>« (5) Les systèmes de collecte et de valorisation des emballages commerciaux doivent enregistrer chaque année civile au moins les pourcentages suivants par matériau d’emballage par rapport à la masse des emballages pour lesquels il existe une participation au système :</w:t>
      </w:r>
    </w:p>
    <w:tbl>
      <w:tblPr>
        <w:tblStyle w:val="TableGrid"/>
        <w:tblW w:w="0" w:type="auto"/>
        <w:tblLook w:val="04A0" w:firstRow="1" w:lastRow="0" w:firstColumn="1" w:lastColumn="0" w:noHBand="0" w:noVBand="1"/>
      </w:tblPr>
      <w:tblGrid>
        <w:gridCol w:w="2312"/>
        <w:gridCol w:w="2060"/>
        <w:gridCol w:w="2061"/>
        <w:gridCol w:w="2061"/>
      </w:tblGrid>
      <w:tr w:rsidR="00FB46F1" w:rsidRPr="00016BD1" w14:paraId="352CA046" w14:textId="77777777" w:rsidTr="00A9409F">
        <w:tc>
          <w:tcPr>
            <w:tcW w:w="2361" w:type="dxa"/>
          </w:tcPr>
          <w:p w14:paraId="0039DFA8" w14:textId="77777777" w:rsidR="00FB46F1" w:rsidRPr="00016BD1" w:rsidRDefault="00FB46F1" w:rsidP="001D540A">
            <w:pPr>
              <w:pStyle w:val="51Abs"/>
              <w:ind w:firstLine="0"/>
            </w:pPr>
          </w:p>
        </w:tc>
        <w:tc>
          <w:tcPr>
            <w:tcW w:w="2119" w:type="dxa"/>
          </w:tcPr>
          <w:p w14:paraId="4745E7ED" w14:textId="77777777" w:rsidR="00FB46F1" w:rsidRPr="00016BD1" w:rsidRDefault="00FB46F1" w:rsidP="000D05A4">
            <w:pPr>
              <w:pStyle w:val="61bTabTextZentriert"/>
            </w:pPr>
            <w:r>
              <w:t>à partir de 2022</w:t>
            </w:r>
          </w:p>
        </w:tc>
        <w:tc>
          <w:tcPr>
            <w:tcW w:w="2120" w:type="dxa"/>
          </w:tcPr>
          <w:p w14:paraId="5FDF5C45" w14:textId="77777777" w:rsidR="00FB46F1" w:rsidRPr="00016BD1" w:rsidRDefault="00FB46F1" w:rsidP="00F225D7">
            <w:pPr>
              <w:pStyle w:val="61bTabTextZentriert"/>
            </w:pPr>
            <w:r>
              <w:t>à partir de 2025</w:t>
            </w:r>
          </w:p>
        </w:tc>
        <w:tc>
          <w:tcPr>
            <w:tcW w:w="2120" w:type="dxa"/>
          </w:tcPr>
          <w:p w14:paraId="16E39DE2" w14:textId="77777777" w:rsidR="00FB46F1" w:rsidRPr="00016BD1" w:rsidRDefault="00FB46F1" w:rsidP="00F225D7">
            <w:pPr>
              <w:pStyle w:val="61bTabTextZentriert"/>
            </w:pPr>
            <w:r>
              <w:t>à partir de 2030</w:t>
            </w:r>
          </w:p>
        </w:tc>
      </w:tr>
      <w:tr w:rsidR="00FB46F1" w:rsidRPr="00016BD1" w14:paraId="7C1F9CE8" w14:textId="77777777" w:rsidTr="00A9409F">
        <w:tc>
          <w:tcPr>
            <w:tcW w:w="2361" w:type="dxa"/>
          </w:tcPr>
          <w:p w14:paraId="0C0D679D" w14:textId="77777777" w:rsidR="00FB46F1" w:rsidRPr="00016BD1" w:rsidRDefault="00FB46F1" w:rsidP="00F225D7">
            <w:pPr>
              <w:pStyle w:val="61TabText"/>
            </w:pPr>
            <w:r>
              <w:t>Papier, carton, cartonnage et carton ondulé</w:t>
            </w:r>
          </w:p>
        </w:tc>
        <w:tc>
          <w:tcPr>
            <w:tcW w:w="2119" w:type="dxa"/>
          </w:tcPr>
          <w:p w14:paraId="794C9EC4" w14:textId="77777777" w:rsidR="00FB46F1" w:rsidRPr="00016BD1" w:rsidRDefault="00FB46F1" w:rsidP="00F225D7">
            <w:pPr>
              <w:pStyle w:val="61bTabTextZentriert"/>
            </w:pPr>
            <w:r>
              <w:t>90 %</w:t>
            </w:r>
          </w:p>
        </w:tc>
        <w:tc>
          <w:tcPr>
            <w:tcW w:w="2120" w:type="dxa"/>
          </w:tcPr>
          <w:p w14:paraId="0B73AFE8" w14:textId="77777777" w:rsidR="00FB46F1" w:rsidRPr="00016BD1" w:rsidRDefault="00FB46F1" w:rsidP="00F225D7">
            <w:pPr>
              <w:pStyle w:val="61bTabTextZentriert"/>
            </w:pPr>
            <w:r>
              <w:t>90 %</w:t>
            </w:r>
          </w:p>
        </w:tc>
        <w:tc>
          <w:tcPr>
            <w:tcW w:w="2120" w:type="dxa"/>
          </w:tcPr>
          <w:p w14:paraId="702FFD91" w14:textId="77777777" w:rsidR="00FB46F1" w:rsidRPr="00016BD1" w:rsidRDefault="00FB46F1" w:rsidP="00F225D7">
            <w:pPr>
              <w:pStyle w:val="61bTabTextZentriert"/>
            </w:pPr>
            <w:r>
              <w:t>90 %</w:t>
            </w:r>
          </w:p>
        </w:tc>
      </w:tr>
      <w:tr w:rsidR="00C82288" w:rsidRPr="00016BD1" w14:paraId="4A5598F2" w14:textId="77777777" w:rsidTr="00A9409F">
        <w:tc>
          <w:tcPr>
            <w:tcW w:w="2361" w:type="dxa"/>
          </w:tcPr>
          <w:p w14:paraId="63D36C96" w14:textId="77777777" w:rsidR="00C82288" w:rsidRPr="00016BD1" w:rsidRDefault="00C82288" w:rsidP="00F225D7">
            <w:pPr>
              <w:pStyle w:val="61TabText"/>
            </w:pPr>
            <w:r>
              <w:t>Métaux ferreux</w:t>
            </w:r>
          </w:p>
        </w:tc>
        <w:tc>
          <w:tcPr>
            <w:tcW w:w="2119" w:type="dxa"/>
            <w:vMerge w:val="restart"/>
            <w:vAlign w:val="center"/>
          </w:tcPr>
          <w:p w14:paraId="40F99D85" w14:textId="77777777" w:rsidR="00C82288" w:rsidRPr="00016BD1" w:rsidRDefault="00C82288" w:rsidP="006C6347">
            <w:pPr>
              <w:pStyle w:val="61bTabTextZentriert"/>
            </w:pPr>
            <w:r>
              <w:t>60 %</w:t>
            </w:r>
          </w:p>
        </w:tc>
        <w:tc>
          <w:tcPr>
            <w:tcW w:w="2120" w:type="dxa"/>
          </w:tcPr>
          <w:p w14:paraId="431CC7CA" w14:textId="77777777" w:rsidR="00C82288" w:rsidRPr="00016BD1" w:rsidRDefault="005F5F30" w:rsidP="00F225D7">
            <w:pPr>
              <w:pStyle w:val="61bTabTextZentriert"/>
            </w:pPr>
            <w:r>
              <w:t>65 %</w:t>
            </w:r>
          </w:p>
        </w:tc>
        <w:tc>
          <w:tcPr>
            <w:tcW w:w="2120" w:type="dxa"/>
          </w:tcPr>
          <w:p w14:paraId="42296D5E" w14:textId="77777777" w:rsidR="00C82288" w:rsidRPr="00016BD1" w:rsidRDefault="005F5F30" w:rsidP="00F225D7">
            <w:pPr>
              <w:pStyle w:val="61bTabTextZentriert"/>
            </w:pPr>
            <w:r>
              <w:t>75 %</w:t>
            </w:r>
          </w:p>
        </w:tc>
      </w:tr>
      <w:tr w:rsidR="00C82288" w:rsidRPr="00016BD1" w14:paraId="15313E4D" w14:textId="77777777" w:rsidTr="00A9409F">
        <w:tc>
          <w:tcPr>
            <w:tcW w:w="2361" w:type="dxa"/>
          </w:tcPr>
          <w:p w14:paraId="50D96809" w14:textId="77777777" w:rsidR="00C82288" w:rsidRPr="00016BD1" w:rsidRDefault="00C82288" w:rsidP="00F225D7">
            <w:pPr>
              <w:pStyle w:val="61TabText"/>
            </w:pPr>
            <w:r>
              <w:t>Aluminium</w:t>
            </w:r>
          </w:p>
        </w:tc>
        <w:tc>
          <w:tcPr>
            <w:tcW w:w="2119" w:type="dxa"/>
            <w:vMerge/>
          </w:tcPr>
          <w:p w14:paraId="3F78FF3B" w14:textId="77777777" w:rsidR="00C82288" w:rsidRPr="00016BD1" w:rsidRDefault="00C82288" w:rsidP="00F225D7">
            <w:pPr>
              <w:pStyle w:val="61bTabTextZentriert"/>
            </w:pPr>
          </w:p>
        </w:tc>
        <w:tc>
          <w:tcPr>
            <w:tcW w:w="2120" w:type="dxa"/>
          </w:tcPr>
          <w:p w14:paraId="1FE44BBC" w14:textId="77777777" w:rsidR="00C82288" w:rsidRPr="00016BD1" w:rsidRDefault="005F5F30" w:rsidP="005F5F30">
            <w:pPr>
              <w:pStyle w:val="61bTabTextZentriert"/>
            </w:pPr>
            <w:r>
              <w:t>65 %</w:t>
            </w:r>
          </w:p>
        </w:tc>
        <w:tc>
          <w:tcPr>
            <w:tcW w:w="2120" w:type="dxa"/>
          </w:tcPr>
          <w:p w14:paraId="143A21D9" w14:textId="77777777" w:rsidR="00C82288" w:rsidRPr="00016BD1" w:rsidRDefault="005F5F30" w:rsidP="00F225D7">
            <w:pPr>
              <w:pStyle w:val="61bTabTextZentriert"/>
            </w:pPr>
            <w:r>
              <w:t>75 %</w:t>
            </w:r>
          </w:p>
        </w:tc>
      </w:tr>
      <w:tr w:rsidR="00FB46F1" w:rsidRPr="00016BD1" w14:paraId="59B1AFEA" w14:textId="77777777" w:rsidTr="00A9409F">
        <w:tc>
          <w:tcPr>
            <w:tcW w:w="2361" w:type="dxa"/>
          </w:tcPr>
          <w:p w14:paraId="1D2FD9DB" w14:textId="77777777" w:rsidR="00FB46F1" w:rsidRPr="00016BD1" w:rsidRDefault="00FB46F1" w:rsidP="00F225D7">
            <w:pPr>
              <w:pStyle w:val="61TabText"/>
            </w:pPr>
            <w:r>
              <w:t>Matière plastique</w:t>
            </w:r>
          </w:p>
        </w:tc>
        <w:tc>
          <w:tcPr>
            <w:tcW w:w="2119" w:type="dxa"/>
          </w:tcPr>
          <w:p w14:paraId="4FC55DC8" w14:textId="77777777" w:rsidR="00FB46F1" w:rsidRPr="00016BD1" w:rsidRDefault="00FB46F1" w:rsidP="00F225D7">
            <w:pPr>
              <w:pStyle w:val="61bTabTextZentriert"/>
            </w:pPr>
            <w:r>
              <w:t>85 %</w:t>
            </w:r>
          </w:p>
        </w:tc>
        <w:tc>
          <w:tcPr>
            <w:tcW w:w="2120" w:type="dxa"/>
          </w:tcPr>
          <w:p w14:paraId="61AB9679" w14:textId="77777777" w:rsidR="00FB46F1" w:rsidRPr="00016BD1" w:rsidRDefault="00FB46F1" w:rsidP="00F225D7">
            <w:pPr>
              <w:pStyle w:val="61bTabTextZentriert"/>
            </w:pPr>
            <w:r>
              <w:t>85 %</w:t>
            </w:r>
          </w:p>
        </w:tc>
        <w:tc>
          <w:tcPr>
            <w:tcW w:w="2120" w:type="dxa"/>
          </w:tcPr>
          <w:p w14:paraId="0EB8917A" w14:textId="77777777" w:rsidR="00FB46F1" w:rsidRPr="00016BD1" w:rsidRDefault="00FB46F1" w:rsidP="00F225D7">
            <w:pPr>
              <w:pStyle w:val="61bTabTextZentriert"/>
            </w:pPr>
            <w:r>
              <w:t>85 %</w:t>
            </w:r>
          </w:p>
        </w:tc>
      </w:tr>
      <w:tr w:rsidR="00FB46F1" w:rsidRPr="00016BD1" w14:paraId="4365DDFA" w14:textId="77777777" w:rsidTr="00A9409F">
        <w:tc>
          <w:tcPr>
            <w:tcW w:w="2361" w:type="dxa"/>
          </w:tcPr>
          <w:p w14:paraId="10B67F80" w14:textId="77777777" w:rsidR="00FB46F1" w:rsidRPr="00016BD1" w:rsidRDefault="00FB46F1" w:rsidP="00F225D7">
            <w:pPr>
              <w:pStyle w:val="61TabText"/>
            </w:pPr>
            <w:r>
              <w:t>Bois</w:t>
            </w:r>
          </w:p>
        </w:tc>
        <w:tc>
          <w:tcPr>
            <w:tcW w:w="2119" w:type="dxa"/>
          </w:tcPr>
          <w:p w14:paraId="4445FCA9" w14:textId="77777777" w:rsidR="00FB46F1" w:rsidRPr="00016BD1" w:rsidRDefault="00FB46F1" w:rsidP="00F225D7">
            <w:pPr>
              <w:pStyle w:val="61bTabTextZentriert"/>
            </w:pPr>
            <w:r>
              <w:t>25 %</w:t>
            </w:r>
          </w:p>
        </w:tc>
        <w:tc>
          <w:tcPr>
            <w:tcW w:w="2120" w:type="dxa"/>
          </w:tcPr>
          <w:p w14:paraId="4BFAAAD9" w14:textId="77777777" w:rsidR="00FB46F1" w:rsidRPr="00016BD1" w:rsidRDefault="00FB46F1" w:rsidP="00F225D7">
            <w:pPr>
              <w:pStyle w:val="61bTabTextZentriert"/>
            </w:pPr>
            <w:r>
              <w:t>35 %</w:t>
            </w:r>
          </w:p>
        </w:tc>
        <w:tc>
          <w:tcPr>
            <w:tcW w:w="2120" w:type="dxa"/>
          </w:tcPr>
          <w:p w14:paraId="6A791D4C" w14:textId="77777777" w:rsidR="00FB46F1" w:rsidRPr="00016BD1" w:rsidRDefault="00FB46F1" w:rsidP="00F225D7">
            <w:pPr>
              <w:pStyle w:val="61bTabTextZentriert"/>
            </w:pPr>
            <w:r>
              <w:t>40 %</w:t>
            </w:r>
          </w:p>
        </w:tc>
      </w:tr>
    </w:tbl>
    <w:p w14:paraId="360192D7" w14:textId="77777777" w:rsidR="00FB46F1" w:rsidRPr="00016BD1" w:rsidRDefault="00FB46F1" w:rsidP="00F225D7">
      <w:pPr>
        <w:pStyle w:val="58Schlussteile0Abs"/>
      </w:pPr>
      <w:r>
        <w:t>Pour ces proportions, il n’est pas tenu compte des matériaux étrangers, matériaux ou emballages étrangers qui ne sont pas soumis à la présente ordonnance. »</w:t>
      </w:r>
    </w:p>
    <w:p w14:paraId="756B25D5" w14:textId="77777777" w:rsidR="00FB46F1" w:rsidRPr="00016BD1" w:rsidRDefault="006C5635" w:rsidP="00F225D7">
      <w:pPr>
        <w:pStyle w:val="21NovAo1"/>
      </w:pPr>
      <w:r>
        <w:t>33. À l’article 13, paragraphe 6, le sous-alinéa 1a est inséré après le sous-alinéa 1 comme suit:</w:t>
      </w:r>
    </w:p>
    <w:p w14:paraId="2A975384" w14:textId="77777777" w:rsidR="00FB46F1" w:rsidRPr="00016BD1" w:rsidRDefault="00FB46F1" w:rsidP="00F225D7">
      <w:pPr>
        <w:pStyle w:val="52Aufzaehle1Ziffer"/>
      </w:pPr>
      <w:r>
        <w:tab/>
        <w:t>« 1a.</w:t>
      </w:r>
      <w:r>
        <w:tab/>
        <w:t>confirmation de la qualité des données recueillies et notifiées conformément aux sous-alinéas 1 et 3 ainsi qu’à l'article 22. Ce rapport est approuvé par un expert externe agréé pour la première fois pour l’année civile 2022 puis au moins tous les trois ans. »</w:t>
      </w:r>
    </w:p>
    <w:p w14:paraId="0A6BC19A" w14:textId="77777777" w:rsidR="00FB46F1" w:rsidRPr="00016BD1" w:rsidRDefault="006C5635" w:rsidP="00F225D7">
      <w:pPr>
        <w:pStyle w:val="21NovAo1"/>
      </w:pPr>
      <w:r>
        <w:t>34. L'article 13 (7) est formulé comme suit :</w:t>
      </w:r>
    </w:p>
    <w:p w14:paraId="62EEF1D5" w14:textId="77777777" w:rsidR="00FB46F1" w:rsidRPr="00016BD1" w:rsidRDefault="00FB46F1" w:rsidP="00F225D7">
      <w:pPr>
        <w:pStyle w:val="51Abs"/>
      </w:pPr>
      <w:r>
        <w:t>« (7) En outre, les systèmes de collecte et de valorisation des emballages commerciaux transmettent, au plus tard le 10 septembre de chaque année, au ministre fédéral de l’action pour le climat, de l’environnement, de l’énergie, de la mobilité, de l’innovation et de la technologie, un rapport annuel contenant les états financiers annuels et les notes explicatives pour l’année civile précédente, comprenant un rapport de gestion et une vue d’ensemble du coût final des tarifs applicables au cours de l’année civile précédente. Dans le rapport annuel, les revenus des licences sont indiqués séparément par secteur d’activité. Toute modification de la structure de propriété ou toute modification envisagée des conditions générales est immédiatement notifiée au Ministre fédéral de l’action pour le climat, de l’environnement, de l’énergie, de la mobilité, de l’innovation et de la technologie. »</w:t>
      </w:r>
    </w:p>
    <w:p w14:paraId="03C05DC3" w14:textId="77777777" w:rsidR="00FB46F1" w:rsidRPr="00016BD1" w:rsidRDefault="006C5635" w:rsidP="00F225D7">
      <w:pPr>
        <w:pStyle w:val="21NovAo1"/>
      </w:pPr>
      <w:r>
        <w:t>35. Après l’article 13, paragraphe 7, le paragraphe 8 est ajouté comme suit :</w:t>
      </w:r>
    </w:p>
    <w:p w14:paraId="05D9AC1A" w14:textId="77777777" w:rsidR="00FB46F1" w:rsidRPr="00016BD1" w:rsidRDefault="00FB46F1" w:rsidP="00F225D7">
      <w:pPr>
        <w:pStyle w:val="51Abs"/>
      </w:pPr>
      <w:r>
        <w:t>« (8) Les systèmes de collecte et de valorisation comprennent, avec le rapport annuel, une confirmation par l’auditeur</w:t>
      </w:r>
    </w:p>
    <w:p w14:paraId="0AAC2602" w14:textId="77777777" w:rsidR="00FB46F1" w:rsidRPr="00016BD1" w:rsidRDefault="00FB46F1" w:rsidP="00F225D7">
      <w:pPr>
        <w:pStyle w:val="52Aufzaehle1Ziffer"/>
      </w:pPr>
      <w:r>
        <w:tab/>
        <w:t>1.</w:t>
      </w:r>
      <w:r>
        <w:tab/>
        <w:t>du respect des principes tarifaires énoncés à l’article 28c(3) de la loi AWG 2002 en liaison avec l’article 13(2), incluant le coût final des tarifs applicables au cours de l’année civile précédente, et</w:t>
      </w:r>
    </w:p>
    <w:p w14:paraId="312D853E" w14:textId="78FF090B" w:rsidR="00FB46F1" w:rsidRPr="00016BD1" w:rsidRDefault="00FB46F1" w:rsidP="005D6A33">
      <w:pPr>
        <w:pStyle w:val="52Aufzaehle1Ziffer"/>
      </w:pPr>
      <w:r>
        <w:tab/>
        <w:t>2.</w:t>
      </w:r>
      <w:r>
        <w:tab/>
        <w:t>de la garantie financière suffisante conformément à l'article 29(2) sous-alinéa 8 de la loi AWG 2002, précisant le montant et la nature de la garantie.’</w:t>
      </w:r>
    </w:p>
    <w:p w14:paraId="3A5D7271" w14:textId="77777777" w:rsidR="00FB46F1" w:rsidRPr="00016BD1" w:rsidRDefault="006C5635" w:rsidP="00F225D7">
      <w:pPr>
        <w:pStyle w:val="21NovAo1"/>
      </w:pPr>
      <w:r>
        <w:t>36. Le titre de l'article 14 est formulé comme suit :</w:t>
      </w:r>
    </w:p>
    <w:p w14:paraId="2DFC2781" w14:textId="77777777" w:rsidR="00FB46F1" w:rsidRPr="00016BD1" w:rsidRDefault="00FB46F1" w:rsidP="00F225D7">
      <w:pPr>
        <w:pStyle w:val="45UeberschrPara"/>
      </w:pPr>
      <w:r>
        <w:t>« Recyclage des emballages à partir d’autres sources de production commerciale »</w:t>
      </w:r>
    </w:p>
    <w:p w14:paraId="3D843A28" w14:textId="77777777" w:rsidR="007B41B8" w:rsidRPr="00016BD1" w:rsidRDefault="006C5635" w:rsidP="007B41B8">
      <w:pPr>
        <w:pStyle w:val="21NovAo1"/>
      </w:pPr>
      <w:r>
        <w:t xml:space="preserve">37. Le texte de l’article 14 se voit attribuer le nom de paragraphe </w:t>
      </w:r>
      <w:r>
        <w:rPr>
          <w:i w:val="0"/>
        </w:rPr>
        <w:t>« (1) » ;</w:t>
      </w:r>
      <w:r>
        <w:t xml:space="preserve"> le paragraphe 2 suivant est annexé :</w:t>
      </w:r>
    </w:p>
    <w:p w14:paraId="14B7F683" w14:textId="77777777" w:rsidR="00FB46F1" w:rsidRPr="00016BD1" w:rsidRDefault="00FB46F1" w:rsidP="00F225D7">
      <w:pPr>
        <w:pStyle w:val="51Abs"/>
      </w:pPr>
      <w:r>
        <w:t>« (2) À partir de l’année civile 2022, les systèmes de collecte et de valorisation des emballages commerciaux envoient tous les emballages qui sont acceptés à partir de sources de production non comparables aux ménages (autres sources de production commerciale) et qui peuvent être recyclés dans une usine de recyclage, compte tenu de la méthode de calcul prévue à l’article 5, paragraphe 4, et de leur part de marché, afin que les objectifs de recyclage fixés à l’article 5, en ce qui concerne la masse des emballages commerciaux mis sur le marché en Autriche au cours de l’année civile concernée, soient atteints pour l’ensemble de l’Autriche. »</w:t>
      </w:r>
    </w:p>
    <w:p w14:paraId="7078BB3B" w14:textId="77777777" w:rsidR="00FB46F1" w:rsidRPr="00016BD1" w:rsidRDefault="006C5635" w:rsidP="00F225D7">
      <w:pPr>
        <w:pStyle w:val="21NovAo1"/>
      </w:pPr>
      <w:r>
        <w:t>38. Après l'article 14, l'article 14a, incluant son titre, est inséré comme suit :</w:t>
      </w:r>
    </w:p>
    <w:p w14:paraId="62B3B6C0" w14:textId="77777777" w:rsidR="00FB46F1" w:rsidRPr="00016BD1" w:rsidRDefault="00FB46F1" w:rsidP="00F225D7">
      <w:pPr>
        <w:pStyle w:val="45UeberschrPara"/>
      </w:pPr>
      <w:r>
        <w:t xml:space="preserve">« Autres sources de production </w:t>
      </w:r>
    </w:p>
    <w:p w14:paraId="2376C861" w14:textId="77777777" w:rsidR="00FB46F1" w:rsidRPr="00016BD1" w:rsidRDefault="00FB46F1" w:rsidP="00F225D7">
      <w:pPr>
        <w:pStyle w:val="51Abs"/>
      </w:pPr>
      <w:r>
        <w:rPr>
          <w:rStyle w:val="991GldSymbol"/>
        </w:rPr>
        <w:t>Article 14a.</w:t>
      </w:r>
      <w:r>
        <w:t xml:space="preserve"> (1) Les propriétaires de sources de production qui ne sont pas comparables aux ménages en ce qui concerne les emballages produits (article 13h, paragraphe 1, AWG 2002) enregistrent l’emballage qu’ils produisent séparément, au moins conformément aux différentes catégories de collecte énumérées à l’</w:t>
      </w:r>
      <w:r>
        <w:rPr>
          <w:b/>
        </w:rPr>
        <w:t>annexe 5</w:t>
      </w:r>
      <w:r>
        <w:t xml:space="preserve">, point 2, ainsi que l’emballage en verre et les cartons composites pour boissons. Lorsque la collecte séparée sur le lieu de collecte n’est pas techniquement possible ou entraîne des coûts </w:t>
      </w:r>
      <w:r>
        <w:lastRenderedPageBreak/>
        <w:t>disproportionnés, le détenteur de cet autre site industriel enregistre l’emballage au moins séparément des autres déchets et organise la séparation entre les catégories de collecte dans une installation de traitement agréée à cet effet. Dans ce cas, l’opérateur doit supporter les frais de transport jusqu’à la station d’épuration et de triage par dérogation à l’article 13, paragraphe 2, sous-alinéa 2, point 2.</w:t>
      </w:r>
    </w:p>
    <w:p w14:paraId="1EF208E8" w14:textId="77777777" w:rsidR="00845801" w:rsidRPr="00016BD1" w:rsidRDefault="00FB46F1" w:rsidP="00F225D7">
      <w:pPr>
        <w:pStyle w:val="51Abs"/>
      </w:pPr>
      <w:r>
        <w:t>(2) Les propriétaires d'autres sources de production commerciales mettent les emballages déclassés et collectés séparément dans les systèmes de collecte et de valorisation prévus à cet effet. Les propriétaires d’autres sources de production commerciales peuvent utiliser tout collecteur ou transporteur autorisé librement sélectionnable pour transporter des emballages relevant des catégories de collecte énumérées à l’</w:t>
      </w:r>
      <w:r>
        <w:rPr>
          <w:b/>
        </w:rPr>
        <w:t>annexe 5</w:t>
      </w:r>
      <w:r>
        <w:t>, point 2, jusqu’au point d’acceptation le plus proche (cf. article 24a AWG 2002).</w:t>
      </w:r>
    </w:p>
    <w:p w14:paraId="464C73B0" w14:textId="77777777" w:rsidR="00FB46F1" w:rsidRPr="00016BD1" w:rsidRDefault="00845801" w:rsidP="00F225D7">
      <w:pPr>
        <w:pStyle w:val="51Abs"/>
      </w:pPr>
      <w:r>
        <w:t>(3) Les systèmes de collecte et de valorisation des emballages commerciaux acceptent sans frais les emballages qui sont collectés séparément ou séparés dans une station d’épuration conformément au paragraphe 1 et, en particulier, supportent les frais raisonnables de transport à partir du point de collecte ou, en cas de séparation de la station d’épuration, commandés par le site de réception et les frais de traitement ultérieur. »</w:t>
      </w:r>
    </w:p>
    <w:p w14:paraId="7DFF04BF" w14:textId="77777777" w:rsidR="00710265" w:rsidRPr="00016BD1" w:rsidRDefault="006C5635" w:rsidP="00710265">
      <w:pPr>
        <w:pStyle w:val="21NovAo1"/>
      </w:pPr>
      <w:r>
        <w:t>39. À l’article 15, les paragraphes 2 et 3 sont remplacés par les paragraphes 2 à 5 suivants :</w:t>
      </w:r>
    </w:p>
    <w:p w14:paraId="3B65FD1C" w14:textId="77777777" w:rsidR="00FB46F1" w:rsidRPr="00016BD1" w:rsidRDefault="00FB46F1" w:rsidP="00F225D7">
      <w:pPr>
        <w:pStyle w:val="51Abs"/>
      </w:pPr>
      <w:r>
        <w:t>« (2) Par dérogation à l’article 14a, paragraphe 2, les propriétaires de grandes sources de production sont tenus de</w:t>
      </w:r>
    </w:p>
    <w:p w14:paraId="52AC0066" w14:textId="77777777" w:rsidR="00FB46F1" w:rsidRPr="00016BD1" w:rsidRDefault="00FB46F1" w:rsidP="00F225D7">
      <w:pPr>
        <w:pStyle w:val="52Aufzaehle1Ziffer"/>
      </w:pPr>
      <w:r>
        <w:tab/>
        <w:t>1.</w:t>
      </w:r>
      <w:r>
        <w:tab/>
        <w:t>consigner séparément l’emballage produit sur le site d’exploitation, au moins par catégorie de collecte figurant à l’</w:t>
      </w:r>
      <w:r>
        <w:rPr>
          <w:b/>
        </w:rPr>
        <w:t>annexe 5</w:t>
      </w:r>
      <w:r>
        <w:t>, point 2, ainsi que l’emballage en verre et l’emballage composite pour boissons,</w:t>
      </w:r>
    </w:p>
    <w:p w14:paraId="2B98321B" w14:textId="77777777" w:rsidR="00FB46F1" w:rsidRPr="00016BD1" w:rsidRDefault="00FB46F1" w:rsidP="00F225D7">
      <w:pPr>
        <w:pStyle w:val="52Aufzaehle1Ziffer"/>
      </w:pPr>
      <w:r>
        <w:tab/>
        <w:t>2.</w:t>
      </w:r>
      <w:r>
        <w:tab/>
        <w:t>placer l’emballage en verre et les cartons composites pour boissons dans la collecte ménagère prévue à cet effet,</w:t>
      </w:r>
    </w:p>
    <w:p w14:paraId="08C7029D" w14:textId="77777777" w:rsidR="00FB46F1" w:rsidRPr="00016BD1" w:rsidRDefault="00FB46F1" w:rsidP="00F225D7">
      <w:pPr>
        <w:pStyle w:val="52Aufzaehle1Ziffer"/>
      </w:pPr>
      <w:r>
        <w:tab/>
        <w:t>3.</w:t>
      </w:r>
      <w:r>
        <w:tab/>
        <w:t>réutiliser (article 3, sous-alinéa 9) ou récupérer (article 3, sous-alinéas 10 à 12) l’autre emballage enregistré séparément, l’emballage recyclable devant être envoyé à une usine de recyclage à partir de l’année civile 2022 et vérifiable au cours de chaque année civile devant respecter les objectifs de recyclage fixés à l’article 5, compte tenu de la méthode de calcul de l’article 5, paragraphe 6.</w:t>
      </w:r>
    </w:p>
    <w:p w14:paraId="55BBFB7A" w14:textId="77777777" w:rsidR="00FB46F1" w:rsidRPr="00016BD1" w:rsidRDefault="00FB46F1" w:rsidP="00F225D7">
      <w:pPr>
        <w:pStyle w:val="51Abs"/>
      </w:pPr>
      <w:r>
        <w:t xml:space="preserve">(3) Les propriétaires de sources de grande génération tiennent des registres pour les notifications visées à l’ </w:t>
      </w:r>
      <w:r>
        <w:rPr>
          <w:b/>
        </w:rPr>
        <w:t>Annexe 3</w:t>
      </w:r>
      <w:r>
        <w:t xml:space="preserve"> point 2. Ces registres doivent être conservés pendant sept ans et soumis sur demande au Ministre fédéral de la protection de l’action, de l’environnement, de l’énergie, de la mobilité, de l’innovation et de la technologie.</w:t>
      </w:r>
    </w:p>
    <w:p w14:paraId="27AB6B3C" w14:textId="77777777" w:rsidR="00FB46F1" w:rsidRPr="00016BD1" w:rsidRDefault="00FB46F1" w:rsidP="00F225D7">
      <w:pPr>
        <w:pStyle w:val="51Abs"/>
      </w:pPr>
      <w:r>
        <w:t>(4) Les propriétaires de grandes sources de production communiquent les données visées à l’</w:t>
      </w:r>
      <w:r>
        <w:rPr>
          <w:b/>
        </w:rPr>
        <w:t>annexe 3</w:t>
      </w:r>
      <w:r>
        <w:t xml:space="preserve"> au ministre fédéral de l’action pour le climat, de l’environnement, de l’énergie, de la mobilité, de l’innovation et de la technologie au moyen du registre visé à l’article 22 de la loi AWG 2002 au plus tard trois mois après la fin de chaque année civile de l’année civile précédente.</w:t>
      </w:r>
    </w:p>
    <w:p w14:paraId="763DB68F" w14:textId="77777777" w:rsidR="00FB46F1" w:rsidRPr="00016BD1" w:rsidRDefault="00FB46F1" w:rsidP="00F225D7">
      <w:pPr>
        <w:pStyle w:val="51Abs"/>
      </w:pPr>
      <w:r>
        <w:t>(5) Les propriétaires de grandes sources de production participent à un système de collecte et de valorisation des emballages qu’ils mettent sur le marché. Cela ne s'applique pas dans les cas où il existe une exception en vertu de l'article 13 g(3) de la loi AWG 2002. L’article 10, paragraphe 5, s’applique aux livraisons à une autre source de grande génération. »</w:t>
      </w:r>
    </w:p>
    <w:p w14:paraId="38917D04" w14:textId="77777777" w:rsidR="005F7602" w:rsidRPr="00016BD1" w:rsidRDefault="006C5635" w:rsidP="005F7602">
      <w:pPr>
        <w:pStyle w:val="21NovAo1"/>
      </w:pPr>
      <w:r>
        <w:t>40. Après l’article 16, la Section 3a est insérée comme suit : </w:t>
      </w:r>
    </w:p>
    <w:p w14:paraId="4075E00A" w14:textId="77777777" w:rsidR="00FB46F1" w:rsidRPr="00016BD1" w:rsidRDefault="00FB46F1" w:rsidP="00F225D7">
      <w:pPr>
        <w:pStyle w:val="41UeberschrG1"/>
      </w:pPr>
      <w:r>
        <w:t xml:space="preserve">« Section 3a. </w:t>
      </w:r>
    </w:p>
    <w:p w14:paraId="0520B475" w14:textId="77777777" w:rsidR="00FB46F1" w:rsidRPr="00016BD1" w:rsidRDefault="00FB46F1" w:rsidP="00F225D7">
      <w:pPr>
        <w:pStyle w:val="43UeberschrG2"/>
      </w:pPr>
      <w:r>
        <w:t>Représentants autorisés</w:t>
      </w:r>
    </w:p>
    <w:p w14:paraId="52B7914B" w14:textId="77777777" w:rsidR="00FB46F1" w:rsidRPr="00016BD1" w:rsidRDefault="00FB46F1" w:rsidP="00F225D7">
      <w:pPr>
        <w:pStyle w:val="45UeberschrPara"/>
      </w:pPr>
      <w:r>
        <w:t>Représentants autorisés pour les étrangers (emballage)</w:t>
      </w:r>
    </w:p>
    <w:p w14:paraId="674DCB34" w14:textId="77777777" w:rsidR="00FB46F1" w:rsidRPr="00016BD1" w:rsidRDefault="00FB46F1" w:rsidP="00F225D7">
      <w:pPr>
        <w:pStyle w:val="51Abs"/>
      </w:pPr>
      <w:r>
        <w:rPr>
          <w:rStyle w:val="991GldSymbol"/>
        </w:rPr>
        <w:t>Article 16a.</w:t>
      </w:r>
      <w:r>
        <w:t xml:space="preserve"> (1) Les personnes établies dans un autre État membre de l’Union européenne et distribuant des emballages en Autriche, mais non aux consommateurs finaux privés, peuvent désigner un mandataire. Ce dernier est donc chargé de s'acquitter des obligations imposées aux producteurs en vertu de l'article 13 g, paragraphe 1, sous-alinéas 1 à 4 de la loi AWG 2002. Cette option existe pour les emballages mis sur le marché en Autriche à partir du 1er janvier 2023.  Pour l’enregistrement en tant que mandataire, les conditions suivantes doivent être remplies :</w:t>
      </w:r>
    </w:p>
    <w:p w14:paraId="2E796561" w14:textId="77777777" w:rsidR="00FB46F1" w:rsidRPr="00016BD1" w:rsidRDefault="00FB46F1" w:rsidP="00F225D7">
      <w:pPr>
        <w:pStyle w:val="52Aufzaehle1Ziffer"/>
      </w:pPr>
      <w:r>
        <w:tab/>
        <w:t>1.</w:t>
      </w:r>
      <w:r>
        <w:tab/>
        <w:t>Le mandataire doit être une personne physique ou morale établie en Autriche.</w:t>
      </w:r>
    </w:p>
    <w:p w14:paraId="02330BC4" w14:textId="77777777" w:rsidR="00FB46F1" w:rsidRPr="00016BD1" w:rsidRDefault="00FB46F1" w:rsidP="00F225D7">
      <w:pPr>
        <w:pStyle w:val="52Aufzaehle1Ziffer"/>
      </w:pPr>
      <w:r>
        <w:tab/>
        <w:t>2.</w:t>
      </w:r>
      <w:r>
        <w:tab/>
        <w:t>Il doit y avoir une adresse de livraison en Autriche.</w:t>
      </w:r>
    </w:p>
    <w:p w14:paraId="7B57034A" w14:textId="77777777" w:rsidR="00FB46F1" w:rsidRPr="00016BD1" w:rsidRDefault="00FB46F1" w:rsidP="00F225D7">
      <w:pPr>
        <w:pStyle w:val="52Aufzaehle1Ziffer"/>
      </w:pPr>
      <w:r>
        <w:tab/>
        <w:t>3.</w:t>
      </w:r>
      <w:r>
        <w:tab/>
        <w:t xml:space="preserve">La responsabilité du respect des règlements administratifs autrichiens doit être en place (article 9 de la Loi pénale administrative, </w:t>
      </w:r>
      <w:proofErr w:type="spellStart"/>
      <w:r>
        <w:t>VStG</w:t>
      </w:r>
      <w:proofErr w:type="spellEnd"/>
      <w:r>
        <w:t>).</w:t>
      </w:r>
    </w:p>
    <w:p w14:paraId="54262AB7" w14:textId="77777777" w:rsidR="003B75E2" w:rsidRPr="00016BD1" w:rsidRDefault="00FB46F1" w:rsidP="00F225D7">
      <w:pPr>
        <w:pStyle w:val="52Aufzaehle1Ziffer"/>
      </w:pPr>
      <w:r>
        <w:lastRenderedPageBreak/>
        <w:tab/>
        <w:t>4.</w:t>
      </w:r>
      <w:r>
        <w:tab/>
        <w:t>La désignation doit être faite au moyen d’une procuration certifiée en allemand ou en anglais, à partir de laquelle :</w:t>
      </w:r>
    </w:p>
    <w:p w14:paraId="5741908F" w14:textId="77777777" w:rsidR="003B75E2" w:rsidRPr="00016BD1" w:rsidRDefault="003B75E2" w:rsidP="003B75E2">
      <w:pPr>
        <w:pStyle w:val="52Aufzaehle2Lit"/>
      </w:pPr>
      <w:r>
        <w:tab/>
        <w:t>a)</w:t>
      </w:r>
      <w:r>
        <w:tab/>
        <w:t>le champ d’application de l’autorisation, en particulier la catégorie de collecte correspondante,</w:t>
      </w:r>
    </w:p>
    <w:p w14:paraId="0953B53D" w14:textId="77777777" w:rsidR="003B75E2" w:rsidRPr="00016BD1" w:rsidRDefault="003B75E2" w:rsidP="003B75E2">
      <w:pPr>
        <w:pStyle w:val="52Aufzaehle2Lit"/>
      </w:pPr>
      <w:r>
        <w:tab/>
        <w:t>b)</w:t>
      </w:r>
      <w:r>
        <w:tab/>
        <w:t xml:space="preserve">le consentement exprès du représentant autorisé à remplir les obligations de la personne investie du pouvoir de nomination, et </w:t>
      </w:r>
    </w:p>
    <w:p w14:paraId="6B5C9F3A" w14:textId="77777777" w:rsidR="003B75E2" w:rsidRPr="00016BD1" w:rsidRDefault="003B75E2" w:rsidP="003B75E2">
      <w:pPr>
        <w:pStyle w:val="52Aufzaehle2Lit"/>
      </w:pPr>
      <w:r>
        <w:tab/>
        <w:t>c)</w:t>
      </w:r>
      <w:r>
        <w:tab/>
        <w:t xml:space="preserve">l’assurance contractuelle que la personne a accordé au mandataire le droit de conclure des contrats obligatoires et que tous les documents et moyens nécessaires à l’exercice de ses fonctions seront mis à disposition, </w:t>
      </w:r>
    </w:p>
    <w:p w14:paraId="5B556B81" w14:textId="77777777" w:rsidR="00FB46F1" w:rsidRPr="00016BD1" w:rsidRDefault="00FB46F1" w:rsidP="003B75E2">
      <w:pPr>
        <w:pStyle w:val="58Schlussteile1Ziffer"/>
      </w:pPr>
      <w:r>
        <w:t>sont clairs.</w:t>
      </w:r>
    </w:p>
    <w:p w14:paraId="770A2261" w14:textId="77777777" w:rsidR="00FB46F1" w:rsidRPr="00016BD1" w:rsidRDefault="00FB46F1" w:rsidP="00F225D7">
      <w:pPr>
        <w:pStyle w:val="51Abs"/>
      </w:pPr>
      <w:r>
        <w:t>(2) Un représentant autorisé d'un étranger assume toutes les obligations de l'entité soumise à des obligations primaires en vertu de l'article 13 g, paragraphe 1, sous-alinéas 1 à 4 de la loi AWG 2002 pour l'emballage qu'il distribue en Autriche, mais pas pour les consommateurs finaux privés. Le mandataire remplit notamment les obligations suivantes dans l’exercice de ses fonctions :</w:t>
      </w:r>
    </w:p>
    <w:p w14:paraId="5AD5E05E" w14:textId="77777777" w:rsidR="00FB46F1" w:rsidRPr="00016BD1" w:rsidRDefault="00FB46F1" w:rsidP="00F225D7">
      <w:pPr>
        <w:pStyle w:val="52Aufzaehle1Ziffer"/>
      </w:pPr>
      <w:r>
        <w:tab/>
        <w:t>1.</w:t>
      </w:r>
      <w:r>
        <w:tab/>
        <w:t>Inscription en qualité de mandataire dans le registre visé à l’article 22(1) de l’AWG 2002, précisant</w:t>
      </w:r>
    </w:p>
    <w:p w14:paraId="5A0D5D2C" w14:textId="77777777" w:rsidR="00FB46F1" w:rsidRPr="00016BD1" w:rsidRDefault="00FB46F1" w:rsidP="00F225D7">
      <w:pPr>
        <w:pStyle w:val="52Aufzaehle2Lit"/>
      </w:pPr>
      <w:r>
        <w:tab/>
        <w:t>a)</w:t>
      </w:r>
      <w:r>
        <w:tab/>
        <w:t>les données visées à l'article 22(2) sous-alinéas 1 à 3 et 10 de l’AWG 2002,</w:t>
      </w:r>
    </w:p>
    <w:p w14:paraId="4DBC57D2" w14:textId="77777777" w:rsidR="00FB46F1" w:rsidRPr="00016BD1" w:rsidRDefault="00FB46F1" w:rsidP="00F225D7">
      <w:pPr>
        <w:pStyle w:val="52Aufzaehle2Lit"/>
      </w:pPr>
      <w:r>
        <w:tab/>
        <w:t>b)</w:t>
      </w:r>
      <w:r>
        <w:tab/>
        <w:t>le numéro d’identification fiscale,</w:t>
      </w:r>
    </w:p>
    <w:p w14:paraId="4D81F046" w14:textId="77777777" w:rsidR="00FB46F1" w:rsidRPr="00016BD1" w:rsidRDefault="00FB46F1" w:rsidP="00F225D7">
      <w:pPr>
        <w:pStyle w:val="52Aufzaehle2Lit"/>
      </w:pPr>
      <w:r>
        <w:tab/>
        <w:t>c)</w:t>
      </w:r>
      <w:r>
        <w:tab/>
        <w:t>l’emballage mis sur le marché, ventilé par emballage ménager et emballage commercial, et la catégorie de collecte dans chaque cas, et</w:t>
      </w:r>
    </w:p>
    <w:p w14:paraId="0CEB973B" w14:textId="77777777" w:rsidR="00FB46F1" w:rsidRPr="00016BD1" w:rsidRDefault="00FB46F1" w:rsidP="00F225D7">
      <w:pPr>
        <w:pStyle w:val="52Aufzaehle2Lit"/>
      </w:pPr>
      <w:r>
        <w:tab/>
        <w:t>d)</w:t>
      </w:r>
      <w:r>
        <w:tab/>
        <w:t>le système de collecte et de valorisation correspondant ;</w:t>
      </w:r>
    </w:p>
    <w:p w14:paraId="45157831" w14:textId="77777777" w:rsidR="00FB46F1" w:rsidRPr="00016BD1" w:rsidRDefault="00FB46F1" w:rsidP="00F225D7">
      <w:pPr>
        <w:pStyle w:val="52Aufzaehle1Ziffer"/>
      </w:pPr>
      <w:r>
        <w:tab/>
        <w:t>2.</w:t>
      </w:r>
      <w:r>
        <w:tab/>
        <w:t>La notification des données visées au sous-alinéa 1 séparément pour chaque étranger au registre visé à l'article 22(1) de l’AWG 2002 ;</w:t>
      </w:r>
    </w:p>
    <w:p w14:paraId="63B0CDC2" w14:textId="77777777" w:rsidR="00FB46F1" w:rsidRPr="00016BD1" w:rsidRDefault="00FB46F1" w:rsidP="00F225D7">
      <w:pPr>
        <w:pStyle w:val="52Aufzaehle1Ziffer"/>
      </w:pPr>
      <w:r>
        <w:tab/>
        <w:t>3.</w:t>
      </w:r>
      <w:r>
        <w:tab/>
        <w:t>Des renseignements pour chaque partie soumise à des obligations primaires conformément à l’article 13 g (1) (1) à (4) de l’AWG 2002 sur le type et la portée d’une autorisation, ainsi que sur toute modification apportée à la même autorisation et sur les quantités d’emballage qui les concernent, ventilées en emballages ménagers et en emballages commerciaux, chacun indiquant la catégorie collective dont l’étranger est responsable ;</w:t>
      </w:r>
    </w:p>
    <w:p w14:paraId="10D28324" w14:textId="77777777" w:rsidR="00FB46F1" w:rsidRPr="00016BD1" w:rsidRDefault="00FB46F1" w:rsidP="00F225D7">
      <w:pPr>
        <w:pStyle w:val="52Aufzaehle1Ziffer"/>
      </w:pPr>
      <w:r>
        <w:tab/>
        <w:t>4.</w:t>
      </w:r>
      <w:r>
        <w:tab/>
        <w:t>Soumission au registre d’une liste des principales parties obligées touchées conformément à la Section 13 g (1) (1) à (4)de l’ AWG 2002 conformément à l’article 22(1) AWG 2002</w:t>
      </w:r>
    </w:p>
    <w:p w14:paraId="76FDB29F" w14:textId="77777777" w:rsidR="00FB46F1" w:rsidRPr="00016BD1" w:rsidRDefault="00FB46F1" w:rsidP="00F225D7">
      <w:pPr>
        <w:pStyle w:val="52Aufzaehle1Ziffer"/>
      </w:pPr>
      <w:r>
        <w:tab/>
        <w:t>5.</w:t>
      </w:r>
      <w:r>
        <w:tab/>
        <w:t>Notification immédiate, au moyen du registre visé à l'article 22(1) de l'AWG 2002, qu'un étranger ou son représentant habilité a cessé ses activités.</w:t>
      </w:r>
    </w:p>
    <w:p w14:paraId="7DBA86F4" w14:textId="77777777" w:rsidR="00FB46F1" w:rsidRPr="00016BD1" w:rsidRDefault="00FB46F1" w:rsidP="00F225D7">
      <w:pPr>
        <w:pStyle w:val="58Schlussteile0Abs"/>
      </w:pPr>
      <w:r>
        <w:t>Les modifications des données visées aux sous-alinéas 1, 2 et 4 doivent être notifiées au registre visé à l’article 22(1) de l’AWG 2002 dans un délai d’un mois.</w:t>
      </w:r>
    </w:p>
    <w:p w14:paraId="77D82EF4" w14:textId="77777777" w:rsidR="00FB46F1" w:rsidRPr="00016BD1" w:rsidRDefault="00FB46F1" w:rsidP="00F225D7">
      <w:pPr>
        <w:pStyle w:val="51Abs"/>
      </w:pPr>
      <w:r>
        <w:t>(3) Ce n’est que si les conditions énoncées au paragraphe 1 sont remplies que le ministre fédéral de l’action pour le climat, de l’environnement, de l’énergie, de la mobilité, de l’innovation et de la technologie désigne un représentant autorisé dans le registre visé à l'article 22(1) de l’AWG 2002. Si l’une des conditions énoncées au paragraphe (1) cesse d’être remplie, le ministre fédéral supprime la désignation comme représentant autorisé. Si la désignation est refusée ou supprimée, le Ministre fédéral émet un avis de décision correspondant sur demande.</w:t>
      </w:r>
    </w:p>
    <w:p w14:paraId="3B8E51A2" w14:textId="77777777" w:rsidR="00FB46F1" w:rsidRPr="00016BD1" w:rsidRDefault="00FB46F1" w:rsidP="00F225D7">
      <w:pPr>
        <w:pStyle w:val="51Abs"/>
      </w:pPr>
      <w:r>
        <w:t>(4) Pour s'acquitter des obligations qui lui incombent en vertu de la présente Ordonnance, un étranger ne peut nommer qu'un seul représentant autorisé. La nomination d’un représentant autorisé ainsi que les modifications ou la résiliation d’une autorisation ne peuvent prendre effet qu’à l’expiration d’un trimestre civil.</w:t>
      </w:r>
    </w:p>
    <w:p w14:paraId="5DDE8B97" w14:textId="77777777" w:rsidR="00FB46F1" w:rsidRPr="00016BD1" w:rsidRDefault="00FB46F1" w:rsidP="00F225D7">
      <w:pPr>
        <w:pStyle w:val="51Abs"/>
      </w:pPr>
      <w:r>
        <w:t>(5) Un représentant autorisé pour les étrangers peut être nommé à partir du 1er octobre 2022 ; toutefois, cette nomination ne prend effet que le 1er janvier 2023. </w:t>
      </w:r>
    </w:p>
    <w:p w14:paraId="3D9E1498" w14:textId="77777777" w:rsidR="00FB46F1" w:rsidRPr="00016BD1" w:rsidRDefault="00FB46F1" w:rsidP="00F225D7">
      <w:pPr>
        <w:pStyle w:val="45UeberschrPara"/>
      </w:pPr>
      <w:r>
        <w:t>Représentant autorisé des sociétés étrangères de vente par correspondance (emballage)</w:t>
      </w:r>
    </w:p>
    <w:p w14:paraId="7488E4E8" w14:textId="77777777" w:rsidR="00FB46F1" w:rsidRPr="00016BD1" w:rsidRDefault="00FB46F1" w:rsidP="00F225D7">
      <w:pPr>
        <w:pStyle w:val="51Abs"/>
      </w:pPr>
      <w:r>
        <w:rPr>
          <w:rStyle w:val="991GldSymbol"/>
        </w:rPr>
        <w:t>Article 16b.</w:t>
      </w:r>
      <w:r>
        <w:t xml:space="preserve"> (1) Les sociétés de vente par correspondance en vertu de l’article 13 g, paragraphe 1, sous-alinéa 5 de l’AWG 2002 désignent, pour les emballages mis sur le marché en Autriche à partir du 1er janvier 2023, un représentant autorisé pour les sociétés de vente par correspondance étrangères.  Cette dernière est chargée de remplir les obligations imposées à la société de vente par correspondance pour l’emballage en Autriche. Une société de vente par correspondance ne peut nommer qu’un seul représentant autorisé pour les sociétés étrangères de vente par correspondance. La nomination d’un représentant autorisé ainsi que les modifications ou la résiliation d’une autorisation ne peuvent prendre effet qu’à l’expiration d’un trimestre civil. Si l’autorisation prend fin au cours d’un trimestre civil, la société de vente par correspondance, conformément à l’article 13 g, paragraphe 1, sous-alinéa 5 de l’AWG 2002, veille à ce qu’un nouveau mandataire continue de s’acquitter de ses obligations sans interruption.</w:t>
      </w:r>
    </w:p>
    <w:p w14:paraId="42C28261" w14:textId="77777777" w:rsidR="003B75E2" w:rsidRPr="00016BD1" w:rsidRDefault="00FB46F1" w:rsidP="003B75E2">
      <w:pPr>
        <w:pStyle w:val="51Abs"/>
      </w:pPr>
      <w:r>
        <w:lastRenderedPageBreak/>
        <w:t>(2) Pour l’enregistrement en tant que représentant autorisé des sociétés étrangères de vente par correspondance, les conditions suivantes doivent être remplies :</w:t>
      </w:r>
    </w:p>
    <w:p w14:paraId="3B10A4DF" w14:textId="77777777" w:rsidR="003B75E2" w:rsidRPr="00016BD1" w:rsidRDefault="003B75E2" w:rsidP="003B75E2">
      <w:pPr>
        <w:pStyle w:val="52Aufzaehle1Ziffer"/>
      </w:pPr>
      <w:r>
        <w:tab/>
        <w:t>1.</w:t>
      </w:r>
      <w:r>
        <w:tab/>
        <w:t>Le mandataire doit être une personne physique ou morale établie en Autriche.</w:t>
      </w:r>
    </w:p>
    <w:p w14:paraId="0891CC7E" w14:textId="77777777" w:rsidR="003B75E2" w:rsidRPr="00016BD1" w:rsidRDefault="003B75E2" w:rsidP="003B75E2">
      <w:pPr>
        <w:pStyle w:val="52Aufzaehle1Ziffer"/>
      </w:pPr>
      <w:r>
        <w:tab/>
        <w:t>2.</w:t>
      </w:r>
      <w:r>
        <w:tab/>
        <w:t>Il doit y avoir une adresse de livraison en Autriche.</w:t>
      </w:r>
    </w:p>
    <w:p w14:paraId="5C5EAA34" w14:textId="77777777" w:rsidR="003B75E2" w:rsidRPr="00016BD1" w:rsidRDefault="003B75E2" w:rsidP="003B75E2">
      <w:pPr>
        <w:pStyle w:val="52Aufzaehle1Ziffer"/>
      </w:pPr>
      <w:r>
        <w:tab/>
        <w:t>3.</w:t>
      </w:r>
      <w:r>
        <w:tab/>
        <w:t xml:space="preserve">La responsabilité du respect des règlements administratifs autrichiens doit être en place (article 9 de la Loi pénale administrative, </w:t>
      </w:r>
      <w:proofErr w:type="spellStart"/>
      <w:r>
        <w:t>VStG</w:t>
      </w:r>
      <w:proofErr w:type="spellEnd"/>
      <w:r>
        <w:t>).</w:t>
      </w:r>
    </w:p>
    <w:p w14:paraId="36B48214" w14:textId="77777777" w:rsidR="003B75E2" w:rsidRPr="00016BD1" w:rsidRDefault="003B75E2" w:rsidP="003B75E2">
      <w:pPr>
        <w:pStyle w:val="52Aufzaehle1Ziffer"/>
      </w:pPr>
      <w:r>
        <w:tab/>
        <w:t>4.</w:t>
      </w:r>
      <w:r>
        <w:tab/>
        <w:t>La désignation doit être faite au moyen d’une procuration certifiée en allemand ou en anglais, à partir de laquelle :</w:t>
      </w:r>
    </w:p>
    <w:p w14:paraId="45EF1667" w14:textId="77777777" w:rsidR="003B75E2" w:rsidRPr="00016BD1" w:rsidRDefault="003B75E2" w:rsidP="003B75E2">
      <w:pPr>
        <w:pStyle w:val="52Aufzaehle2Lit"/>
      </w:pPr>
      <w:r>
        <w:tab/>
        <w:t>a)</w:t>
      </w:r>
      <w:r>
        <w:tab/>
        <w:t xml:space="preserve">le champ d’application de l’autorisation, en particulier la catégorie de collecte correspondante, </w:t>
      </w:r>
    </w:p>
    <w:p w14:paraId="003B3ECB" w14:textId="77777777" w:rsidR="003B75E2" w:rsidRPr="00016BD1" w:rsidRDefault="003B75E2" w:rsidP="003B75E2">
      <w:pPr>
        <w:pStyle w:val="52Aufzaehle2Lit"/>
      </w:pPr>
      <w:r>
        <w:tab/>
        <w:t>b)</w:t>
      </w:r>
      <w:r>
        <w:tab/>
        <w:t xml:space="preserve">le consentement exprès du représentant autorisé à remplir les obligations de la personne investie du pouvoir de nomination, et </w:t>
      </w:r>
    </w:p>
    <w:p w14:paraId="7BE4AF42" w14:textId="77777777" w:rsidR="003B75E2" w:rsidRPr="00016BD1" w:rsidRDefault="003B75E2" w:rsidP="003B75E2">
      <w:pPr>
        <w:pStyle w:val="52Aufzaehle2Lit"/>
      </w:pPr>
      <w:r>
        <w:tab/>
        <w:t>c)</w:t>
      </w:r>
      <w:r>
        <w:tab/>
        <w:t>l’assurance contractuelle que la personne a accordé au mandataire le droit de conclure des contrats obligatoires et que tous les documents et moyens nécessaires à l’exercice de ses fonctions seront mis à disposition,</w:t>
      </w:r>
    </w:p>
    <w:p w14:paraId="0F247C0E" w14:textId="77777777" w:rsidR="003B75E2" w:rsidRPr="00016BD1" w:rsidRDefault="003B75E2" w:rsidP="003B75E2">
      <w:pPr>
        <w:pStyle w:val="58Schlussteile1Ziffer"/>
      </w:pPr>
      <w:r>
        <w:t>sont clairs.</w:t>
      </w:r>
    </w:p>
    <w:p w14:paraId="05B7D75E" w14:textId="77777777" w:rsidR="00FB46F1" w:rsidRPr="00016BD1" w:rsidRDefault="00FB46F1" w:rsidP="003B75E2">
      <w:pPr>
        <w:pStyle w:val="51Abs"/>
      </w:pPr>
      <w:r>
        <w:t>(3) Un représentant autorisé des sociétés étrangères de vente par correspondance assume toutes les obligations de la société étrangère de vente par correspondance en vertu de l’article 13 g, paragraphe 1, sous-alinéa 5 de l’AWG 2002 pour les emballages distribués en Autriche aux consommateurs finaux privés. En outre, un mandataire des sociétés étrangères de vente par correspondance remplit les conditions suivantes :</w:t>
      </w:r>
    </w:p>
    <w:p w14:paraId="78CDE00D" w14:textId="77777777" w:rsidR="00FB46F1" w:rsidRPr="00016BD1" w:rsidRDefault="00FB46F1" w:rsidP="00F225D7">
      <w:pPr>
        <w:pStyle w:val="52Aufzaehle1Ziffer"/>
      </w:pPr>
      <w:r>
        <w:tab/>
        <w:t>1.</w:t>
      </w:r>
      <w:r>
        <w:tab/>
        <w:t>Inscription en qualité de mandataire dans le registre visé à l’article 22(1) de l’AWG 2002, précisant</w:t>
      </w:r>
    </w:p>
    <w:p w14:paraId="0D1947B0" w14:textId="77777777" w:rsidR="00FB46F1" w:rsidRPr="00016BD1" w:rsidRDefault="00FB46F1" w:rsidP="00F225D7">
      <w:pPr>
        <w:pStyle w:val="52Aufzaehle2Lit"/>
      </w:pPr>
      <w:r>
        <w:tab/>
        <w:t>a)</w:t>
      </w:r>
      <w:r>
        <w:tab/>
        <w:t>les données visées à l'article 22(2) sous-alinéas 1 à 3 et 10 de l’AWG 2002,</w:t>
      </w:r>
    </w:p>
    <w:p w14:paraId="1DDFF33F" w14:textId="77777777" w:rsidR="00FB46F1" w:rsidRPr="00016BD1" w:rsidRDefault="00FB46F1" w:rsidP="00F225D7">
      <w:pPr>
        <w:pStyle w:val="52Aufzaehle2Lit"/>
      </w:pPr>
      <w:r>
        <w:tab/>
        <w:t>b)</w:t>
      </w:r>
      <w:r>
        <w:tab/>
        <w:t>le numéro d’identification fiscale,</w:t>
      </w:r>
    </w:p>
    <w:p w14:paraId="3383763A" w14:textId="77777777" w:rsidR="00FB46F1" w:rsidRPr="00016BD1" w:rsidRDefault="00FB46F1" w:rsidP="00F225D7">
      <w:pPr>
        <w:pStyle w:val="52Aufzaehle2Lit"/>
      </w:pPr>
      <w:r>
        <w:tab/>
        <w:t>c)</w:t>
      </w:r>
      <w:r>
        <w:tab/>
        <w:t>l’emballage mis sur le marché, ventilé par emballage ménager et emballage commercial, en précisant la catégorie de collecte, et</w:t>
      </w:r>
    </w:p>
    <w:p w14:paraId="555B6DB4" w14:textId="77777777" w:rsidR="00FB46F1" w:rsidRPr="00016BD1" w:rsidRDefault="00FB46F1" w:rsidP="00F225D7">
      <w:pPr>
        <w:pStyle w:val="52Aufzaehle2Lit"/>
      </w:pPr>
      <w:r>
        <w:tab/>
        <w:t>d)</w:t>
      </w:r>
      <w:r>
        <w:tab/>
        <w:t>le système de collecte et de valorisation correspondant ;</w:t>
      </w:r>
    </w:p>
    <w:p w14:paraId="2F8C7C0A" w14:textId="77777777" w:rsidR="00FB46F1" w:rsidRPr="00016BD1" w:rsidRDefault="00FB46F1" w:rsidP="00F225D7">
      <w:pPr>
        <w:pStyle w:val="52Aufzaehle1Ziffer"/>
      </w:pPr>
      <w:r>
        <w:tab/>
        <w:t>2.</w:t>
      </w:r>
      <w:r>
        <w:tab/>
        <w:t>La notification des données visées au sous-alinéa 1 séparément pour chaque société de vente par correspondance au registre visé à l’article 22(1) de l’AWG 2002 ; et</w:t>
      </w:r>
    </w:p>
    <w:p w14:paraId="3B7F69D1" w14:textId="77777777" w:rsidR="00FB46F1" w:rsidRPr="00016BD1" w:rsidRDefault="00FB46F1" w:rsidP="00F225D7">
      <w:pPr>
        <w:pStyle w:val="52Aufzaehle1Ziffer"/>
      </w:pPr>
      <w:r>
        <w:tab/>
        <w:t>3.</w:t>
      </w:r>
      <w:r>
        <w:tab/>
        <w:t>Notification immédiate, au moyen du registre visé à l'article 22(1) de l’AWG 2002, de la cessation d’activité d’une société de commande par correspondance ou d’un mandataire.</w:t>
      </w:r>
    </w:p>
    <w:p w14:paraId="220B5D21" w14:textId="77777777" w:rsidR="00FB46F1" w:rsidRPr="00016BD1" w:rsidRDefault="00FB46F1" w:rsidP="00F225D7">
      <w:pPr>
        <w:pStyle w:val="58Schlussteile0Abs"/>
      </w:pPr>
      <w:r>
        <w:t>Les modifications des données visées aux points 1 et 2 doivent être notifiées au registre dans un délai d’un mois.</w:t>
      </w:r>
    </w:p>
    <w:p w14:paraId="29008B8A" w14:textId="77777777" w:rsidR="00FB46F1" w:rsidRPr="00016BD1" w:rsidRDefault="00FB46F1" w:rsidP="00F225D7">
      <w:pPr>
        <w:pStyle w:val="51Abs"/>
      </w:pPr>
      <w:r>
        <w:t>(4) Ce n’est que si les conditions énoncées au paragraphe 2 sont remplies que le Ministre fédéral de l’action pour le climat, de l’environnement, de l’énergie, de la mobilité, de l’innovation et de la technologie désigne un représentant autorisé dans le registre visé à l’article 22(1) de l’AWG 2002. Si l’une des conditions énoncées au paragraphe (2) cesse d’être remplie, le ministre fédéral supprime la désignation comme représentant autorisé. Si la désignation est refusée ou supprimée, le Ministre fédéral émet un avis de décision correspondant sur demande.</w:t>
      </w:r>
    </w:p>
    <w:p w14:paraId="14F5EABA" w14:textId="77777777" w:rsidR="00FB46F1" w:rsidRPr="00016BD1" w:rsidRDefault="00FB46F1" w:rsidP="00F225D7">
      <w:pPr>
        <w:pStyle w:val="51Abs"/>
      </w:pPr>
      <w:r>
        <w:t>(5) La désignation d’un représentant autorisé pour les sociétés étrangères de vente par correspondance peut avoir lieu à partir du 1er octobre 2022 ; toutefois, cette nomination ne prend effet que le 1er janvier 2023. </w:t>
      </w:r>
    </w:p>
    <w:p w14:paraId="393AA0E3" w14:textId="77777777" w:rsidR="00FB46F1" w:rsidRPr="00016BD1" w:rsidRDefault="00FB46F1" w:rsidP="00F225D7">
      <w:pPr>
        <w:pStyle w:val="45UeberschrPara"/>
      </w:pPr>
      <w:r>
        <w:t>Représentant autorisé pour les producteurs étrangers (produits plastiques à usage unique)</w:t>
      </w:r>
    </w:p>
    <w:p w14:paraId="193AEA9A" w14:textId="77777777" w:rsidR="00FB46F1" w:rsidRPr="00016BD1" w:rsidRDefault="00FB46F1" w:rsidP="00F225D7">
      <w:pPr>
        <w:pStyle w:val="51Abs"/>
      </w:pPr>
      <w:r>
        <w:rPr>
          <w:rStyle w:val="991GldSymbol"/>
        </w:rPr>
        <w:t>Article 16c.</w:t>
      </w:r>
      <w:r>
        <w:t xml:space="preserve"> (1) Les producteurs, conformément à l’article 12a, paragraphe 4, sous-alinéa 2 de l’AWG 2002, de lingettes humides et de ballons conformément à l’</w:t>
      </w:r>
      <w:r>
        <w:rPr>
          <w:b/>
        </w:rPr>
        <w:t>annexe 6</w:t>
      </w:r>
      <w:r>
        <w:t>, point 2.2, de produits à base de tabac conformément à l’</w:t>
      </w:r>
      <w:r>
        <w:rPr>
          <w:b/>
        </w:rPr>
        <w:t>annexe 6</w:t>
      </w:r>
      <w:r>
        <w:t>, point 2.3, et les producteurs conformément à l’article 12a, paragraphe 5, sous-alinéa 2 de l’AWG 2002, d’équipement de pêche tels que définis à l’article 3, sous-alinéa 27, et établis dans un autre État membre de l’Union européenne, peuvent désigner un représentant autorisé. Ce dernier est donc responsable de l’exécution des obligations respectives des producteurs. Cette option existe pour les produits plastiques à usage unique mis sur le marché en Autriche à partir du 1er janvier 2023. Pour l’enregistrement en tant que mandataire, les conditions suivantes doivent être remplies :</w:t>
      </w:r>
    </w:p>
    <w:p w14:paraId="0446CA06" w14:textId="77777777" w:rsidR="00FB46F1" w:rsidRPr="00016BD1" w:rsidRDefault="00FB46F1" w:rsidP="00F225D7">
      <w:pPr>
        <w:pStyle w:val="52Aufzaehle1Ziffer"/>
      </w:pPr>
      <w:r>
        <w:tab/>
        <w:t>1.</w:t>
      </w:r>
      <w:r>
        <w:tab/>
        <w:t>Le mandataire doit être une personne physique ou morale établie en Autriche.</w:t>
      </w:r>
    </w:p>
    <w:p w14:paraId="2AC104E0" w14:textId="77777777" w:rsidR="00FB46F1" w:rsidRPr="00016BD1" w:rsidRDefault="00FB46F1" w:rsidP="00F225D7">
      <w:pPr>
        <w:pStyle w:val="52Aufzaehle1Ziffer"/>
      </w:pPr>
      <w:r>
        <w:tab/>
        <w:t>2.</w:t>
      </w:r>
      <w:r>
        <w:tab/>
        <w:t>Il doit y avoir une adresse de livraison en Autriche.</w:t>
      </w:r>
    </w:p>
    <w:p w14:paraId="49E4BDCC" w14:textId="77777777" w:rsidR="00FB46F1" w:rsidRPr="00016BD1" w:rsidRDefault="00FB46F1" w:rsidP="00F225D7">
      <w:pPr>
        <w:pStyle w:val="52Aufzaehle1Ziffer"/>
      </w:pPr>
      <w:r>
        <w:tab/>
        <w:t>3.</w:t>
      </w:r>
      <w:r>
        <w:tab/>
        <w:t xml:space="preserve">La responsabilité du respect des règlements administratifs autrichiens doit être en place (article 9 de la Loi pénale administrative, </w:t>
      </w:r>
      <w:proofErr w:type="spellStart"/>
      <w:r>
        <w:t>VStG</w:t>
      </w:r>
      <w:proofErr w:type="spellEnd"/>
      <w:r>
        <w:t>).</w:t>
      </w:r>
    </w:p>
    <w:p w14:paraId="67520C54" w14:textId="77777777" w:rsidR="00D10F49" w:rsidRPr="00016BD1" w:rsidRDefault="00FB46F1" w:rsidP="00F225D7">
      <w:pPr>
        <w:pStyle w:val="52Aufzaehle1Ziffer"/>
      </w:pPr>
      <w:r>
        <w:lastRenderedPageBreak/>
        <w:tab/>
        <w:t>4.</w:t>
      </w:r>
      <w:r>
        <w:tab/>
        <w:t xml:space="preserve">La désignation doit être faite au moyen d’une procuration certifiée en allemand ou en anglais, à partir de laquelle : </w:t>
      </w:r>
    </w:p>
    <w:p w14:paraId="51AFEED2" w14:textId="77777777" w:rsidR="00D10F49" w:rsidRPr="00016BD1" w:rsidRDefault="00D10F49" w:rsidP="00D10F49">
      <w:pPr>
        <w:pStyle w:val="52Aufzaehle2Lit"/>
      </w:pPr>
      <w:r>
        <w:tab/>
        <w:t>a)</w:t>
      </w:r>
      <w:r>
        <w:tab/>
        <w:t xml:space="preserve">le champ d’application de l’autorisation, </w:t>
      </w:r>
    </w:p>
    <w:p w14:paraId="6569D53D" w14:textId="77777777" w:rsidR="00D10F49" w:rsidRPr="00016BD1" w:rsidRDefault="00D10F49" w:rsidP="00D10F49">
      <w:pPr>
        <w:pStyle w:val="52Aufzaehle2Lit"/>
      </w:pPr>
      <w:r>
        <w:tab/>
        <w:t>b)</w:t>
      </w:r>
      <w:r>
        <w:tab/>
        <w:t xml:space="preserve">le consentement exprès du mandataire pour remplir les obligations du producteur désigné, et </w:t>
      </w:r>
    </w:p>
    <w:p w14:paraId="28267508" w14:textId="77777777" w:rsidR="00D10F49" w:rsidRPr="00016BD1" w:rsidRDefault="00D10F49" w:rsidP="00D10F49">
      <w:pPr>
        <w:pStyle w:val="52Aufzaehle2Lit"/>
      </w:pPr>
      <w:r>
        <w:tab/>
        <w:t>c)</w:t>
      </w:r>
      <w:r>
        <w:tab/>
        <w:t>l’assurance contractuelle que le producteur a accordé au mandataire le droit de conclure des contrats obligatoires et que tous les documents et moyens nécessaires à l’exercice de ses fonctions seront mis à disposition,</w:t>
      </w:r>
    </w:p>
    <w:p w14:paraId="66646EA6" w14:textId="77777777" w:rsidR="00FB46F1" w:rsidRPr="00016BD1" w:rsidRDefault="00FB46F1" w:rsidP="00D10F49">
      <w:pPr>
        <w:pStyle w:val="58Schlussteile1Ziffer"/>
      </w:pPr>
      <w:r>
        <w:t>sont clairs.</w:t>
      </w:r>
    </w:p>
    <w:p w14:paraId="35F5BFBB" w14:textId="77777777" w:rsidR="00FB46F1" w:rsidRPr="00016BD1" w:rsidRDefault="00FB46F1" w:rsidP="00F225D7">
      <w:pPr>
        <w:pStyle w:val="51Abs"/>
      </w:pPr>
      <w:r>
        <w:t>(2) Un représentant autorisé d’une personne étrangère assume toutes les obligations du producteur en vertu de l’article 12a, paragraphe 4, sous-alinéa 2 ou du paragraphe 5, sous-alinéa 2 de l’AWG 2002 pour les produits plastiques à usage unique visés au paragraphe 1, qu’il distribue en Autriche mais pas aux consommateurs finaux privés. Le mandataire remplit notamment les obligations suivantes dans l’exercice de ses fonctions :</w:t>
      </w:r>
    </w:p>
    <w:p w14:paraId="2FC93237" w14:textId="77777777" w:rsidR="00FB46F1" w:rsidRPr="00016BD1" w:rsidRDefault="00FB46F1" w:rsidP="00F225D7">
      <w:pPr>
        <w:pStyle w:val="52Aufzaehle1Ziffer"/>
      </w:pPr>
      <w:r>
        <w:tab/>
        <w:t>1.</w:t>
      </w:r>
      <w:r>
        <w:tab/>
        <w:t>Inscription en qualité de mandataire dans le registre visé à l’article 22(1) de l’AWG 2002, précisant</w:t>
      </w:r>
    </w:p>
    <w:p w14:paraId="5498342E" w14:textId="77777777" w:rsidR="00FB46F1" w:rsidRPr="00016BD1" w:rsidRDefault="00FB46F1" w:rsidP="00F225D7">
      <w:pPr>
        <w:pStyle w:val="52Aufzaehle2Lit"/>
      </w:pPr>
      <w:r>
        <w:tab/>
        <w:t>a)</w:t>
      </w:r>
      <w:r>
        <w:tab/>
        <w:t>les données visées à l'article 22(2) sous-alinéas 1 à 3 et 10 de l’AWG 2002,</w:t>
      </w:r>
    </w:p>
    <w:p w14:paraId="6E16BE7F" w14:textId="77777777" w:rsidR="00FB46F1" w:rsidRPr="00016BD1" w:rsidRDefault="00FB46F1" w:rsidP="00F225D7">
      <w:pPr>
        <w:pStyle w:val="52Aufzaehle2Lit"/>
      </w:pPr>
      <w:r>
        <w:tab/>
        <w:t>b)</w:t>
      </w:r>
      <w:r>
        <w:tab/>
        <w:t>le numéro d’identification fiscale,</w:t>
      </w:r>
    </w:p>
    <w:p w14:paraId="7996FCA7" w14:textId="77777777" w:rsidR="00FB46F1" w:rsidRPr="00016BD1" w:rsidRDefault="00FB46F1" w:rsidP="00F225D7">
      <w:pPr>
        <w:pStyle w:val="52Aufzaehle2Lit"/>
      </w:pPr>
      <w:r>
        <w:tab/>
        <w:t>c)</w:t>
      </w:r>
      <w:r>
        <w:tab/>
        <w:t>les produits plastiques à usage unique visés au paragraphe 1 mis sur le marché,</w:t>
      </w:r>
    </w:p>
    <w:p w14:paraId="30678FE0" w14:textId="77777777" w:rsidR="00FB46F1" w:rsidRPr="00016BD1" w:rsidRDefault="00FB46F1" w:rsidP="00F225D7">
      <w:pPr>
        <w:pStyle w:val="52Aufzaehle2Lit"/>
      </w:pPr>
      <w:r>
        <w:tab/>
        <w:t>d)</w:t>
      </w:r>
      <w:r>
        <w:tab/>
        <w:t>le système de collecte et de valorisation correspondant ;</w:t>
      </w:r>
    </w:p>
    <w:p w14:paraId="10074BEF" w14:textId="77777777" w:rsidR="00FB46F1" w:rsidRPr="00016BD1" w:rsidRDefault="00FB46F1" w:rsidP="00F225D7">
      <w:pPr>
        <w:pStyle w:val="52Aufzaehle1Ziffer"/>
      </w:pPr>
      <w:r>
        <w:tab/>
        <w:t>2.</w:t>
      </w:r>
      <w:r>
        <w:tab/>
        <w:t>La notification des données visées au sous-alinéa 1 séparément pour chaque producteur ordonnateur au registre visé à l’article 22, paragraphe 1, de l’AWG 2002 ;</w:t>
      </w:r>
    </w:p>
    <w:p w14:paraId="02F8D536" w14:textId="77777777" w:rsidR="00FB46F1" w:rsidRPr="00016BD1" w:rsidRDefault="00FB46F1" w:rsidP="00F225D7">
      <w:pPr>
        <w:pStyle w:val="52Aufzaehle1Ziffer"/>
      </w:pPr>
      <w:r>
        <w:tab/>
        <w:t>3.</w:t>
      </w:r>
      <w:r>
        <w:tab/>
        <w:t>Information de chaque producteur concerné, conformément à l’article 12a, paragraphe 4, sous-alinéa 1 et paragraphe 5, sous-paragraphe 1 de l’AWG 2002, de la nature et de la portée de l’autorisation, ainsi que de toute modification apportée à celle-ci et de la masse des produits plastiques à usage unique visés au paragraphe 1 concernant le producteur, dont le producteur ordonnateur est responsable ;</w:t>
      </w:r>
    </w:p>
    <w:p w14:paraId="1F1833BD" w14:textId="77777777" w:rsidR="00FB46F1" w:rsidRPr="00016BD1" w:rsidRDefault="00FB46F1" w:rsidP="00F225D7">
      <w:pPr>
        <w:pStyle w:val="52Aufzaehle1Ziffer"/>
      </w:pPr>
      <w:r>
        <w:tab/>
        <w:t>4.</w:t>
      </w:r>
      <w:r>
        <w:tab/>
        <w:t>Envoi d'une liste des producteurs concernés conformément à l’article 12a(4) sous-alinéa 1 et (5) sous-alinéa 1 de l'AWG 2002 au registre visé à l'article 22(1) de l'AWG 2002 ;</w:t>
      </w:r>
    </w:p>
    <w:p w14:paraId="7E859933" w14:textId="77777777" w:rsidR="00FB46F1" w:rsidRPr="00016BD1" w:rsidRDefault="00FB46F1" w:rsidP="00F225D7">
      <w:pPr>
        <w:pStyle w:val="52Aufzaehle1Ziffer"/>
      </w:pPr>
      <w:r>
        <w:tab/>
        <w:t>5.</w:t>
      </w:r>
      <w:r>
        <w:tab/>
        <w:t>Notification immédiate, au moyen du registre visé à l’article 22, paragraphe 1, de l’AWG 2002, de la cessation d’activité d’un producteur ou d’un mandataire.</w:t>
      </w:r>
    </w:p>
    <w:p w14:paraId="66532B91" w14:textId="77777777" w:rsidR="00FB46F1" w:rsidRPr="00016BD1" w:rsidRDefault="00FB46F1" w:rsidP="00F225D7">
      <w:pPr>
        <w:pStyle w:val="58Schlussteile0Abs"/>
      </w:pPr>
      <w:r>
        <w:t>Les modifications des données visées aux sous-alinéas 1, 2 et 4 doivent être notifiées au registre visé à l’article 22(1) de l’AWG 2002 dans un délai d’un mois.</w:t>
      </w:r>
    </w:p>
    <w:p w14:paraId="1FBB4533" w14:textId="77777777" w:rsidR="00FB46F1" w:rsidRPr="00016BD1" w:rsidRDefault="00FB46F1" w:rsidP="00F225D7">
      <w:pPr>
        <w:pStyle w:val="51Abs"/>
      </w:pPr>
      <w:r>
        <w:t>(3) Ce n’est que si les conditions énoncées au paragraphe 1 sont remplies que le ministre fédéral de l’action pour le climat, de l’environnement, de l’énergie, de la mobilité, de l’innovation et de la technologie désigne un représentant autorisé dans le registre visé à l'article 22(1) de l’AWG 2002. Si l’une des conditions énoncées au paragraphe (1) cesse d’être remplie ou si le producteur ou le représentant autorisé cesse ses activités, le ministre fédéral supprime la désignation comme représentant autorisé. Si la désignation est refusée ou supprimée, le Ministre fédéral émet un avis de décision correspondant sur demande.</w:t>
      </w:r>
    </w:p>
    <w:p w14:paraId="6E5A821A" w14:textId="77777777" w:rsidR="00FB46F1" w:rsidRPr="00016BD1" w:rsidRDefault="00FB46F1" w:rsidP="00F225D7">
      <w:pPr>
        <w:pStyle w:val="51Abs"/>
      </w:pPr>
      <w:r>
        <w:t>(4) Pour s'acquitter des obligations qui lui incombent en vertu de la présente Ordonnance, un étranger ne peut nommer qu'un seul représentant autorisé. La nomination d’un représentant autorisé ainsi que les modifications ou la résiliation d’une autorisation ne peuvent prendre effet qu’à l’expiration d’un trimestre civil.</w:t>
      </w:r>
    </w:p>
    <w:p w14:paraId="213E11B7" w14:textId="77777777" w:rsidR="00FB46F1" w:rsidRPr="00016BD1" w:rsidRDefault="00FB46F1" w:rsidP="00F225D7">
      <w:pPr>
        <w:pStyle w:val="51Abs"/>
      </w:pPr>
      <w:r>
        <w:t xml:space="preserve">(5) La désignation d’un représentant autorisé pour les producteurs étrangers peut avoir lieu à partir du 1er octobre 2022 ; toutefois, cette nomination ne prend effet que le 1er janvier 2023. </w:t>
      </w:r>
    </w:p>
    <w:p w14:paraId="653A4D1B" w14:textId="77777777" w:rsidR="00FB46F1" w:rsidRPr="00016BD1" w:rsidRDefault="00FB46F1" w:rsidP="00F225D7">
      <w:pPr>
        <w:pStyle w:val="45UeberschrPara"/>
      </w:pPr>
      <w:r>
        <w:t>Représentant autorisé pour les commerçants étrangers à distance (produits plastiques à usage unique)</w:t>
      </w:r>
    </w:p>
    <w:p w14:paraId="08ACE46C" w14:textId="77777777" w:rsidR="00FB46F1" w:rsidRPr="00016BD1" w:rsidRDefault="00FB46F1" w:rsidP="00F225D7">
      <w:pPr>
        <w:pStyle w:val="51Abs"/>
      </w:pPr>
      <w:r>
        <w:rPr>
          <w:rStyle w:val="991GldSymbol"/>
        </w:rPr>
        <w:t>Article 16d.</w:t>
      </w:r>
      <w:r>
        <w:t xml:space="preserve"> (1) Les producteurs visés à l’article 12a, paragraphe 4, sous-alinéa 3, de l’AWG 2002 désignent, pour les lingettes humides et les ballons conformément à l’</w:t>
      </w:r>
      <w:r>
        <w:rPr>
          <w:b/>
        </w:rPr>
        <w:t>annexe 6</w:t>
      </w:r>
      <w:r>
        <w:t>, point 2.2. mis sur le marché en Autriche à partir du 1er janvier 2023, les produits à base de tabac conformément à l’</w:t>
      </w:r>
      <w:r>
        <w:rPr>
          <w:b/>
        </w:rPr>
        <w:t>annexe 6</w:t>
      </w:r>
      <w:r>
        <w:t>, point 2.3. ainsi que les producteurs conformément au paragraphe 12a, paragraphe 5, sous-alinéa 3, de l’AWG 2002 d’équipement de pêche défini à l’article 3, sous-alinéa 27, désignent un représentant autorisé pour les commerçants étrangers à distance. Ce dernier est responsable du respect des obligations respectives imposées au producteur pour ces produits plastiques à usage unique en Autriche. Un producteur ne peut nommer qu’un seul mandataire. La nomination d’un représentant autorisé ainsi que les modifications ou la résiliation d’une autorisation ne peuvent prendre effet qu’à l’expiration d’un trimestre civil. Si l’autorisation cesse au cours d’un trimestre civil, le producteur, conformément à l’article 12a(4) sous-alinéa 3 et (5) sous-</w:t>
      </w:r>
      <w:r>
        <w:lastRenderedPageBreak/>
        <w:t>sous-alinéa 3 de l’AWG 2002, veille à ce qu’un nouveau mandataire continue de s’acquitter de ses obligations sans interruption.</w:t>
      </w:r>
    </w:p>
    <w:p w14:paraId="6BC3AE04" w14:textId="77777777" w:rsidR="00FB46F1" w:rsidRPr="00016BD1" w:rsidRDefault="00FB46F1" w:rsidP="00F225D7">
      <w:pPr>
        <w:pStyle w:val="51Abs"/>
      </w:pPr>
      <w:r>
        <w:t>(2) Pour l’enregistrement en tant que représentant autorisé des commerçants à distance étrangers, les conditions suivantes doivent être remplies:</w:t>
      </w:r>
    </w:p>
    <w:p w14:paraId="4CF7C4CA" w14:textId="77777777" w:rsidR="00FB46F1" w:rsidRPr="00016BD1" w:rsidRDefault="00FB46F1" w:rsidP="00F225D7">
      <w:pPr>
        <w:pStyle w:val="52Aufzaehle1Ziffer"/>
      </w:pPr>
      <w:r>
        <w:tab/>
        <w:t>1.</w:t>
      </w:r>
      <w:r>
        <w:tab/>
        <w:t>Le mandataire doit être une personne physique ou morale établie en Autriche.</w:t>
      </w:r>
    </w:p>
    <w:p w14:paraId="5845649B" w14:textId="77777777" w:rsidR="00FB46F1" w:rsidRPr="00016BD1" w:rsidRDefault="00FB46F1" w:rsidP="00F225D7">
      <w:pPr>
        <w:pStyle w:val="52Aufzaehle1Ziffer"/>
      </w:pPr>
      <w:r>
        <w:tab/>
        <w:t>2.</w:t>
      </w:r>
      <w:r>
        <w:tab/>
        <w:t>Il doit y avoir une adresse de livraison en Autriche.</w:t>
      </w:r>
    </w:p>
    <w:p w14:paraId="7931655F" w14:textId="77777777" w:rsidR="00FB46F1" w:rsidRPr="00016BD1" w:rsidRDefault="00FB46F1" w:rsidP="00F225D7">
      <w:pPr>
        <w:pStyle w:val="52Aufzaehle1Ziffer"/>
      </w:pPr>
      <w:r>
        <w:tab/>
        <w:t>3.</w:t>
      </w:r>
      <w:r>
        <w:tab/>
        <w:t xml:space="preserve">La responsabilité du respect des règlements administratifs autrichiens doit être en place (article 9 de la Loi pénale administrative, </w:t>
      </w:r>
      <w:proofErr w:type="spellStart"/>
      <w:r>
        <w:t>VStG</w:t>
      </w:r>
      <w:proofErr w:type="spellEnd"/>
      <w:r>
        <w:t>).</w:t>
      </w:r>
    </w:p>
    <w:p w14:paraId="770AF042" w14:textId="77777777" w:rsidR="00D10F49" w:rsidRPr="00016BD1" w:rsidRDefault="00FB46F1" w:rsidP="00F225D7">
      <w:pPr>
        <w:pStyle w:val="52Aufzaehle1Ziffer"/>
      </w:pPr>
      <w:r>
        <w:tab/>
        <w:t>4.</w:t>
      </w:r>
      <w:r>
        <w:tab/>
        <w:t xml:space="preserve">La désignation doit être faite au moyen d’une procuration certifiée en allemand ou en anglais, à partir de laquelle : </w:t>
      </w:r>
    </w:p>
    <w:p w14:paraId="79B012D4" w14:textId="77777777" w:rsidR="00D10F49" w:rsidRPr="00016BD1" w:rsidRDefault="00D10F49" w:rsidP="00D10F49">
      <w:pPr>
        <w:pStyle w:val="52Aufzaehle2Lit"/>
      </w:pPr>
      <w:r>
        <w:tab/>
        <w:t>a)</w:t>
      </w:r>
      <w:r>
        <w:tab/>
        <w:t xml:space="preserve">le champ d’application de l’autorisation, </w:t>
      </w:r>
    </w:p>
    <w:p w14:paraId="72CF3CC8" w14:textId="77777777" w:rsidR="00D10F49" w:rsidRPr="00016BD1" w:rsidRDefault="00D10F49" w:rsidP="00D10F49">
      <w:pPr>
        <w:pStyle w:val="52Aufzaehle2Lit"/>
      </w:pPr>
      <w:r>
        <w:tab/>
        <w:t>b)</w:t>
      </w:r>
      <w:r>
        <w:tab/>
        <w:t xml:space="preserve">le consentement exprès du mandataire pour remplir les obligations du producteur désigné, et </w:t>
      </w:r>
    </w:p>
    <w:p w14:paraId="135BC8E8" w14:textId="77777777" w:rsidR="00D10F49" w:rsidRPr="00016BD1" w:rsidRDefault="00D10F49" w:rsidP="00D10F49">
      <w:pPr>
        <w:pStyle w:val="52Aufzaehle2Lit"/>
      </w:pPr>
      <w:r>
        <w:tab/>
        <w:t>c)</w:t>
      </w:r>
      <w:r>
        <w:tab/>
        <w:t xml:space="preserve">l’assurance contractuelle que le producteur a accordé au mandataire le droit de conclure des contrats obligatoires et que tous les documents et moyens nécessaires à l’exercice de ses fonctions seront mis à disposition, </w:t>
      </w:r>
    </w:p>
    <w:p w14:paraId="433736AF" w14:textId="77777777" w:rsidR="00FB46F1" w:rsidRPr="00016BD1" w:rsidRDefault="00FB46F1" w:rsidP="00D10F49">
      <w:pPr>
        <w:pStyle w:val="58Schlussteile1Ziffer"/>
      </w:pPr>
      <w:r>
        <w:t>sont clairs.</w:t>
      </w:r>
    </w:p>
    <w:p w14:paraId="3839BF93" w14:textId="77777777" w:rsidR="00FB46F1" w:rsidRPr="00016BD1" w:rsidRDefault="00FB46F1" w:rsidP="00F225D7">
      <w:pPr>
        <w:pStyle w:val="51Abs"/>
      </w:pPr>
      <w:r>
        <w:t>(3) Un représentant autorisé des commerçants étrangers à distance assume toutes les obligations du commerçant étranger à distance en vertu de l’article 12a, paragraphe 4, sous-alinéa 3 ou paragraphe 5, sous-alinéa 3 de l’AWG 2002 pour les produits plastiques à usage unique visés au paragraphe 1, distribués en Autriche mais non aux consommateurs finaux privés. En outre, un représentant agréé des commerçants étrangers à distance remplit les conditions suivantes :</w:t>
      </w:r>
    </w:p>
    <w:p w14:paraId="1A7748BD" w14:textId="77777777" w:rsidR="00FB46F1" w:rsidRPr="00016BD1" w:rsidRDefault="00FB46F1" w:rsidP="00F225D7">
      <w:pPr>
        <w:pStyle w:val="52Aufzaehle1Ziffer"/>
      </w:pPr>
      <w:r>
        <w:tab/>
        <w:t>1.</w:t>
      </w:r>
      <w:r>
        <w:tab/>
        <w:t>Inscription en qualité de mandataire dans le registre visé à l’article 22(1) de l’AWG 2002, précisant</w:t>
      </w:r>
    </w:p>
    <w:p w14:paraId="6D2E486F" w14:textId="77777777" w:rsidR="00FB46F1" w:rsidRPr="00016BD1" w:rsidRDefault="00FB46F1" w:rsidP="00F225D7">
      <w:pPr>
        <w:pStyle w:val="52Aufzaehle2Lit"/>
      </w:pPr>
      <w:r>
        <w:tab/>
        <w:t>a)</w:t>
      </w:r>
      <w:r>
        <w:tab/>
        <w:t>les données visées à l'article 22(2) sous-alinéas 1 à 3 et 10 de l’AWG 2002,</w:t>
      </w:r>
    </w:p>
    <w:p w14:paraId="239DB8FF" w14:textId="77777777" w:rsidR="00FB46F1" w:rsidRPr="00016BD1" w:rsidRDefault="00FB46F1" w:rsidP="00F225D7">
      <w:pPr>
        <w:pStyle w:val="52Aufzaehle2Lit"/>
      </w:pPr>
      <w:r>
        <w:tab/>
        <w:t>b)</w:t>
      </w:r>
      <w:r>
        <w:tab/>
        <w:t>le numéro d’identification fiscale,</w:t>
      </w:r>
    </w:p>
    <w:p w14:paraId="74CECD0D" w14:textId="77777777" w:rsidR="00FB46F1" w:rsidRPr="00016BD1" w:rsidRDefault="00FB46F1" w:rsidP="00F225D7">
      <w:pPr>
        <w:pStyle w:val="52Aufzaehle2Lit"/>
      </w:pPr>
      <w:r>
        <w:tab/>
        <w:t>c)</w:t>
      </w:r>
      <w:r>
        <w:tab/>
        <w:t>les produits plastiques à usage unique visés au paragraphe 1 mis sur le marché,</w:t>
      </w:r>
    </w:p>
    <w:p w14:paraId="3C9D5153" w14:textId="77777777" w:rsidR="00FB46F1" w:rsidRPr="00016BD1" w:rsidRDefault="00FB46F1" w:rsidP="00F225D7">
      <w:pPr>
        <w:pStyle w:val="52Aufzaehle2Lit"/>
      </w:pPr>
      <w:r>
        <w:tab/>
        <w:t>d)</w:t>
      </w:r>
      <w:r>
        <w:tab/>
        <w:t>le système de collecte et de valorisation correspondant ;</w:t>
      </w:r>
    </w:p>
    <w:p w14:paraId="7A45C2AD" w14:textId="77777777" w:rsidR="00FB46F1" w:rsidRPr="00016BD1" w:rsidRDefault="00FB46F1" w:rsidP="00F225D7">
      <w:pPr>
        <w:pStyle w:val="52Aufzaehle1Ziffer"/>
      </w:pPr>
      <w:r>
        <w:tab/>
        <w:t>2.</w:t>
      </w:r>
      <w:r>
        <w:tab/>
        <w:t>La notification des données visées au sous-alinéa 1 séparément pour chaque producteur ordonnateur au registre visé à l’article 22, paragraphe 1, de l’AWG 2002 ; et</w:t>
      </w:r>
    </w:p>
    <w:p w14:paraId="614A6BC5" w14:textId="77777777" w:rsidR="00FB46F1" w:rsidRPr="00016BD1" w:rsidRDefault="00FB46F1" w:rsidP="00F225D7">
      <w:pPr>
        <w:pStyle w:val="52Aufzaehle1Ziffer"/>
      </w:pPr>
      <w:r>
        <w:tab/>
        <w:t>3.</w:t>
      </w:r>
      <w:r>
        <w:tab/>
        <w:t>Notification immédiate, au moyen du registre visé à l’article 22, paragraphe 1, de l’AWG 2002, de la cessation d’activité d’un producteur ou d’un mandataire.</w:t>
      </w:r>
    </w:p>
    <w:p w14:paraId="7F154765" w14:textId="77777777" w:rsidR="00FB46F1" w:rsidRPr="00016BD1" w:rsidRDefault="00FB46F1" w:rsidP="00F225D7">
      <w:pPr>
        <w:pStyle w:val="58Schlussteile0Abs"/>
      </w:pPr>
      <w:r>
        <w:t>Les modifications des données visées aux sous-paragraphes 1 et 2 doivent être notifiées au registre visé à l’article 22(1) de l’AWG 2002 dans un délai d’un mois.</w:t>
      </w:r>
    </w:p>
    <w:p w14:paraId="6E60DDEE" w14:textId="77777777" w:rsidR="00FB46F1" w:rsidRPr="00016BD1" w:rsidRDefault="00FB46F1" w:rsidP="00F225D7">
      <w:pPr>
        <w:pStyle w:val="51Abs"/>
      </w:pPr>
      <w:r>
        <w:t>(4) Ce n’est que si les conditions énoncées au paragraphe 2 sont remplies que le Ministre fédéral de l’action pour le climat, de l’environnement, de l’énergie, de la mobilité, de l’innovation et de la technologie désigne un représentant autorisé dans le registre visé à l’article 22(1) de l’AWG 2002. Si l’une des conditions énoncées au paragraphe (2) cesse d’être remplie ou si le producteur ou le représentant autorisé cesse ses activités, le ministre fédéral supprime la désignation comme représentant autorisé. Si la désignation est refusée ou supprimée, le Ministre fédéral émet un avis de décision correspondant sur demande.</w:t>
      </w:r>
    </w:p>
    <w:p w14:paraId="152EF790" w14:textId="77777777" w:rsidR="00FB46F1" w:rsidRPr="00016BD1" w:rsidRDefault="00FB46F1" w:rsidP="00F225D7">
      <w:pPr>
        <w:pStyle w:val="51Abs"/>
      </w:pPr>
      <w:r>
        <w:t>(5) La désignation d’un mandataire pour les commerçants étrangers à distance peut avoir lieu à partir du 1er octobre 2022 ; toutefois, cette nomination ne prend effet que le 1er janvier 2023. </w:t>
      </w:r>
    </w:p>
    <w:p w14:paraId="45DC0BC8" w14:textId="77777777" w:rsidR="0048416F" w:rsidRPr="00016BD1" w:rsidRDefault="0048416F" w:rsidP="00A9409F">
      <w:pPr>
        <w:pStyle w:val="45UeberschrPara"/>
      </w:pPr>
      <w:r>
        <w:t>Représentant autorisé dans un autre État membre</w:t>
      </w:r>
    </w:p>
    <w:p w14:paraId="25BCC18A" w14:textId="77777777" w:rsidR="00FB46F1" w:rsidRPr="00016BD1" w:rsidRDefault="00FB46F1" w:rsidP="00F225D7">
      <w:pPr>
        <w:pStyle w:val="51Abs"/>
      </w:pPr>
      <w:r>
        <w:rPr>
          <w:rStyle w:val="991GldSymbol"/>
        </w:rPr>
        <w:t>Article 16e.</w:t>
      </w:r>
      <w:r>
        <w:t xml:space="preserve"> S’il existe dans un autre État membre de l’Union européenne une obligation pour un exportateur étranger d’emballages, de lingettes humides et de ballons conformément à l’</w:t>
      </w:r>
      <w:r>
        <w:rPr>
          <w:b/>
        </w:rPr>
        <w:t>annexe 6</w:t>
      </w:r>
      <w:r>
        <w:t>, point 2.2, de produits à base de tabac conformément à l’</w:t>
      </w:r>
      <w:r>
        <w:rPr>
          <w:b/>
        </w:rPr>
        <w:t>annexe 6</w:t>
      </w:r>
      <w:r>
        <w:t>, point 2.3, et d’équipements de pêche conformément à l’article 3, sous-alinéa 27, de désigner un représentant autorisé, un exportateur autrichien désigne un représentant autorisé dans cet État membre pour les produits exportés vers cet État membre de l’Union européenne. »</w:t>
      </w:r>
    </w:p>
    <w:p w14:paraId="5559825B" w14:textId="77777777" w:rsidR="00882F47" w:rsidRPr="00016BD1" w:rsidRDefault="006C5635" w:rsidP="00882F47">
      <w:pPr>
        <w:pStyle w:val="21NovAo1"/>
      </w:pPr>
      <w:r>
        <w:t>41. À l'article 17, le paragraphe 1 est remplacé par les paragraphes 1 et 1a comme suit :</w:t>
      </w:r>
    </w:p>
    <w:p w14:paraId="65EAB1E0" w14:textId="77777777" w:rsidR="00FB46F1" w:rsidRPr="00016BD1" w:rsidRDefault="00FB46F1" w:rsidP="00F225D7">
      <w:pPr>
        <w:pStyle w:val="51Abs"/>
      </w:pPr>
      <w:r>
        <w:t>« (1) Les importateurs à usage personnel d’emballages ménagers ou d’emballages commerciaux sont tenus :</w:t>
      </w:r>
    </w:p>
    <w:p w14:paraId="77B6CFE3" w14:textId="77777777" w:rsidR="00FB46F1" w:rsidRPr="00016BD1" w:rsidRDefault="00276387" w:rsidP="00276387">
      <w:pPr>
        <w:pStyle w:val="52Aufzaehle1Ziffer"/>
      </w:pPr>
      <w:r>
        <w:tab/>
        <w:t>1.</w:t>
      </w:r>
      <w:r>
        <w:tab/>
        <w:t>d’inscrire séparément l’emballage qu’ils importent pour leur propre usage, au moins par catégorie de collecte figurant à l’</w:t>
      </w:r>
      <w:r>
        <w:rPr>
          <w:b/>
        </w:rPr>
        <w:t>annexe 5</w:t>
      </w:r>
      <w:r>
        <w:t>, point 2, ainsi que l’emballage en verre et l’emballage composite pour boissons ;</w:t>
      </w:r>
    </w:p>
    <w:p w14:paraId="3B523EC9" w14:textId="77777777" w:rsidR="00FB46F1" w:rsidRPr="00016BD1" w:rsidRDefault="00276387" w:rsidP="00276387">
      <w:pPr>
        <w:pStyle w:val="52Aufzaehle1Ziffer"/>
      </w:pPr>
      <w:r>
        <w:lastRenderedPageBreak/>
        <w:tab/>
        <w:t>2.</w:t>
      </w:r>
      <w:r>
        <w:tab/>
        <w:t>soit</w:t>
      </w:r>
    </w:p>
    <w:p w14:paraId="5D3F80A8" w14:textId="77777777" w:rsidR="00FB46F1" w:rsidRPr="00016BD1" w:rsidRDefault="00FB46F1" w:rsidP="00F225D7">
      <w:pPr>
        <w:pStyle w:val="52Aufzaehle2Lit"/>
      </w:pPr>
      <w:r>
        <w:tab/>
        <w:t>a)</w:t>
      </w:r>
      <w:r>
        <w:tab/>
        <w:t xml:space="preserve">de réutiliser (article 3, sous-alinéa 9) ou récupérer (article 3, sous-alinéas 10 à 12) les emballages enregistrés séparément, les emballages recyclables devant être envoyés à une usine de recyclage à partir de l’année civile 2022 et de manière vérifiable au cours de chaque année civile devant respecter les objectifs de recyclage fixés à l’article 5, compte tenu de la méthode de calcul de l’article 5, paragraphe 6, </w:t>
      </w:r>
      <w:proofErr w:type="gramStart"/>
      <w:r>
        <w:t>ou</w:t>
      </w:r>
      <w:proofErr w:type="gramEnd"/>
    </w:p>
    <w:p w14:paraId="68378C7D" w14:textId="77777777" w:rsidR="00FB46F1" w:rsidRPr="00016BD1" w:rsidRDefault="00FB46F1" w:rsidP="00F225D7">
      <w:pPr>
        <w:pStyle w:val="52Aufzaehle2Lit"/>
      </w:pPr>
      <w:r>
        <w:tab/>
        <w:t>b)</w:t>
      </w:r>
      <w:r>
        <w:tab/>
        <w:t>de participer à un système de collecte et de valorisation de l’emballage enregistré séparément.</w:t>
      </w:r>
    </w:p>
    <w:p w14:paraId="361580FC" w14:textId="77777777" w:rsidR="00FB46F1" w:rsidRPr="00016BD1" w:rsidRDefault="006A102C" w:rsidP="00F225D7">
      <w:pPr>
        <w:pStyle w:val="58Schlussteile0Abs"/>
      </w:pPr>
      <w:r>
        <w:t>S'il n'y a pas de participation conformément au sous-alinéa 2b pour l’emballage importé pour son propre usage, des registres conformes à l’</w:t>
      </w:r>
      <w:r>
        <w:rPr>
          <w:b/>
        </w:rPr>
        <w:t>annexe 3</w:t>
      </w:r>
      <w:r>
        <w:t xml:space="preserve"> doivent être conservés et soumis au ministre fédéral de l’action pour le climat, de l’environnement, de l’énergie, de la mobilité, de l’innovation et de la technologie à tout moment sur demande. De plus, la notification du Ministre fédéral de l’action pour le climat, de l’environnement, de l’énergie, de la mobilité, de l’innovation et de la technologie mentionnée à l’</w:t>
      </w:r>
      <w:r>
        <w:rPr>
          <w:b/>
        </w:rPr>
        <w:t>Annexe 3</w:t>
      </w:r>
      <w:r>
        <w:t xml:space="preserve"> doit être fournie par voie électronique au moyen du registre au plus tard trois mois après la fin de chaque année civile de l’année civile précédente.</w:t>
      </w:r>
    </w:p>
    <w:p w14:paraId="72021AC3" w14:textId="77777777" w:rsidR="00FB46F1" w:rsidRPr="00016BD1" w:rsidRDefault="00FB46F1" w:rsidP="00F225D7">
      <w:pPr>
        <w:pStyle w:val="51Abs"/>
      </w:pPr>
      <w:r>
        <w:t>(1a) À partir du 1er janvier 2023, les importateurs pour usage propre de produits plastiques à usage unique énumérés à l’</w:t>
      </w:r>
      <w:r>
        <w:rPr>
          <w:b/>
        </w:rPr>
        <w:t>annexe 6</w:t>
      </w:r>
      <w:r>
        <w:t xml:space="preserve"> participent, pour ces produits, à un système de collecte et de valorisation des emballages ménagers en ce qui concerne les surtaxes ou les moyens de compensation des coûts pour les obligations visées à l’article 18a, paragraphes 1 et 3. »</w:t>
      </w:r>
    </w:p>
    <w:p w14:paraId="55C99529" w14:textId="77777777" w:rsidR="00FB46F1" w:rsidRPr="00016BD1" w:rsidRDefault="006C5635" w:rsidP="00F225D7">
      <w:pPr>
        <w:pStyle w:val="21NovAo1"/>
      </w:pPr>
      <w:r>
        <w:t>42. Le paragraphe 3 est ajouté à l'article 17 comme suit :</w:t>
      </w:r>
    </w:p>
    <w:p w14:paraId="316C3C82" w14:textId="77777777" w:rsidR="00FB46F1" w:rsidRPr="00016BD1" w:rsidRDefault="00FB46F1" w:rsidP="00F225D7">
      <w:pPr>
        <w:pStyle w:val="51Abs"/>
      </w:pPr>
      <w:r>
        <w:t>« (3) Les obligations prévues aux paragraphes 1 à 2 ne s’appliquent pas si un fournisseur étranger a désigné un mandataire conformément aux articles 16a et 16c.»</w:t>
      </w:r>
    </w:p>
    <w:p w14:paraId="205A0F4F" w14:textId="77777777" w:rsidR="00882F47" w:rsidRPr="00016BD1" w:rsidRDefault="006C5635" w:rsidP="00882F47">
      <w:pPr>
        <w:pStyle w:val="21NovAo1"/>
      </w:pPr>
      <w:r>
        <w:t>43. La section 5 est formulée comme suit :</w:t>
      </w:r>
    </w:p>
    <w:p w14:paraId="3A0A1980" w14:textId="77777777" w:rsidR="00FB46F1" w:rsidRPr="00016BD1" w:rsidRDefault="00FB46F1" w:rsidP="00F225D7">
      <w:pPr>
        <w:pStyle w:val="41UeberschrG1"/>
      </w:pPr>
      <w:r>
        <w:t>« Section 5</w:t>
      </w:r>
    </w:p>
    <w:p w14:paraId="30810823" w14:textId="77777777" w:rsidR="00FB46F1" w:rsidRPr="00016BD1" w:rsidRDefault="00FB46F1" w:rsidP="00F225D7">
      <w:pPr>
        <w:pStyle w:val="43UeberschrG2"/>
      </w:pPr>
      <w:r>
        <w:t>Articles de table et coutellerie à usage unique, produits en plastique à usage unique et équipement de pêche</w:t>
      </w:r>
    </w:p>
    <w:p w14:paraId="6121E8E0" w14:textId="77777777" w:rsidR="00FB46F1" w:rsidRPr="00016BD1" w:rsidRDefault="00DF0E55" w:rsidP="00F225D7">
      <w:pPr>
        <w:pStyle w:val="45UeberschrPara"/>
      </w:pPr>
      <w:r>
        <w:t>Obligations relatives aux articles de table et les couverts à usage unique</w:t>
      </w:r>
    </w:p>
    <w:p w14:paraId="6CEFC21F" w14:textId="77777777" w:rsidR="00FB46F1" w:rsidRPr="00016BD1" w:rsidRDefault="00FB46F1" w:rsidP="00F225D7">
      <w:pPr>
        <w:pStyle w:val="51Abs"/>
      </w:pPr>
      <w:r>
        <w:rPr>
          <w:rStyle w:val="991GldSymbol"/>
        </w:rPr>
        <w:t>Article 18.</w:t>
      </w:r>
      <w:r>
        <w:t xml:space="preserve"> Les producteurs et importateurs d’articles de table et de couverts à usage unique respectent, pour ces produits, les dispositions relatives aux emballages ménagers.</w:t>
      </w:r>
    </w:p>
    <w:p w14:paraId="44F71CEB" w14:textId="77777777" w:rsidR="00FB46F1" w:rsidRPr="00016BD1" w:rsidRDefault="00FB46F1" w:rsidP="00F225D7">
      <w:pPr>
        <w:pStyle w:val="45UeberschrPara"/>
      </w:pPr>
      <w:r>
        <w:t>Obligations et participation au système pour les produits plastiques à usage unique et l’équipement de pêche</w:t>
      </w:r>
    </w:p>
    <w:p w14:paraId="571D2E60" w14:textId="77777777" w:rsidR="00FB46F1" w:rsidRPr="00016BD1" w:rsidRDefault="00FB46F1" w:rsidP="00F225D7">
      <w:pPr>
        <w:pStyle w:val="51Abs"/>
      </w:pPr>
      <w:r>
        <w:rPr>
          <w:rStyle w:val="991GldSymbol"/>
        </w:rPr>
        <w:t>Article 18a.</w:t>
      </w:r>
      <w:r>
        <w:t xml:space="preserve"> (1) Les producteurs visés à l’article 12a(4) et (5) de l’AWG 2002 doivent mettre sur le marché, à compter du 1er janvier 2023, les produits suivants : </w:t>
      </w:r>
    </w:p>
    <w:p w14:paraId="1588EBE6" w14:textId="77777777" w:rsidR="00FB46F1" w:rsidRPr="00016BD1" w:rsidRDefault="00FB46F1" w:rsidP="00F225D7">
      <w:pPr>
        <w:pStyle w:val="52Aufzaehle1Ziffer"/>
      </w:pPr>
      <w:r>
        <w:tab/>
        <w:t>1.</w:t>
      </w:r>
      <w:r>
        <w:tab/>
        <w:t>lingettes humides conformément à l’</w:t>
      </w:r>
      <w:r>
        <w:rPr>
          <w:b/>
        </w:rPr>
        <w:t>annexe 6</w:t>
      </w:r>
      <w:r>
        <w:t>, point 2.2,</w:t>
      </w:r>
    </w:p>
    <w:p w14:paraId="40CE93EC" w14:textId="77777777" w:rsidR="00FB46F1" w:rsidRPr="00016BD1" w:rsidRDefault="00FB46F1" w:rsidP="00F225D7">
      <w:pPr>
        <w:pStyle w:val="52Aufzaehle1Ziffer"/>
      </w:pPr>
      <w:r>
        <w:tab/>
        <w:t>2.</w:t>
      </w:r>
      <w:r>
        <w:tab/>
        <w:t>ballons conformément à l’</w:t>
      </w:r>
      <w:r>
        <w:rPr>
          <w:b/>
        </w:rPr>
        <w:t>annexe 6</w:t>
      </w:r>
      <w:r>
        <w:t>, point 2.2,</w:t>
      </w:r>
    </w:p>
    <w:p w14:paraId="500D9582" w14:textId="77777777" w:rsidR="00FB46F1" w:rsidRPr="00016BD1" w:rsidRDefault="00FB46F1" w:rsidP="00F225D7">
      <w:pPr>
        <w:pStyle w:val="52Aufzaehle1Ziffer"/>
      </w:pPr>
      <w:r>
        <w:tab/>
        <w:t>3.</w:t>
      </w:r>
      <w:r>
        <w:tab/>
        <w:t>produits à base de tabac conformément à l’</w:t>
      </w:r>
      <w:r>
        <w:rPr>
          <w:b/>
        </w:rPr>
        <w:t>annexe 6</w:t>
      </w:r>
      <w:r>
        <w:t>, point 2.3, et</w:t>
      </w:r>
    </w:p>
    <w:p w14:paraId="342D6EB9" w14:textId="77777777" w:rsidR="00FB46F1" w:rsidRPr="00016BD1" w:rsidRDefault="00FB46F1" w:rsidP="00F225D7">
      <w:pPr>
        <w:pStyle w:val="52Aufzaehle1Ziffer"/>
      </w:pPr>
      <w:r>
        <w:tab/>
        <w:t>4.</w:t>
      </w:r>
      <w:r>
        <w:tab/>
        <w:t>équipement de pêche tel que défini à l'article 3, sous-paragraphe 27, contenant du plastique,</w:t>
      </w:r>
    </w:p>
    <w:p w14:paraId="4DFD8885" w14:textId="77777777" w:rsidR="00FB46F1" w:rsidRPr="00016BD1" w:rsidRDefault="00F136F0" w:rsidP="00F225D7">
      <w:pPr>
        <w:pStyle w:val="58Schlussteile0Abs"/>
      </w:pPr>
      <w:r>
        <w:t>doivent prendre en charge les frais de nettoyage des déchets provenant de ces produits, ainsi que les frais de transport et de manutention ultérieurs, ainsi que les frais de sensibilisation et d’information des consommateurs finaux conformément à l’article 20, paragraphe 1. En outre, les frais de collecte et de transmission des déchets des produits conformément aux alinéas 2.2 et 2.3 de l’</w:t>
      </w:r>
      <w:r>
        <w:rPr>
          <w:b/>
        </w:rPr>
        <w:t>annexe 6</w:t>
      </w:r>
      <w:r>
        <w:t xml:space="preserve"> sont à la charge. En outre, pour les déchets provenant de produits énumérés à l’</w:t>
      </w:r>
      <w:r>
        <w:rPr>
          <w:b/>
        </w:rPr>
        <w:t>annexe 6</w:t>
      </w:r>
      <w:r>
        <w:t>, point 2.3, les coûts de la collecte mixte des déchets dans des conteneurs situés dans des zones accessibles au public et du transport et de la manutention ultérieurs ainsi que les coûts de mise en place d’une infrastructure spécifique pour la collecte de ces déchets sont supportés.</w:t>
      </w:r>
    </w:p>
    <w:p w14:paraId="126B43F1" w14:textId="77777777" w:rsidR="00FB46F1" w:rsidRPr="00016BD1" w:rsidRDefault="00FB46F1" w:rsidP="00F225D7">
      <w:pPr>
        <w:pStyle w:val="51Abs"/>
      </w:pPr>
      <w:r>
        <w:t>(2) Les producteurs visés à l'article 12a(4) et (5) de l’AWG 2002 doivent participer à un système de collecte et de valorisation des obligations visées au paragraphe 1. Les participants communiquent les données visées à l'article 21a par année civile aux systèmes de collecte et de valorisation au plus tard le 15 mars de l’année civile suivante.</w:t>
      </w:r>
    </w:p>
    <w:p w14:paraId="381A1E10" w14:textId="77777777" w:rsidR="0097394E" w:rsidRPr="00016BD1" w:rsidRDefault="00F136F0" w:rsidP="00A9409F">
      <w:pPr>
        <w:pStyle w:val="51Abs"/>
      </w:pPr>
      <w:r>
        <w:t>(3) Les entités soumises à l’obligation primaire en vertu de l’article 13 g, paragraphe 1, de AWG 2002 supportent les frais de collecte mixte des déchets dans des conteneurs situés dans des zones accessibles au public (zones d'une municipalité ou d'un organisme public ou zones de transport public) pour les déchets d'emballages conformément à l’</w:t>
      </w:r>
      <w:r>
        <w:rPr>
          <w:b/>
        </w:rPr>
        <w:t>annexe 6</w:t>
      </w:r>
      <w:r>
        <w:t xml:space="preserve">, point 2.1, ainsi que les frais de transport et de manutention ultérieurs, ainsi que les frais de nettoyage et de transport et de manutention ultérieurs, et les frais de </w:t>
      </w:r>
      <w:r>
        <w:lastRenderedPageBreak/>
        <w:t>sensibilisation et d'information des consommateurs finaux conformément à l’article 20, paragraphe 1, dans le cadre de la participation à un système de collecte et de valorisation. »</w:t>
      </w:r>
    </w:p>
    <w:p w14:paraId="5D00176A" w14:textId="77777777" w:rsidR="00FB46F1" w:rsidRPr="00016BD1" w:rsidRDefault="006C5635">
      <w:pPr>
        <w:pStyle w:val="21NovAo1"/>
      </w:pPr>
      <w:r>
        <w:t>44. L’article 20, y compris son titre, est formulé comme suit :</w:t>
      </w:r>
    </w:p>
    <w:p w14:paraId="678F21E9" w14:textId="77777777" w:rsidR="00FB46F1" w:rsidRPr="00016BD1" w:rsidRDefault="00FB46F1" w:rsidP="00F225D7">
      <w:pPr>
        <w:pStyle w:val="45UeberschrPara"/>
      </w:pPr>
      <w:r>
        <w:t>« Renforcer la sensibilisation par l’information des consommateurs finaux</w:t>
      </w:r>
    </w:p>
    <w:p w14:paraId="7914D0C4" w14:textId="77777777" w:rsidR="00FB46F1" w:rsidRPr="00016BD1" w:rsidRDefault="00FB46F1" w:rsidP="00F225D7">
      <w:pPr>
        <w:pStyle w:val="51Abs"/>
      </w:pPr>
      <w:r>
        <w:rPr>
          <w:rStyle w:val="991GldSymbol"/>
        </w:rPr>
        <w:t>Article 20.</w:t>
      </w:r>
      <w:r>
        <w:rPr>
          <w:b/>
        </w:rPr>
        <w:t xml:space="preserve"> </w:t>
      </w:r>
      <w:r>
        <w:t>(1) Les systèmes de collecte et de valorisation informent les consommateurs finaux de la manière correcte de traiter les emballages, les articles de table et les couverts à usage unique, les produits en plastique à usage unique conformément à l’</w:t>
      </w:r>
      <w:r>
        <w:rPr>
          <w:b/>
        </w:rPr>
        <w:t>annexe 6</w:t>
      </w:r>
      <w:r>
        <w:t>, point 4.1, et l’équipement de pêche conformément à l’article 3 sous-alinéa 27, contenant du plastique et des déchets qui en sont issus. Pour ce faire, ils doivent utiliser le centre de coordination des emballages. Ces informations comprennent les éléments suivants :</w:t>
      </w:r>
    </w:p>
    <w:p w14:paraId="2E99E956" w14:textId="77777777" w:rsidR="00FB46F1" w:rsidRPr="00016BD1" w:rsidRDefault="00FB46F1" w:rsidP="00F225D7">
      <w:pPr>
        <w:pStyle w:val="52Aufzaehle1Ziffer"/>
      </w:pPr>
      <w:r>
        <w:tab/>
        <w:t>1.</w:t>
      </w:r>
      <w:r>
        <w:tab/>
        <w:t>des mesures visant à prévenir les déchets, y compris des mesures incitatives en faveur d’un comportement responsable des consommateurs,</w:t>
      </w:r>
    </w:p>
    <w:p w14:paraId="61996514" w14:textId="77777777" w:rsidR="00FB46F1" w:rsidRPr="00016BD1" w:rsidRDefault="00FB46F1" w:rsidP="00F225D7">
      <w:pPr>
        <w:pStyle w:val="52Aufzaehle1Ziffer"/>
      </w:pPr>
      <w:r>
        <w:tab/>
        <w:t>2.</w:t>
      </w:r>
      <w:r>
        <w:tab/>
        <w:t>la disponibilité de solutions de remplacement réutilisables et de systèmes de réutilisation,</w:t>
      </w:r>
    </w:p>
    <w:p w14:paraId="54C78C20" w14:textId="77777777" w:rsidR="00FB46F1" w:rsidRPr="00016BD1" w:rsidRDefault="00FB46F1" w:rsidP="00F225D7">
      <w:pPr>
        <w:pStyle w:val="52Aufzaehle1Ziffer"/>
      </w:pPr>
      <w:r>
        <w:tab/>
        <w:t>3.</w:t>
      </w:r>
      <w:r>
        <w:tab/>
        <w:t>des options et le caractère pratique d’une élimination appropriée, en particulier les options séparées de collecte et de retour, et les informations sur les méthodes d’élimination à éviter pour le produit concerné,</w:t>
      </w:r>
    </w:p>
    <w:p w14:paraId="06579BFE" w14:textId="77777777" w:rsidR="00FB46F1" w:rsidRPr="00016BD1" w:rsidRDefault="00FB46F1" w:rsidP="00F225D7">
      <w:pPr>
        <w:pStyle w:val="52Aufzaehle1Ziffer"/>
      </w:pPr>
      <w:r>
        <w:tab/>
        <w:t>4.</w:t>
      </w:r>
      <w:r>
        <w:tab/>
        <w:t>des options de valorisation aux fins de la conservation des ressources, et</w:t>
      </w:r>
    </w:p>
    <w:p w14:paraId="6A08161E" w14:textId="77777777" w:rsidR="00FB46F1" w:rsidRPr="00016BD1" w:rsidRDefault="00FB46F1" w:rsidP="00F225D7">
      <w:pPr>
        <w:pStyle w:val="52Aufzaehle1Ziffer"/>
      </w:pPr>
      <w:r>
        <w:tab/>
        <w:t>5.</w:t>
      </w:r>
      <w:r>
        <w:tab/>
        <w:t>les effets négatifs sur l'environnement de l'abandon de détritus et de toute autre élimination inappropriée du produit en question, y compris l'élimination inappropriée par le système de canalisation.</w:t>
      </w:r>
    </w:p>
    <w:p w14:paraId="53457B9A" w14:textId="77777777" w:rsidR="00911465" w:rsidRPr="00016BD1" w:rsidRDefault="00FB46F1" w:rsidP="0097394E">
      <w:pPr>
        <w:pStyle w:val="58Schlussteile0Abs"/>
      </w:pPr>
      <w:r>
        <w:t>Les exigences de fond à cet égard du ministre fédéral de l’action pour le climat, de l’environnement, de l’énergie, de la mobilité, de l’innovation et de la technologie doivent être incluses dans l’accord conclu avec l’organisme de coordination de l’emballage. Les structures existantes du conseil municipal en matière de déchets doivent être mises à profit.</w:t>
      </w:r>
    </w:p>
    <w:p w14:paraId="2BA3A2B5" w14:textId="77777777" w:rsidR="00FB46F1" w:rsidRPr="00016BD1" w:rsidRDefault="00FB46F1" w:rsidP="006C5635">
      <w:pPr>
        <w:pStyle w:val="51Abs"/>
      </w:pPr>
      <w:r>
        <w:t>(2) Les producteurs et les importateurs de produits d’hygiène féminine conformément à l’</w:t>
      </w:r>
      <w:r>
        <w:rPr>
          <w:b/>
        </w:rPr>
        <w:t>annexe 6</w:t>
      </w:r>
      <w:r>
        <w:t>, point 4.2, informent le consommateur final, dans leur publicité ou d’une autre manière, en plus du marquage conformément à l’article 13p de l’AWG 2002, des points visés au paragraphe 1, sous-alinéas 3 et 5. »</w:t>
      </w:r>
    </w:p>
    <w:p w14:paraId="3FA5B27A" w14:textId="77777777" w:rsidR="00FB46F1" w:rsidRPr="00016BD1" w:rsidRDefault="006C5635" w:rsidP="00F225D7">
      <w:pPr>
        <w:pStyle w:val="21NovAo1"/>
      </w:pPr>
      <w:r>
        <w:t>45. Après l'article 21, l'article 21a, incluant son titre, est inséré comme suit :</w:t>
      </w:r>
    </w:p>
    <w:p w14:paraId="52BCB90D" w14:textId="77777777" w:rsidR="00FB46F1" w:rsidRPr="00016BD1" w:rsidRDefault="00FB46F1" w:rsidP="00F225D7">
      <w:pPr>
        <w:pStyle w:val="45UeberschrPara"/>
      </w:pPr>
      <w:r>
        <w:t>«Obligations de déclaration concernant les produits plastiques à usage unique</w:t>
      </w:r>
    </w:p>
    <w:p w14:paraId="2D14138C" w14:textId="77777777" w:rsidR="00FB46F1" w:rsidRPr="00016BD1" w:rsidRDefault="00FB46F1" w:rsidP="00F225D7">
      <w:pPr>
        <w:pStyle w:val="51Abs"/>
      </w:pPr>
      <w:r>
        <w:rPr>
          <w:rStyle w:val="991GldSymbol"/>
        </w:rPr>
        <w:t>Article 21a.</w:t>
      </w:r>
      <w:r>
        <w:t xml:space="preserve"> (1) Les systèmes de collecte et de valorisation des emballages ménagers exigent de leurs participants qu’ils notifient au système de collecte et de valorisation, chaque année civile et au plus tard le 15 mars de l’année suivante, la masse des produits en plastique à usage unique spécifiés qu’ils ont mis sur le marché en Autriche au cours de l’année civile précédente. Les produits plastiques à usage unique au sens de la première phrase sont :</w:t>
      </w:r>
    </w:p>
    <w:p w14:paraId="763EA3F1" w14:textId="77777777" w:rsidR="00FB46F1" w:rsidRPr="00016BD1" w:rsidRDefault="00FB46F1" w:rsidP="00F225D7">
      <w:pPr>
        <w:pStyle w:val="52Aufzaehle1Ziffer"/>
      </w:pPr>
      <w:r>
        <w:tab/>
        <w:t>1.</w:t>
      </w:r>
      <w:r>
        <w:tab/>
        <w:t>gobelets pour boissons conformément à l’</w:t>
      </w:r>
      <w:r>
        <w:rPr>
          <w:b/>
        </w:rPr>
        <w:t>annexe 6</w:t>
      </w:r>
      <w:r>
        <w:t>, point 2.1,</w:t>
      </w:r>
    </w:p>
    <w:p w14:paraId="5C245CB2" w14:textId="77777777" w:rsidR="00FB46F1" w:rsidRPr="00016BD1" w:rsidRDefault="00FB46F1" w:rsidP="00F225D7">
      <w:pPr>
        <w:pStyle w:val="52Aufzaehle1Ziffer"/>
      </w:pPr>
      <w:r>
        <w:tab/>
        <w:t>2.</w:t>
      </w:r>
      <w:r>
        <w:tab/>
        <w:t>récipients alimentaires conformes à l’</w:t>
      </w:r>
      <w:r>
        <w:rPr>
          <w:b/>
        </w:rPr>
        <w:t>annexe 6</w:t>
      </w:r>
      <w:r>
        <w:t>, point 2.1,</w:t>
      </w:r>
    </w:p>
    <w:p w14:paraId="7A04F426" w14:textId="77777777" w:rsidR="00FB46F1" w:rsidRPr="00016BD1" w:rsidRDefault="00FB46F1" w:rsidP="00F225D7">
      <w:pPr>
        <w:pStyle w:val="52Aufzaehle1Ziffer"/>
      </w:pPr>
      <w:r>
        <w:tab/>
        <w:t>3.</w:t>
      </w:r>
      <w:r>
        <w:tab/>
        <w:t>paquets et emballages en matériaux souples conformément à l’</w:t>
      </w:r>
      <w:r>
        <w:rPr>
          <w:b/>
        </w:rPr>
        <w:t>annexe 6</w:t>
      </w:r>
      <w:r>
        <w:t>, point 2.1,</w:t>
      </w:r>
    </w:p>
    <w:p w14:paraId="2B174DB1" w14:textId="77777777" w:rsidR="00FB46F1" w:rsidRPr="00016BD1" w:rsidRDefault="00FB46F1" w:rsidP="00F225D7">
      <w:pPr>
        <w:pStyle w:val="52Aufzaehle1Ziffer"/>
      </w:pPr>
      <w:r>
        <w:tab/>
        <w:t>4.</w:t>
      </w:r>
      <w:r>
        <w:tab/>
        <w:t>récipients pour boissons, ventilés en bouteilles en PET, autres bouteilles pour boissons et autres récipients pour boissons conformément à l’annexe 6, point 2.1,</w:t>
      </w:r>
    </w:p>
    <w:p w14:paraId="380C4AC1" w14:textId="77777777" w:rsidR="00FB46F1" w:rsidRPr="00016BD1" w:rsidRDefault="00FB46F1" w:rsidP="00F225D7">
      <w:pPr>
        <w:pStyle w:val="52Aufzaehle1Ziffer"/>
      </w:pPr>
      <w:r>
        <w:tab/>
        <w:t>5.</w:t>
      </w:r>
      <w:r>
        <w:tab/>
        <w:t>lingettes humides conformément à l’</w:t>
      </w:r>
      <w:r>
        <w:rPr>
          <w:b/>
        </w:rPr>
        <w:t>annexe 6</w:t>
      </w:r>
      <w:r>
        <w:t>, point 2.2,</w:t>
      </w:r>
    </w:p>
    <w:p w14:paraId="4A9CA495" w14:textId="77777777" w:rsidR="00FB46F1" w:rsidRPr="00016BD1" w:rsidRDefault="00FB46F1" w:rsidP="00F225D7">
      <w:pPr>
        <w:pStyle w:val="52Aufzaehle1Ziffer"/>
      </w:pPr>
      <w:r>
        <w:tab/>
        <w:t>6.</w:t>
      </w:r>
      <w:r>
        <w:tab/>
        <w:t>ballons conformément à l’</w:t>
      </w:r>
      <w:r>
        <w:rPr>
          <w:b/>
        </w:rPr>
        <w:t>annexe 6</w:t>
      </w:r>
      <w:r>
        <w:t>, point 2.2,</w:t>
      </w:r>
    </w:p>
    <w:p w14:paraId="7662B321" w14:textId="77777777" w:rsidR="00FB46F1" w:rsidRPr="00016BD1" w:rsidRDefault="00FB46F1" w:rsidP="00F225D7">
      <w:pPr>
        <w:pStyle w:val="52Aufzaehle1Ziffer"/>
      </w:pPr>
      <w:r>
        <w:tab/>
        <w:t>7.</w:t>
      </w:r>
      <w:r>
        <w:tab/>
        <w:t>produits à base de tabac conformément à l’</w:t>
      </w:r>
      <w:r>
        <w:rPr>
          <w:b/>
        </w:rPr>
        <w:t>annexe 6</w:t>
      </w:r>
      <w:r>
        <w:t>, point 2.3, et</w:t>
      </w:r>
    </w:p>
    <w:p w14:paraId="437EF25F" w14:textId="77777777" w:rsidR="00FB46F1" w:rsidRPr="00016BD1" w:rsidRDefault="00FB46F1" w:rsidP="00F225D7">
      <w:pPr>
        <w:pStyle w:val="52Aufzaehle1Ziffer"/>
      </w:pPr>
      <w:r>
        <w:tab/>
        <w:t>8.</w:t>
      </w:r>
      <w:r>
        <w:tab/>
        <w:t>équipement de pêche conformément à l’article 3, sous-paragraphe 27.</w:t>
      </w:r>
    </w:p>
    <w:p w14:paraId="78250A3D" w14:textId="77777777" w:rsidR="00FB46F1" w:rsidRPr="00016BD1" w:rsidRDefault="00FB46F1" w:rsidP="00F225D7">
      <w:pPr>
        <w:pStyle w:val="58Schlussteile0Abs"/>
      </w:pPr>
      <w:r>
        <w:t>Cette notification doit être faite pour la première fois pour l’année civile 2022.</w:t>
      </w:r>
    </w:p>
    <w:p w14:paraId="4006BD4C" w14:textId="77777777" w:rsidR="00FB46F1" w:rsidRPr="00016BD1" w:rsidRDefault="00FB46F1" w:rsidP="00F225D7">
      <w:pPr>
        <w:pStyle w:val="51Abs"/>
      </w:pPr>
      <w:r>
        <w:t>(2) Les systèmes de collecte et de valorisation des emballages ménagers exigent de leurs participants qu’ils notifient au système de collecte et de valorisation, chaque année civile et au plus tard le 15 mars de l’année suivante, la masse des matériaux recyclés qu’ils ont utilisés :</w:t>
      </w:r>
    </w:p>
    <w:p w14:paraId="5D98DF41" w14:textId="77777777" w:rsidR="00FB46F1" w:rsidRPr="00016BD1" w:rsidRDefault="00FB46F1" w:rsidP="00F225D7">
      <w:pPr>
        <w:pStyle w:val="52Aufzaehle1Ziffer"/>
      </w:pPr>
      <w:r>
        <w:tab/>
        <w:t>1.</w:t>
      </w:r>
      <w:r>
        <w:tab/>
        <w:t>les bouteilles de boissons conformément à l’</w:t>
      </w:r>
      <w:r>
        <w:rPr>
          <w:b/>
        </w:rPr>
        <w:t>annexe 6</w:t>
      </w:r>
      <w:r>
        <w:t>, point 3, composées principalement de polyéthylène téréphtalate (ci-après dénommées « bouteilles PET ») qu’ils ont mises sur le marché au cours de l’année civile précédente ; cette notification doit être faite pour la première fois pour l’année civile 2023 ;</w:t>
      </w:r>
    </w:p>
    <w:p w14:paraId="4CB9A7DD" w14:textId="77777777" w:rsidR="00FB46F1" w:rsidRPr="00016BD1" w:rsidRDefault="00FB46F1" w:rsidP="00F225D7">
      <w:pPr>
        <w:pStyle w:val="52Aufzaehle1Ziffer"/>
      </w:pPr>
      <w:r>
        <w:tab/>
        <w:t>2.</w:t>
      </w:r>
      <w:r>
        <w:tab/>
        <w:t>les bouteilles de boissons en plastique à usage unique, conformément à l’</w:t>
      </w:r>
      <w:r>
        <w:rPr>
          <w:b/>
        </w:rPr>
        <w:t>annexe 6</w:t>
      </w:r>
      <w:r>
        <w:t>, point 3, qu’ils ont mises sur le marché au cours de l’année civile précédente ; cette notification doit être faite pour la première fois pour l’année civile 2028.</w:t>
      </w:r>
    </w:p>
    <w:p w14:paraId="0969AEAB" w14:textId="77777777" w:rsidR="00FB46F1" w:rsidRPr="00016BD1" w:rsidRDefault="00FB46F1" w:rsidP="00F225D7">
      <w:pPr>
        <w:pStyle w:val="51Abs"/>
      </w:pPr>
      <w:r>
        <w:lastRenderedPageBreak/>
        <w:t>(3) Les systèmes de collecte et de valorisation résument les données notifiées conformément aux paragraphes 1 et 2 de l’année civile précédente, ventilées par les sous-alinéas 1 à 8 du paragraphe 1 et par les sous-alinéas 1 et 2 du paragraphe 2 et font rapport au ministre fédéral de l’action pour le climat, de l’environnement, de l’énergie, de la mobilité, de l’innovation et de la technologie au plus tard le 10 avril de l’année suivante.</w:t>
      </w:r>
    </w:p>
    <w:p w14:paraId="365E8062" w14:textId="77777777" w:rsidR="00FB46F1" w:rsidRPr="00016BD1" w:rsidRDefault="00FB46F1" w:rsidP="00F225D7">
      <w:pPr>
        <w:pStyle w:val="51Abs"/>
      </w:pPr>
      <w:r>
        <w:t>(4) Les municipalités (associations municipales) recueillent tous les cinq ans, pour la première fois pour l’année civile 2022, des données sur les masses de déchets provenant de produits plastiques à usage unique, conformément à l’</w:t>
      </w:r>
      <w:r>
        <w:rPr>
          <w:b/>
        </w:rPr>
        <w:t>annexe 6</w:t>
      </w:r>
      <w:r>
        <w:t>, point 2, recueillies lors d’opérations de nettoyage, de collecte de déchets mixtes, dans des conteneurs situés dans des zones accessibles au public et dans des infrastructures spécifiques, et en informent le ministre fédéral de l’action pour le climat, de l’environnement, de l’énergie, de la mobilité, de l’innovation et de la technologie. Les municipalités (associations municipales) peuvent également recueillir des données entre les municipalités et les associations et peuvent utiliser un tiers pour recueillir les données.</w:t>
      </w:r>
    </w:p>
    <w:p w14:paraId="626FF429" w14:textId="77777777" w:rsidR="008A207E" w:rsidRPr="00016BD1" w:rsidRDefault="00FB46F1" w:rsidP="00F225D7">
      <w:pPr>
        <w:pStyle w:val="51Abs"/>
      </w:pPr>
      <w:r>
        <w:t>(5) Les données visées au paragraphe 1, point 8, sont collectées en tenant compte de</w:t>
      </w:r>
    </w:p>
    <w:p w14:paraId="7BF6AA73" w14:textId="77777777" w:rsidR="008A207E" w:rsidRPr="00016BD1" w:rsidRDefault="008A207E" w:rsidP="008A207E">
      <w:pPr>
        <w:pStyle w:val="52Aufzaehle1Ziffer"/>
      </w:pPr>
      <w:r>
        <w:tab/>
        <w:t>1.</w:t>
      </w:r>
      <w:r>
        <w:tab/>
        <w:t>La décision d’exécution (UE) 2021/958 établissant le format de déclaration des données et informations relatives aux engins de pêche mis sur le marché et aux déchets d’engins de pêche collectés dans les États membres, ainsi que du format du rapport de contrôle de la qualité conformément à l’article 13, paragraphe 1, point d), et à l’article 13, paragraphe 2, de la directive (UE) 2019/904, JO N° L 211 du 15.06.2021, p. 51, et</w:t>
      </w:r>
    </w:p>
    <w:p w14:paraId="3537B94C" w14:textId="6B0ADFBB" w:rsidR="00FB46F1" w:rsidRPr="00016BD1" w:rsidRDefault="008A207E" w:rsidP="005D6A33">
      <w:pPr>
        <w:pStyle w:val="52Aufzaehle1Ziffer"/>
      </w:pPr>
      <w:r>
        <w:tab/>
        <w:t>2.</w:t>
      </w:r>
      <w:r>
        <w:tab/>
        <w:t>la décision d’exécution (UE) 2021/1752 portant modalités d’application de la directive (UE) 2019/904 du Parlement européen et du Conseil en ce qui concerne le calcul, la vérification et la communication des données relatives à la collecte séparée des déchets de bouteilles en plastique à usage unique JO L 349 du 04.10.2021, p. 19</w:t>
      </w:r>
      <w:r w:rsidR="00FB46F1">
        <w:t>.’</w:t>
      </w:r>
    </w:p>
    <w:p w14:paraId="35CC6E07" w14:textId="77777777" w:rsidR="00FB46F1" w:rsidRPr="00016BD1" w:rsidRDefault="006C5635" w:rsidP="00F225D7">
      <w:pPr>
        <w:pStyle w:val="21NovAo1"/>
      </w:pPr>
      <w:r>
        <w:t>46. À l'article 22, le paragraphe 1 est supprimé et le paragraphe 2 est formulé comme suit :</w:t>
      </w:r>
    </w:p>
    <w:p w14:paraId="7EA5DF13" w14:textId="77777777" w:rsidR="00FB46F1" w:rsidRPr="00016BD1" w:rsidRDefault="00FB46F1" w:rsidP="00F225D7">
      <w:pPr>
        <w:pStyle w:val="51Abs"/>
      </w:pPr>
      <w:r>
        <w:t>« (2) Les systèmes de collecte et de valorisation doivent soumettre les notifications visées aux articles 13 m(2), 29b(3) et 29d(2) et (3) de l’AWG 2002 ainsi que les notifications visées à l'article 21a(3) par voie électronique au moyen du registre visé à l'article 22 de l’AWG 2002. »</w:t>
      </w:r>
    </w:p>
    <w:p w14:paraId="3C6BE89E" w14:textId="77777777" w:rsidR="00FB46F1" w:rsidRPr="00016BD1" w:rsidRDefault="006C5635" w:rsidP="00F225D7">
      <w:pPr>
        <w:pStyle w:val="21NovAo1"/>
      </w:pPr>
      <w:r>
        <w:t>47. Les paragraphes 4 à 5 sont ajoutés à l’article 22 comme suit :</w:t>
      </w:r>
    </w:p>
    <w:p w14:paraId="12C7D409" w14:textId="77777777" w:rsidR="00FB46F1" w:rsidRPr="00016BD1" w:rsidRDefault="00FB46F1" w:rsidP="00F225D7">
      <w:pPr>
        <w:pStyle w:val="51Abs"/>
      </w:pPr>
      <w:r>
        <w:t>« (4) Les systèmes de collecte et de valorisation communiquent, pour chaque année civile et au plus tard le 10 avril de l’année suivante, par voie électronique, les données suivantes au moyen du registre visé à l'article 22 de l’AWG 2002 au Ministre fédéral de l’action pour le climat, de l’environnement, de l’énergie, de la mobilité, de l’innovation et de la technologie agrégées pour leurs participants :</w:t>
      </w:r>
    </w:p>
    <w:p w14:paraId="171E208F" w14:textId="77777777" w:rsidR="00FB46F1" w:rsidRPr="00016BD1" w:rsidRDefault="00FB46F1" w:rsidP="00F225D7">
      <w:pPr>
        <w:pStyle w:val="52Aufzaehle1Ziffer"/>
      </w:pPr>
      <w:r>
        <w:tab/>
        <w:t>1.</w:t>
      </w:r>
      <w:r>
        <w:tab/>
        <w:t>la masse des emballages mis sur le marché pour la première fois ou importés pour usage propre par catégorie tarifaire, conformément aux points 1 et 2 de l’</w:t>
      </w:r>
      <w:r>
        <w:rPr>
          <w:b/>
        </w:rPr>
        <w:t>annexe 5</w:t>
      </w:r>
      <w:r>
        <w:t>,</w:t>
      </w:r>
    </w:p>
    <w:p w14:paraId="79D3C5C5" w14:textId="77777777" w:rsidR="00FB46F1" w:rsidRPr="00016BD1" w:rsidRDefault="00FB46F1" w:rsidP="00F225D7">
      <w:pPr>
        <w:pStyle w:val="52Aufzaehle1Ziffer"/>
      </w:pPr>
      <w:r>
        <w:tab/>
        <w:t>2.</w:t>
      </w:r>
      <w:r>
        <w:tab/>
        <w:t>la masse des emballages de vente mis sur le marché pour la première fois ou importés pour usage propre par catégorie tarifaire, conformément aux points 1 et 2 de l’</w:t>
      </w:r>
      <w:r>
        <w:rPr>
          <w:b/>
        </w:rPr>
        <w:t>annexe 5</w:t>
      </w:r>
      <w:r>
        <w:t>,</w:t>
      </w:r>
    </w:p>
    <w:p w14:paraId="4C56FCC5" w14:textId="77777777" w:rsidR="00FB46F1" w:rsidRPr="00016BD1" w:rsidRDefault="00FB46F1" w:rsidP="00F225D7">
      <w:pPr>
        <w:pStyle w:val="52Aufzaehle1Ziffer"/>
      </w:pPr>
      <w:r>
        <w:tab/>
        <w:t xml:space="preserve">3. </w:t>
      </w:r>
      <w:r>
        <w:tab/>
        <w:t>la masse des emballages réutilisables mis sur le marché pour la première fois par catégorie tarifaire, conformément aux points 1 et 2 de l’</w:t>
      </w:r>
      <w:r>
        <w:rPr>
          <w:b/>
        </w:rPr>
        <w:t>annexe 5</w:t>
      </w:r>
      <w:r>
        <w:t>,</w:t>
      </w:r>
    </w:p>
    <w:p w14:paraId="402BE21D" w14:textId="77777777" w:rsidR="00FB46F1" w:rsidRPr="00016BD1" w:rsidRDefault="00FB46F1" w:rsidP="00F225D7">
      <w:pPr>
        <w:pStyle w:val="52Aufzaehle1Ziffer"/>
      </w:pPr>
      <w:r>
        <w:tab/>
        <w:t>4.</w:t>
      </w:r>
      <w:r>
        <w:tab/>
        <w:t>la masse des emballages de vente réutilisables mis sur le marché pour la première fois par catégorie tarifaire, conformément aux points 1 et 2 de l’</w:t>
      </w:r>
      <w:r>
        <w:rPr>
          <w:b/>
        </w:rPr>
        <w:t>annexe 5</w:t>
      </w:r>
      <w:r>
        <w:t>,</w:t>
      </w:r>
    </w:p>
    <w:p w14:paraId="6E8E567D" w14:textId="77777777" w:rsidR="00FB46F1" w:rsidRPr="00016BD1" w:rsidRDefault="00FB46F1" w:rsidP="00F225D7">
      <w:pPr>
        <w:pStyle w:val="52Aufzaehle1Ziffer"/>
      </w:pPr>
      <w:r>
        <w:tab/>
        <w:t>5.</w:t>
      </w:r>
      <w:r>
        <w:tab/>
        <w:t>la masse des emballages réutilisables par catégorie tarifaire indiquée aux points 1 et 2 de l’</w:t>
      </w:r>
      <w:r>
        <w:rPr>
          <w:b/>
        </w:rPr>
        <w:t>annexe 5</w:t>
      </w:r>
      <w:r>
        <w:t xml:space="preserve"> (masse des emballages réutilisables utilisés au cours de l’année civile multipliée par les cycles de l’année civile),</w:t>
      </w:r>
    </w:p>
    <w:p w14:paraId="6598DF16" w14:textId="77777777" w:rsidR="00FB46F1" w:rsidRPr="00016BD1" w:rsidRDefault="00FB46F1" w:rsidP="00F225D7">
      <w:pPr>
        <w:pStyle w:val="52Aufzaehle1Ziffer"/>
      </w:pPr>
      <w:r>
        <w:tab/>
        <w:t>6.</w:t>
      </w:r>
      <w:r>
        <w:tab/>
        <w:t>la masse des emballages de vente réutilisables par catégorie tarifaire visée à l’</w:t>
      </w:r>
      <w:r>
        <w:rPr>
          <w:b/>
        </w:rPr>
        <w:t>annexe 5</w:t>
      </w:r>
      <w:r>
        <w:t>, points 1 et 2 (masse des emballages de vente réutilisables utilisés au cours de l’année civile multipliée par les cycles de l’année civile),</w:t>
      </w:r>
    </w:p>
    <w:p w14:paraId="34B33B90" w14:textId="77777777" w:rsidR="00FB46F1" w:rsidRPr="00016BD1" w:rsidRDefault="00FB46F1" w:rsidP="00F225D7">
      <w:pPr>
        <w:pStyle w:val="52Aufzaehle1Ziffer"/>
      </w:pPr>
      <w:r>
        <w:tab/>
        <w:t>7.</w:t>
      </w:r>
      <w:r>
        <w:tab/>
        <w:t>la masse des emballages réutilisables qui ne sont pas sous licence (article 6, paragraphe 1) produite en tant que déchets déclarés par leurs participants par matériau d’emballage et emballage composite, la masse transférée à l’opérateur de valorisation concerné par matériau d’emballage, le nom et l’adresse des installations de valorisation et le type de valorisation (recyclage, récupération thermique ou autre revalorisation) et la masse récupérée respective de l’emballage par matériau d’emballage, compte tenu de la méthode de calcul visée à l’article 5, paragraphe 6,</w:t>
      </w:r>
    </w:p>
    <w:p w14:paraId="5B00E4B8" w14:textId="77777777" w:rsidR="00FB46F1" w:rsidRPr="00016BD1" w:rsidRDefault="00FB46F1" w:rsidP="00F225D7">
      <w:pPr>
        <w:pStyle w:val="52Aufzaehle1Ziffer"/>
      </w:pPr>
      <w:r>
        <w:tab/>
        <w:t xml:space="preserve">8. </w:t>
      </w:r>
      <w:r>
        <w:tab/>
        <w:t>la masse des emballages collectée séparément par catégorie tarifaire, conformément aux points 1 et 2 de l’</w:t>
      </w:r>
      <w:r>
        <w:rPr>
          <w:b/>
        </w:rPr>
        <w:t>annexe 5</w:t>
      </w:r>
      <w:r>
        <w:t>,</w:t>
      </w:r>
    </w:p>
    <w:p w14:paraId="4C5345C7" w14:textId="77777777" w:rsidR="00FB46F1" w:rsidRPr="00016BD1" w:rsidRDefault="00FB46F1" w:rsidP="00F225D7">
      <w:pPr>
        <w:pStyle w:val="52Aufzaehle1Ziffer"/>
      </w:pPr>
      <w:r>
        <w:lastRenderedPageBreak/>
        <w:tab/>
        <w:t>9.</w:t>
      </w:r>
      <w:r>
        <w:tab/>
        <w:t>la masse d’emballages enregistrée en même temps que les déchets municipaux mélangés, puis triée pour chaque catégorie tarifaire de l’</w:t>
      </w:r>
      <w:r>
        <w:rPr>
          <w:b/>
        </w:rPr>
        <w:t>annexe 5</w:t>
      </w:r>
      <w:r>
        <w:t>, point 1, les matières obtenues à partir des cendres des installations d’incinération étant indiquées séparément,</w:t>
      </w:r>
    </w:p>
    <w:p w14:paraId="31A8C274" w14:textId="77777777" w:rsidR="00FB46F1" w:rsidRPr="00016BD1" w:rsidRDefault="00FB46F1" w:rsidP="00F225D7">
      <w:pPr>
        <w:pStyle w:val="52Aufzaehle1Ziffer"/>
      </w:pPr>
      <w:r>
        <w:tab/>
        <w:t>10.</w:t>
      </w:r>
      <w:r>
        <w:tab/>
        <w:t>la masse des emballages acceptée par les systèmes de collecte et de valorisation dans le cadre des opérations de nettoyage par catégorie tarifaire, conformément à l’</w:t>
      </w:r>
      <w:r>
        <w:rPr>
          <w:b/>
        </w:rPr>
        <w:t>annexe 5</w:t>
      </w:r>
      <w:r>
        <w:t>, point 1, et la masse respective des emballages plastiques à usage unique énumérés à l’</w:t>
      </w:r>
      <w:r>
        <w:rPr>
          <w:b/>
        </w:rPr>
        <w:t>annexe 6</w:t>
      </w:r>
      <w:r>
        <w:t>, point 2.1, sous-alinéas 1 à 4,</w:t>
      </w:r>
    </w:p>
    <w:p w14:paraId="3238A9D8" w14:textId="77777777" w:rsidR="00FB46F1" w:rsidRPr="00016BD1" w:rsidRDefault="00FB46F1" w:rsidP="00F225D7">
      <w:pPr>
        <w:pStyle w:val="52Aufzaehle1Ziffer"/>
      </w:pPr>
      <w:r>
        <w:tab/>
        <w:t>11.</w:t>
      </w:r>
      <w:r>
        <w:tab/>
        <w:t>la masse par matériau d’emballage fournie par le système de collecte et de recyclage à l’opérateur de valorisation concerné, ainsi que la masse des catégories tarifaires « cartons composites pour boissons », « emballages ménagers composites autres que les cartons composites pour boissons » et « emballages composites commerciaux » et la masse valorisée des emballages par matériau d'emballage en tenant compte de la méthode de calcul visée à l’article 5, paragraphe 6, ainsi que le nom et l'adresse des installations de valorisation respectives engagées par le système de collecte et de valorisation et le type de valorisation respectif (recyclage, récupération thermique et autre valorisation).</w:t>
      </w:r>
    </w:p>
    <w:p w14:paraId="42D884CE" w14:textId="77777777" w:rsidR="008849F2" w:rsidRPr="00016BD1" w:rsidRDefault="00FB46F1" w:rsidP="00F225D7">
      <w:pPr>
        <w:pStyle w:val="58Schlussteile0Abs"/>
      </w:pPr>
      <w:r>
        <w:t>Les documents et calculs relatifs à ces notifications doivent être conservés pendant sept ans et soumis sur demande au Ministre fédéral de l’action pour le climat, de l’environnement, de l’énergie, de la mobilité, de l’innovation et de la technologie. »</w:t>
      </w:r>
    </w:p>
    <w:p w14:paraId="076BBBAA" w14:textId="77777777" w:rsidR="00B53F46" w:rsidRPr="00016BD1" w:rsidRDefault="008849F2" w:rsidP="00806B2D">
      <w:pPr>
        <w:pStyle w:val="51Abs"/>
      </w:pPr>
      <w:r>
        <w:t>(5) Les systèmes de collecte et de valorisation chargent l’organisme de coordination des emballages de collecter au moins tous les trois ans :</w:t>
      </w:r>
    </w:p>
    <w:p w14:paraId="4B0B20A7" w14:textId="77777777" w:rsidR="00B53F46" w:rsidRPr="00016BD1" w:rsidRDefault="00B53F46" w:rsidP="00B53F46">
      <w:pPr>
        <w:pStyle w:val="52Aufzaehle1Ziffer"/>
      </w:pPr>
      <w:r>
        <w:tab/>
        <w:t>1.</w:t>
      </w:r>
      <w:r>
        <w:tab/>
        <w:t xml:space="preserve">la masse d’emballages composites mis sur le marché l’année précédente conformément à l'article 3, paragraphe 26, lorsque le matériau d’emballage utilisé comme composant principal représente moins de 95 % de l’unité d’emballage ; </w:t>
      </w:r>
    </w:p>
    <w:p w14:paraId="04F093D8" w14:textId="77777777" w:rsidR="00B53F46" w:rsidRPr="00016BD1" w:rsidRDefault="00B53F46" w:rsidP="00B53F46">
      <w:pPr>
        <w:pStyle w:val="52Aufzaehle1Ziffer"/>
      </w:pPr>
      <w:r>
        <w:tab/>
        <w:t>2.</w:t>
      </w:r>
      <w:r>
        <w:tab/>
        <w:t>les proportions respectives des matériaux d’emballage dans la masse totale de cet emballage composite.</w:t>
      </w:r>
    </w:p>
    <w:p w14:paraId="1C646B89" w14:textId="77777777" w:rsidR="00FB46F1" w:rsidRPr="00016BD1" w:rsidRDefault="00B53F46" w:rsidP="00F225D7">
      <w:pPr>
        <w:pStyle w:val="58Schlussteile0Abs"/>
      </w:pPr>
      <w:r>
        <w:t>L’organisme de coordination des emballages peut faire appel à un tiers pour ce faire. Les résultats sont transmis au ministre fédéral de l’action pour le climat, de l’environnement, de l’énergie, de la mobilité, de l’innovation et de la technologie au plus tard le 31 mai de l’année suivante, pour la première fois au plus tard le 31 mai 2022, afin de s’acquitter de l’obligation de rendre compte à l’Union européenne. »</w:t>
      </w:r>
    </w:p>
    <w:p w14:paraId="537E24BC" w14:textId="77777777" w:rsidR="00FB46F1" w:rsidRPr="00016BD1" w:rsidRDefault="006C5635" w:rsidP="00F225D7">
      <w:pPr>
        <w:pStyle w:val="21NovAo1"/>
      </w:pPr>
      <w:r>
        <w:t>48. Après l’article 22, les articles 22a et 22b sont insérés, y compris les titres, comme suit :</w:t>
      </w:r>
    </w:p>
    <w:p w14:paraId="29542274" w14:textId="77777777" w:rsidR="00FB46F1" w:rsidRPr="00016BD1" w:rsidRDefault="00FB46F1" w:rsidP="00F225D7">
      <w:pPr>
        <w:pStyle w:val="45UeberschrPara"/>
      </w:pPr>
      <w:r>
        <w:t>« Structures de données pour les notifications</w:t>
      </w:r>
    </w:p>
    <w:p w14:paraId="1BBA9409" w14:textId="77777777" w:rsidR="00FB46F1" w:rsidRPr="00016BD1" w:rsidRDefault="00FB46F1" w:rsidP="00F225D7">
      <w:pPr>
        <w:pStyle w:val="51Abs"/>
      </w:pPr>
      <w:r>
        <w:rPr>
          <w:rStyle w:val="991GldSymbol"/>
        </w:rPr>
        <w:t>Article 22a.</w:t>
      </w:r>
      <w:r>
        <w:t xml:space="preserve"> Pour les notifications au titre de la présente Ordonnance, le modèle de données défini à la règle 192150 de l’ON « Structures de données pour l’échange électronique de données dans la gestion des déchets », publié le 1 novembre 2007, est utilisé (structure des données, définitions des types de données et longueur des champs). Les structures de format de données XML dérivées pour le contenu des enregistrements individuels, les extraits, les résumés et les notifications, y compris les types de réservation et les règles de validation, sont publiées sur le portail EDM, edm.gv.at. Pour l'identification des personnes, des lieux, des végétaux et des parties de végétaux, les numéros d'identification figurant dans le registre visé à l’article 22 de l'AWG 2002 sont utilisés. Des tableaux de référence contenant des numéros d’identification et des allocations normalisées publiés sur le portail EDM sont utilisés.</w:t>
      </w:r>
    </w:p>
    <w:p w14:paraId="5FCDD337" w14:textId="77777777" w:rsidR="00A37F54" w:rsidRPr="00016BD1" w:rsidRDefault="00A37F54" w:rsidP="004C326A">
      <w:pPr>
        <w:pStyle w:val="45UeberschrPara"/>
        <w:rPr>
          <w:rFonts w:eastAsiaTheme="minorEastAsia"/>
        </w:rPr>
      </w:pPr>
      <w:r>
        <w:t>Responsabilité de l’auditeur</w:t>
      </w:r>
    </w:p>
    <w:p w14:paraId="762CDCCA" w14:textId="77777777" w:rsidR="008E6CE7" w:rsidRPr="00016BD1" w:rsidRDefault="00F24440">
      <w:pPr>
        <w:pStyle w:val="51Abs"/>
      </w:pPr>
      <w:r>
        <w:rPr>
          <w:rStyle w:val="991GldSymbol"/>
        </w:rPr>
        <w:t>Article 22b.</w:t>
      </w:r>
      <w:r>
        <w:t xml:space="preserve"> La responsabilité de l’auditeur pour les certificats en vertu de l’article 9, paragraphe 3, de l’article 7a et de l’article 13, paragraphes 3 et 8, est limitée aux cas d’intention et de négligence grave, en cas de négligence grave, dix fois le montant minimum d’assurance conformément à l’article 11 du </w:t>
      </w:r>
      <w:proofErr w:type="spellStart"/>
      <w:r>
        <w:t>Wirtschaftstreuhandberufsgesetz</w:t>
      </w:r>
      <w:proofErr w:type="spellEnd"/>
      <w:r>
        <w:t xml:space="preserve"> (loi sur les professions dans le domaine de la comptabilité publique) 2017, </w:t>
      </w:r>
      <w:proofErr w:type="spellStart"/>
      <w:r>
        <w:t>BGBl</w:t>
      </w:r>
      <w:proofErr w:type="spellEnd"/>
      <w:r>
        <w:t>. I n° 137/2017. »</w:t>
      </w:r>
    </w:p>
    <w:p w14:paraId="321F1C3B" w14:textId="77777777" w:rsidR="00FB46F1" w:rsidRPr="00016BD1" w:rsidRDefault="006C5635" w:rsidP="00F225D7">
      <w:pPr>
        <w:pStyle w:val="21NovAo1"/>
      </w:pPr>
      <w:r>
        <w:t xml:space="preserve">49. À l’article 23, le mot </w:t>
      </w:r>
      <w:r>
        <w:rPr>
          <w:i w:val="0"/>
        </w:rPr>
        <w:t>« et »</w:t>
      </w:r>
      <w:r>
        <w:t xml:space="preserve"> à la fin du sous-alinéa 2 est supprimé, une virgule est ajoutée à la fin du sous-alinéa 3 et les sous-alinéas 4 à 7 sont ajoutés après le sous-alinéa 3 comme suit :</w:t>
      </w:r>
    </w:p>
    <w:p w14:paraId="6E8ADE2B" w14:textId="77777777" w:rsidR="00FB46F1" w:rsidRPr="00016BD1" w:rsidRDefault="00FB46F1" w:rsidP="00F225D7">
      <w:pPr>
        <w:pStyle w:val="52Aufzaehle1Ziffer"/>
      </w:pPr>
      <w:r>
        <w:tab/>
        <w:t>« 4.</w:t>
      </w:r>
      <w:r>
        <w:tab/>
        <w:t>Directive (UE) 2018/852 modifiant la Directive 94/62/CE relative aux emballages et aux déchets d’emballages, JO L 150 du 14/06/2018, p.141,</w:t>
      </w:r>
    </w:p>
    <w:p w14:paraId="607A168C" w14:textId="77777777" w:rsidR="00FB46F1" w:rsidRPr="00016BD1" w:rsidRDefault="00FB46F1" w:rsidP="00F225D7">
      <w:pPr>
        <w:pStyle w:val="52Aufzaehle1Ziffer"/>
      </w:pPr>
      <w:r>
        <w:tab/>
        <w:t>5.</w:t>
      </w:r>
      <w:r>
        <w:tab/>
        <w:t>Directive (UE) 2018/851 modifiant la Directive 2008/98/CE relative aux déchets, JO L 150 du 14/06/2018, p. 109,</w:t>
      </w:r>
    </w:p>
    <w:p w14:paraId="46BFEDAC" w14:textId="77777777" w:rsidR="00FB46F1" w:rsidRPr="00016BD1" w:rsidRDefault="00FB46F1" w:rsidP="00F225D7">
      <w:pPr>
        <w:pStyle w:val="52Aufzaehle1Ziffer"/>
      </w:pPr>
      <w:r>
        <w:tab/>
        <w:t>6.</w:t>
      </w:r>
      <w:r>
        <w:tab/>
        <w:t>Décision d’exécution (UE) 2019/665 de la Commission modifiant la Décision 2005/270/CE établissant les tableaux correspondant au système de base de données conformément à la Directive 94/62/CE relative aux emballages et aux déchets d’emballages, JO L 112 du 26/4/2019, p. 26, et</w:t>
      </w:r>
    </w:p>
    <w:p w14:paraId="4C0DC024" w14:textId="77777777" w:rsidR="00FB46F1" w:rsidRPr="00016BD1" w:rsidRDefault="00FB46F1" w:rsidP="00F225D7">
      <w:pPr>
        <w:pStyle w:val="52Aufzaehle1Ziffer"/>
      </w:pPr>
      <w:r>
        <w:lastRenderedPageBreak/>
        <w:tab/>
        <w:t>7.</w:t>
      </w:r>
      <w:r>
        <w:tab/>
        <w:t>Directive (UE) 2019/904 relative à la réduction de l’incidence de certains produits plastiques sur l’environnement, JO L 155 du 12/06/2019, p. 1. »</w:t>
      </w:r>
    </w:p>
    <w:p w14:paraId="46910B0E" w14:textId="77777777" w:rsidR="00E60E45" w:rsidRPr="00016BD1" w:rsidRDefault="006C5635" w:rsidP="00A9409F">
      <w:pPr>
        <w:pStyle w:val="21NovAo1"/>
      </w:pPr>
      <w:r>
        <w:t xml:space="preserve">50. Le numéro de paragraphe </w:t>
      </w:r>
      <w:r>
        <w:rPr>
          <w:i w:val="0"/>
        </w:rPr>
        <w:t>« (1) </w:t>
      </w:r>
      <w:r>
        <w:t>» est attribué à la formulation de l’article 24 et le paragraphe (2) est ajouté comme suit :</w:t>
      </w:r>
    </w:p>
    <w:p w14:paraId="4561FA18" w14:textId="77777777" w:rsidR="00FB46F1" w:rsidRPr="00016BD1" w:rsidRDefault="00FB46F1" w:rsidP="00AC25A5">
      <w:pPr>
        <w:pStyle w:val="51Abs"/>
      </w:pPr>
      <w:r>
        <w:t>« (2) L’ordonnance du ministre fédéral de l’action climatique, de l’environnement, de l’énergie, de la mobilité, de l’innovation et de la technologie modifiant l’ordonnance de 2014 sur les emballages (</w:t>
      </w:r>
      <w:proofErr w:type="spellStart"/>
      <w:r>
        <w:t>Verpackungsverordnungs</w:t>
      </w:r>
      <w:proofErr w:type="spellEnd"/>
      <w:r>
        <w:t xml:space="preserve">-Novelle 2021), </w:t>
      </w:r>
      <w:proofErr w:type="spellStart"/>
      <w:r>
        <w:t>BGBl</w:t>
      </w:r>
      <w:proofErr w:type="spellEnd"/>
      <w:r>
        <w:t>. II n° 597/2021, a été notifiée conformément aux dispositions de la directive 98/34/CE établissant une procédure d’information dans le domaine des normes et réglementations techniques et des règles relatives aux services de la société de l’information, JO L 204 du 21.7.1998, p. 37, modifiée par la directive 98/48/CE, JO L 217 du 5.8.1998, p. 18 (notification n° : 2021/337/A). »</w:t>
      </w:r>
    </w:p>
    <w:p w14:paraId="5AC434AC" w14:textId="77777777" w:rsidR="00FB46F1" w:rsidRPr="00016BD1" w:rsidRDefault="006C5635" w:rsidP="00E60E45">
      <w:pPr>
        <w:pStyle w:val="21NovAo1"/>
      </w:pPr>
      <w:r>
        <w:t>51. Les paragraphes 3 à 6 suivants sont ajoutés à l’article 26 :</w:t>
      </w:r>
    </w:p>
    <w:p w14:paraId="34258F0A" w14:textId="77777777" w:rsidR="0058646B" w:rsidRPr="00016BD1" w:rsidRDefault="0058646B" w:rsidP="0058646B">
      <w:pPr>
        <w:pStyle w:val="51Abs"/>
      </w:pPr>
      <w:r>
        <w:t xml:space="preserve">« (3) L’article 1, l’article 2, paragraphe 3, le titre de l’article 4 et de l’article 4, paragraphes 4 à 8, l’article 5, l’article 6, y compris le titre, l’article 6a, y compris le titre et l’article 9, paragraphes 1a, 1b, 2a, 3, 4a à 4c, 5a et 6, l’article 13, paragraphes 3, 3a et 6, l’article 14 y compris le titre, la section 5, les articles 21a, y compris le titre, 22a et 22b, y compris les titres, les articles 23 et 24 et les annexes 1 et 6 dans la version de l’ordonnance promulguée dans </w:t>
      </w:r>
      <w:proofErr w:type="spellStart"/>
      <w:r>
        <w:t>BGBl</w:t>
      </w:r>
      <w:proofErr w:type="spellEnd"/>
      <w:r>
        <w:t xml:space="preserve"> II n° 597/2021 entreront en vigueur le lendemain de sa promulgation. En même temps, le paragraphe 8 de l’article 9 est abrogé.</w:t>
      </w:r>
    </w:p>
    <w:p w14:paraId="1FED4355" w14:textId="77777777" w:rsidR="0058646B" w:rsidRPr="00016BD1" w:rsidRDefault="0058646B" w:rsidP="0058646B">
      <w:pPr>
        <w:pStyle w:val="51Abs"/>
      </w:pPr>
      <w:r>
        <w:t xml:space="preserve">(4) L’article 3, sous-alinéas 4 à 6, 8, 9, 13 et 25 à 30, l’article 9, paragraphes 1, 7 et 7a, l’article 10, paragraphe 5, l’article 13, paragraphes 5, 7 et 8, l’article 15, paragraphes 2 à 5, la section 3a, l’article 17, paragraphes 1, 1a et 3, l’article 20, y compris le titre, l’article 22, paragraphes 2, 4 et 5 et l’annexe 3 dans la version de l’ordonnance promulguées dans </w:t>
      </w:r>
      <w:proofErr w:type="spellStart"/>
      <w:r>
        <w:t>BGBl</w:t>
      </w:r>
      <w:proofErr w:type="spellEnd"/>
      <w:r>
        <w:t>. II n° 597/2021 entreront en vigueur le 1er janvier 2022. Dans le même temps, les paragraphes 4 et 5 de l’article 9, le paragraphe 1 de l’article 14 et le paragraphe 1 de l’article 22 cessent de s’appliquer.</w:t>
      </w:r>
    </w:p>
    <w:p w14:paraId="6C3CDF67" w14:textId="77777777" w:rsidR="0058646B" w:rsidRPr="00016BD1" w:rsidRDefault="0058646B" w:rsidP="0058646B">
      <w:pPr>
        <w:pStyle w:val="51Abs"/>
      </w:pPr>
      <w:r>
        <w:t xml:space="preserve">(5) article 7, article 9, paragraphe 2, le titre de l’article 10. (5) L’article 10, paragraphes 1 à 4 et 8, l’article 11, l’article 13, paragraphe 2, l’article 14a incluant le titre et l’annexe 5 dans la version de l’ordonnance promulguée dans </w:t>
      </w:r>
      <w:proofErr w:type="spellStart"/>
      <w:r>
        <w:t>BGBl</w:t>
      </w:r>
      <w:proofErr w:type="spellEnd"/>
      <w:r>
        <w:t>. II n° 597/2021 entrera en vigueur le 1er janvier 2023. Dans le même temps, le paragraphe 6 de l’article 10 et l’article 12, ainsi que le titre, cessent de s’appliquer.</w:t>
      </w:r>
    </w:p>
    <w:p w14:paraId="76537637" w14:textId="77777777" w:rsidR="0058646B" w:rsidRPr="00016BD1" w:rsidRDefault="0058646B" w:rsidP="0058646B">
      <w:pPr>
        <w:pStyle w:val="51Abs"/>
      </w:pPr>
      <w:r>
        <w:t>(6) Le paragraphe 7 de l’article 10 cessera de s’appliquer à la fin du 31 mars 2023. »</w:t>
      </w:r>
    </w:p>
    <w:p w14:paraId="7AEB094C" w14:textId="77777777" w:rsidR="00065757" w:rsidRPr="00016BD1" w:rsidRDefault="006C5635" w:rsidP="00A9409F">
      <w:pPr>
        <w:pStyle w:val="22NovAo2"/>
      </w:pPr>
      <w:r>
        <w:t xml:space="preserve">52. À l’annexe 1, point 1, deuxième tiret, après l’expression </w:t>
      </w:r>
      <w:r>
        <w:rPr>
          <w:i w:val="0"/>
        </w:rPr>
        <w:t>« y compris le recyclage, »</w:t>
      </w:r>
      <w:r>
        <w:t xml:space="preserve"> insérer la phrase </w:t>
      </w:r>
      <w:r>
        <w:rPr>
          <w:i w:val="0"/>
        </w:rPr>
        <w:t>« conformément à la hiérarchie des déchets »</w:t>
      </w:r>
      <w:r>
        <w:t>.</w:t>
      </w:r>
    </w:p>
    <w:p w14:paraId="25D0A96A" w14:textId="77777777" w:rsidR="00065757" w:rsidRPr="00016BD1" w:rsidRDefault="006C5635">
      <w:pPr>
        <w:pStyle w:val="21NovAo1"/>
      </w:pPr>
      <w:r>
        <w:t>53. L’annexe 1, point 3(c) et (d), est libellée comme suit :</w:t>
      </w:r>
    </w:p>
    <w:p w14:paraId="51000446" w14:textId="77777777" w:rsidR="00065757" w:rsidRPr="00016BD1" w:rsidRDefault="00D90376" w:rsidP="006C5635">
      <w:pPr>
        <w:pStyle w:val="52Aufzaehle1Ziffer"/>
      </w:pPr>
      <w:r>
        <w:tab/>
        <w:t>« c)</w:t>
      </w:r>
      <w:r>
        <w:tab/>
        <w:t>Recyclage sous forme de régénération biologique :</w:t>
      </w:r>
    </w:p>
    <w:p w14:paraId="08B0D730" w14:textId="77777777" w:rsidR="00065757" w:rsidRPr="00016BD1" w:rsidRDefault="00065757" w:rsidP="006C5635">
      <w:pPr>
        <w:pStyle w:val="58Schlussteile1Ziffer"/>
      </w:pPr>
      <w:r>
        <w:t>les déchets d’emballages traités aux fins de la régénération biologique sont collectés séparément et biodégradables de telle sorte que le processus de régénération biologique ne soit pas affecté négativement.</w:t>
      </w:r>
    </w:p>
    <w:p w14:paraId="033BF32E" w14:textId="77777777" w:rsidR="00367BB2" w:rsidRPr="00016BD1" w:rsidRDefault="00D90376" w:rsidP="006C5635">
      <w:pPr>
        <w:pStyle w:val="52Aufzaehle1Ziffer"/>
      </w:pPr>
      <w:r>
        <w:tab/>
        <w:t>d)</w:t>
      </w:r>
      <w:r>
        <w:tab/>
        <w:t>Emballages biodégradables :</w:t>
      </w:r>
    </w:p>
    <w:p w14:paraId="2DECDBAB" w14:textId="77777777" w:rsidR="00065757" w:rsidRPr="00016BD1" w:rsidRDefault="00367BB2" w:rsidP="006C5635">
      <w:pPr>
        <w:pStyle w:val="58Schlussteile1Ziffer"/>
      </w:pPr>
      <w:r>
        <w:t>les déchets d’emballages biodégradables doivent pouvoir être décomposés par des procédés physiques, chimiques, thermiques ou biologiques de telle sorte que la majeure partie du produit final soit divisée en dioxyde de carbone, biomasse et eau. Les emballages en plastique oxodégradable ne sont pas considérés comme biodégradables. »</w:t>
      </w:r>
    </w:p>
    <w:p w14:paraId="72B3EC30" w14:textId="77777777" w:rsidR="00FB46F1" w:rsidRPr="00016BD1" w:rsidRDefault="006C5635" w:rsidP="00F225D7">
      <w:pPr>
        <w:pStyle w:val="21NovAo1"/>
      </w:pPr>
      <w:r>
        <w:t>54. L’annexe 3 est formulée comme suit :</w:t>
      </w:r>
    </w:p>
    <w:p w14:paraId="7B78DFB3" w14:textId="77777777" w:rsidR="00FB46F1" w:rsidRPr="00016BD1" w:rsidRDefault="00FB46F1" w:rsidP="00F225D7">
      <w:pPr>
        <w:pStyle w:val="71Anlagenbez"/>
      </w:pPr>
      <w:r>
        <w:t>« Annexe 3</w:t>
      </w:r>
    </w:p>
    <w:p w14:paraId="672AD661" w14:textId="77777777" w:rsidR="00FB46F1" w:rsidRPr="00016BD1" w:rsidRDefault="00FB46F1" w:rsidP="00F225D7">
      <w:pPr>
        <w:pStyle w:val="41UeberschrG1"/>
      </w:pPr>
      <w:r>
        <w:t>Enregistrements et notifications des opérateurs de grandes sources de production et des importateurs d’utilisation propre</w:t>
      </w:r>
    </w:p>
    <w:p w14:paraId="716F26EB" w14:textId="77777777" w:rsidR="00FB46F1" w:rsidRPr="00016BD1" w:rsidRDefault="00FB46F1" w:rsidP="001D540A">
      <w:pPr>
        <w:pStyle w:val="09Abstand"/>
        <w:keepNext/>
      </w:pPr>
    </w:p>
    <w:p w14:paraId="503503D9" w14:textId="77777777" w:rsidR="00FB46F1" w:rsidRPr="00016BD1" w:rsidRDefault="00FB46F1" w:rsidP="00F225D7">
      <w:pPr>
        <w:pStyle w:val="82ErlUeberschrL"/>
      </w:pPr>
      <w:r>
        <w:t>1. Dispositions générales</w:t>
      </w:r>
    </w:p>
    <w:p w14:paraId="1CE18D0D" w14:textId="77777777" w:rsidR="00FB46F1" w:rsidRPr="00016BD1" w:rsidRDefault="00FB46F1" w:rsidP="00F225D7">
      <w:pPr>
        <w:pStyle w:val="83ErlText"/>
      </w:pPr>
      <w:r>
        <w:t>Les données de masse sont recueillies de manière compréhensible et enregistrées en kilogrammes (kg).</w:t>
      </w:r>
    </w:p>
    <w:p w14:paraId="13ECF0CF" w14:textId="77777777" w:rsidR="00FB46F1" w:rsidRPr="00016BD1" w:rsidRDefault="00FB46F1" w:rsidP="00F225D7">
      <w:pPr>
        <w:pStyle w:val="83ErlText"/>
      </w:pPr>
      <w:r>
        <w:t>Les notifications sont soumises chaque année, en indiquant la période de référence (année civile).</w:t>
      </w:r>
    </w:p>
    <w:p w14:paraId="03DEFAD0" w14:textId="77777777" w:rsidR="00FB46F1" w:rsidRPr="00016BD1" w:rsidRDefault="00FB46F1" w:rsidP="00F225D7">
      <w:pPr>
        <w:pStyle w:val="83ErlText"/>
      </w:pPr>
      <w:r>
        <w:t xml:space="preserve">Seuls les emballages pour lesquels il n’y a </w:t>
      </w:r>
      <w:r>
        <w:rPr>
          <w:b/>
        </w:rPr>
        <w:t>pas</w:t>
      </w:r>
      <w:r>
        <w:t xml:space="preserve"> de participation à un système de collecte et de valorisation doivent être inclus dans les notifications.</w:t>
      </w:r>
    </w:p>
    <w:p w14:paraId="1C48A73A" w14:textId="77777777" w:rsidR="00FB46F1" w:rsidRPr="00016BD1" w:rsidRDefault="00FB46F1" w:rsidP="00F225D7">
      <w:pPr>
        <w:pStyle w:val="82ErlUeberschrL"/>
      </w:pPr>
      <w:r>
        <w:lastRenderedPageBreak/>
        <w:t>2. Exploitants de grandes sources de production</w:t>
      </w:r>
    </w:p>
    <w:p w14:paraId="2A440F3F" w14:textId="77777777" w:rsidR="00FB46F1" w:rsidRPr="00016BD1" w:rsidRDefault="00FB46F1" w:rsidP="00F225D7">
      <w:pPr>
        <w:pStyle w:val="51Abs"/>
      </w:pPr>
      <w:r>
        <w:t>Les exploitants de grandes sources de production communiquent les données suivantes par voie électronique au moyen du registre visé à l’article 22 de l’AWG 2002 au Ministre fédéral de l’action pour le climat, de l’environnement, de l’énergie, de la mobilité, de l’innovation et de la technologie, pour chaque année civile et au plus tard à la fin du mois de mars de l’année suivante :</w:t>
      </w:r>
    </w:p>
    <w:p w14:paraId="1009C00D" w14:textId="77777777" w:rsidR="00FB46F1" w:rsidRPr="00016BD1" w:rsidRDefault="00FB46F1" w:rsidP="00F225D7">
      <w:pPr>
        <w:pStyle w:val="52Aufzaehle1Ziffer"/>
      </w:pPr>
      <w:r>
        <w:tab/>
        <w:t>1.</w:t>
      </w:r>
      <w:r>
        <w:tab/>
        <w:t>la masse des emballages acceptés par les fournisseurs par matériau d’emballage et, en outre, la masse des emballages composites acceptés ;</w:t>
      </w:r>
    </w:p>
    <w:p w14:paraId="6119763B" w14:textId="77777777" w:rsidR="00FB46F1" w:rsidRPr="00016BD1" w:rsidRDefault="00FB46F1" w:rsidP="00F225D7">
      <w:pPr>
        <w:pStyle w:val="52Aufzaehle1Ziffer"/>
      </w:pPr>
      <w:r>
        <w:tab/>
        <w:t>2.</w:t>
      </w:r>
      <w:r>
        <w:tab/>
        <w:t>la masse des emballages de vente acceptés par les fournisseurs par matériau d’emballage et, en outre, la masse des emballages composites acceptés ;</w:t>
      </w:r>
    </w:p>
    <w:p w14:paraId="28D9A886" w14:textId="77777777" w:rsidR="00FB46F1" w:rsidRPr="00016BD1" w:rsidRDefault="00FB46F1" w:rsidP="00F225D7">
      <w:pPr>
        <w:pStyle w:val="52Aufzaehle1Ziffer"/>
      </w:pPr>
      <w:r>
        <w:tab/>
        <w:t>3.</w:t>
      </w:r>
      <w:r>
        <w:tab/>
        <w:t>la masse de l’emballage générée sur le site d’exploitation par matériau d’emballage et, en outre, la masse des emballages composites acceptés ;</w:t>
      </w:r>
    </w:p>
    <w:p w14:paraId="4122F685" w14:textId="77777777" w:rsidR="00FB46F1" w:rsidRPr="00016BD1" w:rsidRDefault="00FB46F1" w:rsidP="00F225D7">
      <w:pPr>
        <w:pStyle w:val="52Aufzaehle1Ziffer"/>
      </w:pPr>
      <w:r>
        <w:tab/>
        <w:t>4.</w:t>
      </w:r>
      <w:r>
        <w:tab/>
        <w:t>la masse des emballages de vente générée sur le site d’exploitation par matériau d’emballage et, en outre, la masse des emballages composites ;</w:t>
      </w:r>
    </w:p>
    <w:p w14:paraId="75581DFC" w14:textId="77777777" w:rsidR="00FB46F1" w:rsidRPr="00016BD1" w:rsidRDefault="00FB46F1" w:rsidP="00F57308">
      <w:pPr>
        <w:pStyle w:val="52Aufzaehle1Ziffer"/>
      </w:pPr>
      <w:r>
        <w:tab/>
        <w:t>5.</w:t>
      </w:r>
      <w:r>
        <w:tab/>
        <w:t>la masse par matériau d'emballage donnée à l’installation de valorisation concernée ainsi que la masse de l'emballage composite et la masse recyclée du matériau d'emballage par matériau d'emballage, compte tenu de la méthode de calcul définie à l’article 5, paragraphe 6, et le nom et l’adresse des installations de valorisation et le type de valorisation (recyclage, récupération thermique et autre valorisation).</w:t>
      </w:r>
    </w:p>
    <w:p w14:paraId="50834C4D" w14:textId="77777777" w:rsidR="00FB46F1" w:rsidRPr="00016BD1" w:rsidRDefault="00FB46F1" w:rsidP="00F225D7">
      <w:pPr>
        <w:pStyle w:val="83ErlText"/>
      </w:pPr>
      <w:r>
        <w:t>Les documents et calculs relatifs à ces notifications doivent être conservés pendant sept ans et soumis sur demande au ministre fédéral de l’action pour le climat, de l’environnement, de l’énergie, de la mobilité, de l’innovation et de la technologie.</w:t>
      </w:r>
    </w:p>
    <w:p w14:paraId="5812F446" w14:textId="77777777" w:rsidR="00FB46F1" w:rsidRPr="00016BD1" w:rsidRDefault="00FB46F1" w:rsidP="00F225D7">
      <w:pPr>
        <w:pStyle w:val="83ErlText"/>
      </w:pPr>
      <w:r>
        <w:t xml:space="preserve">Remarque : Pour les emballages importés produits dans l’entreprise, une notification distincte doit être présentée en tant qu’importateur pour usage propre. Le total à inscrire est la masse des emballages provenant des livraisons de fournisseurs </w:t>
      </w:r>
      <w:r>
        <w:rPr>
          <w:u w:val="single"/>
        </w:rPr>
        <w:t>autrichiens</w:t>
      </w:r>
      <w:r>
        <w:t>, qui sont envoyés pour être récupérés sous la responsabilité de l’exploitant et pour son propre compte.</w:t>
      </w:r>
    </w:p>
    <w:p w14:paraId="6A31F426" w14:textId="77777777" w:rsidR="00FB46F1" w:rsidRPr="00016BD1" w:rsidRDefault="00FB46F1" w:rsidP="00F225D7">
      <w:pPr>
        <w:pStyle w:val="82ErlUeberschrL"/>
      </w:pPr>
      <w:r>
        <w:t>3. Importateurs pour usage propre</w:t>
      </w:r>
    </w:p>
    <w:p w14:paraId="19704407" w14:textId="77777777" w:rsidR="00FB46F1" w:rsidRPr="00016BD1" w:rsidRDefault="00FB46F1" w:rsidP="00A9409F">
      <w:pPr>
        <w:pStyle w:val="83ErlText"/>
      </w:pPr>
      <w:r>
        <w:t>Les importateurs d’utilisation propre communiquent les données suivantes par voie électronique au moyen du registre visé à l’article 22 de l’AWG 2002 au Ministre fédéral de l’action pour le climat, de l’environnement, de l’énergie, de la mobilité, de l’innovation et de la technologie, pour chaque année civile et au plus tard à la fin du mois de mars de l’année suivante :</w:t>
      </w:r>
    </w:p>
    <w:p w14:paraId="02EE7B71" w14:textId="77777777" w:rsidR="00FB46F1" w:rsidRPr="00016BD1" w:rsidRDefault="00FB46F1" w:rsidP="00F225D7">
      <w:pPr>
        <w:pStyle w:val="52Aufzaehle1Ziffer"/>
      </w:pPr>
      <w:r>
        <w:tab/>
        <w:t>1.</w:t>
      </w:r>
      <w:r>
        <w:tab/>
        <w:t>la masse des emballages importés pour un usage propre par matériau d’emballage, la masse des cartons composites pour boissons importés pour un usage propre et, en outre, la masse des emballages composites importés pour un usage propre ;</w:t>
      </w:r>
    </w:p>
    <w:p w14:paraId="120248B0" w14:textId="77777777" w:rsidR="00FB46F1" w:rsidRPr="00016BD1" w:rsidRDefault="00FB46F1" w:rsidP="00F225D7">
      <w:pPr>
        <w:pStyle w:val="52Aufzaehle1Ziffer"/>
      </w:pPr>
      <w:r>
        <w:tab/>
        <w:t>2.</w:t>
      </w:r>
      <w:r>
        <w:tab/>
        <w:t>la masse des emballages de vente importés pour un usage propre par matériau d’emballage, la masse des cartons composites pour boissons importés pour un usage propre et, en outre, la masse des emballages composites importés pour un usage propre ;</w:t>
      </w:r>
    </w:p>
    <w:p w14:paraId="7CAB48F9" w14:textId="77777777" w:rsidR="00FB46F1" w:rsidRPr="00016BD1" w:rsidRDefault="00FB46F1" w:rsidP="00F225D7">
      <w:pPr>
        <w:pStyle w:val="52Aufzaehle1Ziffer"/>
      </w:pPr>
      <w:r>
        <w:tab/>
        <w:t>3.</w:t>
      </w:r>
      <w:r>
        <w:tab/>
        <w:t>la masse des emballages importés pour usage propre produits dans l’entreprise par matériau d’emballage et la masse des cartons composites pour boissons importés pour usage propre produits dans l’entreprise et, en outre, la masse des emballages composites importés pour usage propre ;</w:t>
      </w:r>
    </w:p>
    <w:p w14:paraId="521B82C6" w14:textId="77777777" w:rsidR="00FB46F1" w:rsidRPr="00016BD1" w:rsidRDefault="00FB46F1" w:rsidP="00F225D7">
      <w:pPr>
        <w:pStyle w:val="52Aufzaehle1Ziffer"/>
      </w:pPr>
      <w:r>
        <w:tab/>
        <w:t>4.</w:t>
      </w:r>
      <w:r>
        <w:tab/>
        <w:t>la masse des emballages de vente importés pour usage propre produits en tant que déchets par matériau d’emballage, la masse des cartons composites pour boissons importés pour usage propre produits et, en outre, la masse des emballages composites importés pour usage propre ;</w:t>
      </w:r>
    </w:p>
    <w:p w14:paraId="0474CBC3" w14:textId="77777777" w:rsidR="00FB46F1" w:rsidRPr="00016BD1" w:rsidRDefault="00FB46F1" w:rsidP="00F57308">
      <w:pPr>
        <w:pStyle w:val="52Aufzaehle1Ziffer"/>
      </w:pPr>
      <w:r>
        <w:tab/>
        <w:t>5.</w:t>
      </w:r>
      <w:r>
        <w:tab/>
        <w:t>la masse par matériau d’emballage fournie à l’opérateur de valorisation concerné, la masse des cartons composites pour boissons importés pour usage propre produits et, en outre, la masse des emballages composites fournis et la masse récupérée par matériau d’emballage, compte tenu de la méthode de calcul visée à l’article 5, paragraphe 6, et le nom et l’adresse des installations de valorisation respectives et le type de valorisation respectif (recyclage, récupération thermique et autre valorisation).</w:t>
      </w:r>
    </w:p>
    <w:p w14:paraId="0FB9A58D" w14:textId="77777777" w:rsidR="00FB46F1" w:rsidRPr="00016BD1" w:rsidRDefault="00FB46F1" w:rsidP="00A9409F">
      <w:pPr>
        <w:pStyle w:val="83ErlText"/>
      </w:pPr>
      <w:r>
        <w:t>Les documents et calculs relatifs à ces notifications doivent être conservés pendant sept ans et soumis sur demande au ministre fédéral de l’action pour le climat, de l’environnement, de l’énergie, de la mobilité, de l’innovation et de la technologie.</w:t>
      </w:r>
    </w:p>
    <w:p w14:paraId="6010BE0E" w14:textId="77777777" w:rsidR="00FB46F1" w:rsidRPr="00016BD1" w:rsidRDefault="00FB46F1" w:rsidP="00F225D7">
      <w:pPr>
        <w:pStyle w:val="83ErlText"/>
      </w:pPr>
      <w:r>
        <w:t>Remarque : La masse des emballages provenant de produits auto-importés et de l’utilisation ou de la consommation de ces produits ou du fait que les composants d’emballage de ces produits ne sont pas emballés par la société elle-même doit être notifiée. La masse transférée à d’autres entités juridiques et pour laquelle une participation à un système de collecte et de récupération est donc nécessaire, n’est pas notifiée.</w:t>
      </w:r>
    </w:p>
    <w:p w14:paraId="7D5802E3" w14:textId="77777777" w:rsidR="00FB46F1" w:rsidRPr="00016BD1" w:rsidRDefault="00FB46F1" w:rsidP="00F225D7">
      <w:pPr>
        <w:pStyle w:val="83ErlText"/>
      </w:pPr>
      <w:r>
        <w:lastRenderedPageBreak/>
        <w:t>Pour les produits plastiques à usage unique énumérés à l’</w:t>
      </w:r>
      <w:r>
        <w:rPr>
          <w:b/>
        </w:rPr>
        <w:t>annexe 6</w:t>
      </w:r>
      <w:r>
        <w:t>, il y a en tout état de cause obligation de participer à un système de collecte et de valorisation des emballages ménagers à partir du 1er janvier 2023 – voir l’obligation prévue à l'article 17, paragraphe 1a, en liaison avec l’article 18a.</w:t>
      </w:r>
    </w:p>
    <w:p w14:paraId="3473BC92" w14:textId="77777777" w:rsidR="00FB46F1" w:rsidRPr="00016BD1" w:rsidRDefault="00FB46F1" w:rsidP="00F225D7">
      <w:pPr>
        <w:pStyle w:val="83ErlText"/>
      </w:pPr>
      <w:r>
        <w:rPr>
          <w:b/>
        </w:rPr>
        <w:t>4. Entités soumises à l'obligation primaire qui ne mettent sur le marché que des emballages réutilisables conformément à l’article 6, paragraphe 1</w:t>
      </w:r>
    </w:p>
    <w:p w14:paraId="5715FB7D" w14:textId="77777777" w:rsidR="00FB46F1" w:rsidRPr="00016BD1" w:rsidRDefault="00FB46F1" w:rsidP="00F225D7">
      <w:pPr>
        <w:pStyle w:val="83ErlText"/>
      </w:pPr>
      <w:r>
        <w:t>Les entités soumises à l'obligation primaire qui ne mettent sur le marché que des emballages réutilisables conformément à l’article 6, paragraphe 1, doivent, pour chaque année civile et au plus tard à la fin du mois de mars de l’année suivante, communiquer par voie électronique les données suivantes au moyen du registre visé à l’article 22 de l’AWG 2002 au Ministre fédéral de l’action pour le climat, de l’environnement, de l’énergie, de la mobilité, de l’innovation et de la technologie :</w:t>
      </w:r>
    </w:p>
    <w:p w14:paraId="015DCB12" w14:textId="77777777" w:rsidR="00FB46F1" w:rsidRPr="00016BD1" w:rsidRDefault="00FB46F1" w:rsidP="00F225D7">
      <w:pPr>
        <w:pStyle w:val="52Aufzaehle1Ziffer"/>
      </w:pPr>
      <w:r>
        <w:tab/>
        <w:t>1.</w:t>
      </w:r>
      <w:r>
        <w:tab/>
        <w:t>la masse des emballages réutilisables mis sur le marché pour la première fois par matériau d’emballage et, en outre, la masse des emballages composites réutilisables mis sur le marché pour la première fois ;</w:t>
      </w:r>
    </w:p>
    <w:p w14:paraId="06443128" w14:textId="77777777" w:rsidR="00FB46F1" w:rsidRPr="00016BD1" w:rsidRDefault="00FB46F1" w:rsidP="00F225D7">
      <w:pPr>
        <w:pStyle w:val="52Aufzaehle1Ziffer"/>
      </w:pPr>
      <w:r>
        <w:tab/>
        <w:t>2.</w:t>
      </w:r>
      <w:r>
        <w:tab/>
        <w:t>la masse des emballages de vente réutilisables mis sur le marché pour la première fois par matériau d’emballage et, en outre, la masse des emballages composites réutilisables mis sur le marché pour la première fois ;</w:t>
      </w:r>
    </w:p>
    <w:p w14:paraId="011E872E" w14:textId="77777777" w:rsidR="00FB46F1" w:rsidRPr="00016BD1" w:rsidRDefault="00FB46F1" w:rsidP="00F225D7">
      <w:pPr>
        <w:pStyle w:val="52Aufzaehle1Ziffer"/>
      </w:pPr>
      <w:r>
        <w:tab/>
        <w:t>3.</w:t>
      </w:r>
      <w:r>
        <w:tab/>
        <w:t>la masse des emballages réutilisables par matériau d’emballage et, en outre, la masse des emballages composites réutilisables (masse des emballages réutilisables utilisés au cours de l’année civile par catégorie tarifaire multipliée par les cycles de l’année civile) ;</w:t>
      </w:r>
    </w:p>
    <w:p w14:paraId="0B349ECD" w14:textId="77777777" w:rsidR="00FB46F1" w:rsidRPr="00016BD1" w:rsidRDefault="00FB46F1" w:rsidP="00F225D7">
      <w:pPr>
        <w:pStyle w:val="52Aufzaehle1Ziffer"/>
      </w:pPr>
      <w:r>
        <w:tab/>
        <w:t>4.</w:t>
      </w:r>
      <w:r>
        <w:tab/>
        <w:t>la masse des emballages de vente réutilisables par matériau d’emballage et, en outre, la masse des emballages composites concernés (masse des emballages réutilisables utilisés au cours de l’année civile par catégorie tarifaire multipliée par les cycles au cours de l’année civile) ;</w:t>
      </w:r>
    </w:p>
    <w:p w14:paraId="7CBCE3AE" w14:textId="77777777" w:rsidR="00FB46F1" w:rsidRPr="00016BD1" w:rsidRDefault="00FB46F1" w:rsidP="00F225D7">
      <w:pPr>
        <w:pStyle w:val="52Aufzaehle1Ziffer"/>
      </w:pPr>
      <w:r>
        <w:tab/>
        <w:t>5.</w:t>
      </w:r>
      <w:r>
        <w:tab/>
        <w:t>la masse des emballages réutilisables produits en tant que déchets dans leur entreprise (article 6, paragraphe 1) par matériau d’emballage et, en outre, la masse des emballages composites réutilisables produits,</w:t>
      </w:r>
    </w:p>
    <w:p w14:paraId="75778FD5" w14:textId="77777777" w:rsidR="00FB46F1" w:rsidRPr="00016BD1" w:rsidRDefault="00FB46F1" w:rsidP="00F225D7">
      <w:pPr>
        <w:pStyle w:val="52Aufzaehle1Ziffer"/>
      </w:pPr>
      <w:r>
        <w:tab/>
        <w:t>6.</w:t>
      </w:r>
      <w:r>
        <w:tab/>
        <w:t>la masse par matériau d'emballage donnée à l’installation de valorisation concernée ainsi que la masse de l'emballage composite et la masse recyclée du matériau d'emballage par matériau d'emballage, compte tenu de la méthode de calcul définie à l’article 5, paragraphe 6, et le nom et l’adresse des installations de valorisation respectives et le type de valorisation respectif (recyclage, récupération thermique et autre valorisation). »</w:t>
      </w:r>
    </w:p>
    <w:p w14:paraId="06D5E0D5" w14:textId="77777777" w:rsidR="00FB46F1" w:rsidRPr="00016BD1" w:rsidRDefault="006C5635" w:rsidP="00F225D7">
      <w:pPr>
        <w:pStyle w:val="21NovAo1"/>
      </w:pPr>
      <w:r>
        <w:t>55. L’annexe 5 est formulée comme suit :</w:t>
      </w:r>
    </w:p>
    <w:p w14:paraId="561F07FF" w14:textId="77777777" w:rsidR="00FB46F1" w:rsidRPr="00016BD1" w:rsidRDefault="00FB46F1" w:rsidP="001D540A">
      <w:pPr>
        <w:pStyle w:val="71Anlagenbez"/>
        <w:keepNext/>
      </w:pPr>
      <w:r>
        <w:t>« Annexe 5</w:t>
      </w:r>
    </w:p>
    <w:p w14:paraId="7F829973" w14:textId="77777777" w:rsidR="00FB46F1" w:rsidRPr="00016BD1" w:rsidRDefault="00FB46F1" w:rsidP="00F225D7">
      <w:pPr>
        <w:pStyle w:val="41UeberschrG1"/>
      </w:pPr>
      <w:r>
        <w:t>1. Catégories de collecte et de tarif pour les emballages ménagers</w:t>
      </w:r>
    </w:p>
    <w:p w14:paraId="5045CC7C" w14:textId="77777777" w:rsidR="00FB46F1" w:rsidRPr="00016BD1" w:rsidRDefault="00FB46F1" w:rsidP="001D540A">
      <w:pPr>
        <w:pStyle w:val="09Abstand"/>
        <w:keepNext/>
      </w:pPr>
    </w:p>
    <w:tbl>
      <w:tblPr>
        <w:tblStyle w:val="TableGrid"/>
        <w:tblW w:w="0" w:type="auto"/>
        <w:tblLook w:val="04A0" w:firstRow="1" w:lastRow="0" w:firstColumn="1" w:lastColumn="0" w:noHBand="0" w:noVBand="1"/>
      </w:tblPr>
      <w:tblGrid>
        <w:gridCol w:w="3794"/>
        <w:gridCol w:w="4111"/>
      </w:tblGrid>
      <w:tr w:rsidR="00FB51CA" w:rsidRPr="00016BD1" w14:paraId="1E13063B" w14:textId="77777777" w:rsidTr="00A34898">
        <w:tc>
          <w:tcPr>
            <w:tcW w:w="3794" w:type="dxa"/>
          </w:tcPr>
          <w:p w14:paraId="20C286B1" w14:textId="77777777" w:rsidR="00FB51CA" w:rsidRPr="00016BD1" w:rsidRDefault="00FB51CA" w:rsidP="00A34898">
            <w:pPr>
              <w:pStyle w:val="43UeberschrG2"/>
            </w:pPr>
            <w:r>
              <w:t>Catégories de collecte (fractions de collecte séparées)</w:t>
            </w:r>
          </w:p>
        </w:tc>
        <w:tc>
          <w:tcPr>
            <w:tcW w:w="4111" w:type="dxa"/>
          </w:tcPr>
          <w:p w14:paraId="61B5FF61" w14:textId="77777777" w:rsidR="00FB51CA" w:rsidRPr="00016BD1" w:rsidRDefault="00FB51CA" w:rsidP="00A34898">
            <w:pPr>
              <w:pStyle w:val="43UeberschrG2"/>
            </w:pPr>
            <w:r>
              <w:t>Catégories de tarif</w:t>
            </w:r>
          </w:p>
        </w:tc>
      </w:tr>
      <w:tr w:rsidR="00FB51CA" w:rsidRPr="00016BD1" w14:paraId="42609A65" w14:textId="77777777" w:rsidTr="00A34898">
        <w:tc>
          <w:tcPr>
            <w:tcW w:w="3794" w:type="dxa"/>
            <w:vAlign w:val="center"/>
          </w:tcPr>
          <w:p w14:paraId="5AE2BEAD" w14:textId="77777777" w:rsidR="00FB51CA" w:rsidRPr="00016BD1" w:rsidRDefault="00FB51CA" w:rsidP="00A34898">
            <w:pPr>
              <w:pStyle w:val="83ErlText"/>
            </w:pPr>
            <w:r>
              <w:t>Papier, carton, cartonnage et carton ondulé</w:t>
            </w:r>
          </w:p>
        </w:tc>
        <w:tc>
          <w:tcPr>
            <w:tcW w:w="4111" w:type="dxa"/>
            <w:vAlign w:val="center"/>
          </w:tcPr>
          <w:p w14:paraId="47B9EA5C" w14:textId="77777777" w:rsidR="00FB51CA" w:rsidRPr="00016BD1" w:rsidRDefault="00FB51CA">
            <w:pPr>
              <w:pStyle w:val="83ErlText"/>
            </w:pPr>
            <w:r>
              <w:t>Papier, domestique</w:t>
            </w:r>
          </w:p>
        </w:tc>
      </w:tr>
      <w:tr w:rsidR="00FB51CA" w:rsidRPr="00016BD1" w14:paraId="1F2C6083" w14:textId="77777777" w:rsidTr="00A34898">
        <w:tc>
          <w:tcPr>
            <w:tcW w:w="3794" w:type="dxa"/>
            <w:vAlign w:val="center"/>
          </w:tcPr>
          <w:p w14:paraId="0F0FFFC4" w14:textId="77777777" w:rsidR="00FB51CA" w:rsidRPr="00016BD1" w:rsidRDefault="00FB51CA" w:rsidP="00A34898">
            <w:pPr>
              <w:pStyle w:val="83ErlText"/>
            </w:pPr>
            <w:r>
              <w:t>Verre</w:t>
            </w:r>
          </w:p>
        </w:tc>
        <w:tc>
          <w:tcPr>
            <w:tcW w:w="4111" w:type="dxa"/>
            <w:vAlign w:val="center"/>
          </w:tcPr>
          <w:p w14:paraId="73D3CB55" w14:textId="77777777" w:rsidR="00FB51CA" w:rsidRPr="00016BD1" w:rsidRDefault="00FB51CA" w:rsidP="00FB51CA">
            <w:pPr>
              <w:pStyle w:val="83ErlText"/>
            </w:pPr>
            <w:r>
              <w:t>Verre</w:t>
            </w:r>
          </w:p>
        </w:tc>
      </w:tr>
      <w:tr w:rsidR="00FB51CA" w:rsidRPr="00016BD1" w14:paraId="24DE2F49" w14:textId="77777777" w:rsidTr="00A34898">
        <w:tc>
          <w:tcPr>
            <w:tcW w:w="3794" w:type="dxa"/>
            <w:vMerge w:val="restart"/>
            <w:vAlign w:val="center"/>
          </w:tcPr>
          <w:p w14:paraId="047F32F9" w14:textId="77777777" w:rsidR="00FB51CA" w:rsidRPr="00016BD1" w:rsidRDefault="00FB51CA" w:rsidP="00A34898">
            <w:pPr>
              <w:pStyle w:val="83ErlText"/>
            </w:pPr>
            <w:r>
              <w:t>Métaux</w:t>
            </w:r>
          </w:p>
        </w:tc>
        <w:tc>
          <w:tcPr>
            <w:tcW w:w="4111" w:type="dxa"/>
            <w:vAlign w:val="center"/>
          </w:tcPr>
          <w:p w14:paraId="1ED32279" w14:textId="77777777" w:rsidR="00FB51CA" w:rsidRPr="00016BD1" w:rsidRDefault="00FB51CA">
            <w:pPr>
              <w:pStyle w:val="83ErlText"/>
            </w:pPr>
            <w:r>
              <w:t>Métaux ferreux, domestique</w:t>
            </w:r>
          </w:p>
        </w:tc>
      </w:tr>
      <w:tr w:rsidR="00FB51CA" w:rsidRPr="00016BD1" w14:paraId="6977406F" w14:textId="77777777" w:rsidTr="00A34898">
        <w:tc>
          <w:tcPr>
            <w:tcW w:w="3794" w:type="dxa"/>
            <w:vMerge/>
            <w:vAlign w:val="center"/>
          </w:tcPr>
          <w:p w14:paraId="7AC8C740" w14:textId="77777777" w:rsidR="00FB51CA" w:rsidRPr="00016BD1" w:rsidRDefault="00FB51CA" w:rsidP="00A34898">
            <w:pPr>
              <w:pStyle w:val="83ErlText"/>
            </w:pPr>
          </w:p>
        </w:tc>
        <w:tc>
          <w:tcPr>
            <w:tcW w:w="4111" w:type="dxa"/>
            <w:vAlign w:val="center"/>
          </w:tcPr>
          <w:p w14:paraId="0390EA40" w14:textId="77777777" w:rsidR="00FB51CA" w:rsidRPr="00016BD1" w:rsidRDefault="00FB51CA">
            <w:pPr>
              <w:pStyle w:val="83ErlText"/>
            </w:pPr>
            <w:r>
              <w:t>Aluminium, domestique</w:t>
            </w:r>
          </w:p>
        </w:tc>
      </w:tr>
      <w:tr w:rsidR="00032CF2" w:rsidRPr="00016BD1" w14:paraId="71DDA9FA" w14:textId="77777777" w:rsidTr="00A34898">
        <w:tc>
          <w:tcPr>
            <w:tcW w:w="3794" w:type="dxa"/>
            <w:vMerge w:val="restart"/>
            <w:vAlign w:val="center"/>
          </w:tcPr>
          <w:p w14:paraId="1EEFE274" w14:textId="77777777" w:rsidR="00032CF2" w:rsidRPr="00016BD1" w:rsidRDefault="00032CF2" w:rsidP="00032CF2">
            <w:pPr>
              <w:pStyle w:val="83ErlText"/>
            </w:pPr>
            <w:r>
              <w:t>Emballage léger</w:t>
            </w:r>
          </w:p>
        </w:tc>
        <w:tc>
          <w:tcPr>
            <w:tcW w:w="4111" w:type="dxa"/>
            <w:vAlign w:val="center"/>
          </w:tcPr>
          <w:p w14:paraId="73CF46D7" w14:textId="77777777" w:rsidR="00032CF2" w:rsidRPr="00016BD1" w:rsidRDefault="00032CF2" w:rsidP="00032CF2">
            <w:pPr>
              <w:pStyle w:val="83ErlText"/>
            </w:pPr>
            <w:r>
              <w:t>Plastique, domestique</w:t>
            </w:r>
          </w:p>
        </w:tc>
      </w:tr>
      <w:tr w:rsidR="00032CF2" w:rsidRPr="00016BD1" w14:paraId="222A6CF4" w14:textId="77777777" w:rsidTr="00A34898">
        <w:tc>
          <w:tcPr>
            <w:tcW w:w="3794" w:type="dxa"/>
            <w:vMerge/>
            <w:vAlign w:val="center"/>
          </w:tcPr>
          <w:p w14:paraId="5FCED008" w14:textId="77777777" w:rsidR="00032CF2" w:rsidRPr="00016BD1" w:rsidRDefault="00032CF2" w:rsidP="00032CF2">
            <w:pPr>
              <w:pStyle w:val="83ErlText"/>
            </w:pPr>
          </w:p>
        </w:tc>
        <w:tc>
          <w:tcPr>
            <w:tcW w:w="4111" w:type="dxa"/>
            <w:vAlign w:val="center"/>
          </w:tcPr>
          <w:p w14:paraId="1C0FB89F" w14:textId="77777777" w:rsidR="00032CF2" w:rsidRPr="00016BD1" w:rsidRDefault="00032CF2" w:rsidP="00032CF2">
            <w:pPr>
              <w:pStyle w:val="83ErlText"/>
            </w:pPr>
            <w:r>
              <w:t>Cartons composites pour boissons</w:t>
            </w:r>
          </w:p>
        </w:tc>
      </w:tr>
      <w:tr w:rsidR="00032CF2" w:rsidRPr="00016BD1" w14:paraId="523D14E6" w14:textId="77777777" w:rsidTr="00A34898">
        <w:tc>
          <w:tcPr>
            <w:tcW w:w="3794" w:type="dxa"/>
            <w:vMerge/>
            <w:vAlign w:val="center"/>
          </w:tcPr>
          <w:p w14:paraId="50A2812A" w14:textId="77777777" w:rsidR="00032CF2" w:rsidRPr="00016BD1" w:rsidRDefault="00032CF2" w:rsidP="00032CF2">
            <w:pPr>
              <w:pStyle w:val="83ErlText"/>
            </w:pPr>
          </w:p>
        </w:tc>
        <w:tc>
          <w:tcPr>
            <w:tcW w:w="4111" w:type="dxa"/>
            <w:vAlign w:val="center"/>
          </w:tcPr>
          <w:p w14:paraId="05420EC3" w14:textId="77777777" w:rsidR="00032CF2" w:rsidRPr="00016BD1" w:rsidRDefault="00032CF2">
            <w:pPr>
              <w:pStyle w:val="83ErlText"/>
            </w:pPr>
            <w:r>
              <w:t>Emballage composite, domestique, à l’exclusion des cartons composites pour boissons</w:t>
            </w:r>
          </w:p>
        </w:tc>
      </w:tr>
      <w:tr w:rsidR="00032CF2" w:rsidRPr="00016BD1" w14:paraId="01DE4179" w14:textId="77777777" w:rsidTr="00A34898">
        <w:tc>
          <w:tcPr>
            <w:tcW w:w="3794" w:type="dxa"/>
            <w:vMerge/>
            <w:vAlign w:val="center"/>
          </w:tcPr>
          <w:p w14:paraId="0C578F07" w14:textId="77777777" w:rsidR="00032CF2" w:rsidRPr="00016BD1" w:rsidRDefault="00032CF2" w:rsidP="00032CF2">
            <w:pPr>
              <w:pStyle w:val="83ErlText"/>
            </w:pPr>
          </w:p>
        </w:tc>
        <w:tc>
          <w:tcPr>
            <w:tcW w:w="4111" w:type="dxa"/>
            <w:vAlign w:val="center"/>
          </w:tcPr>
          <w:p w14:paraId="1616C05C" w14:textId="77777777" w:rsidR="00032CF2" w:rsidRPr="00016BD1" w:rsidRDefault="00032CF2" w:rsidP="00032CF2">
            <w:pPr>
              <w:pStyle w:val="83ErlText"/>
            </w:pPr>
            <w:r>
              <w:t>Céramique, domestique</w:t>
            </w:r>
          </w:p>
        </w:tc>
      </w:tr>
      <w:tr w:rsidR="00032CF2" w:rsidRPr="00016BD1" w14:paraId="41D94F77" w14:textId="77777777" w:rsidTr="00A34898">
        <w:tc>
          <w:tcPr>
            <w:tcW w:w="3794" w:type="dxa"/>
            <w:vMerge/>
            <w:vAlign w:val="center"/>
          </w:tcPr>
          <w:p w14:paraId="46826D56" w14:textId="77777777" w:rsidR="00032CF2" w:rsidRPr="00016BD1" w:rsidRDefault="00032CF2" w:rsidP="00032CF2">
            <w:pPr>
              <w:pStyle w:val="83ErlText"/>
            </w:pPr>
          </w:p>
        </w:tc>
        <w:tc>
          <w:tcPr>
            <w:tcW w:w="4111" w:type="dxa"/>
            <w:vAlign w:val="center"/>
          </w:tcPr>
          <w:p w14:paraId="14A966CC" w14:textId="77777777" w:rsidR="00032CF2" w:rsidRPr="00016BD1" w:rsidRDefault="00032CF2" w:rsidP="00032CF2">
            <w:pPr>
              <w:pStyle w:val="83ErlText"/>
            </w:pPr>
            <w:r>
              <w:t>Bois, domestique</w:t>
            </w:r>
          </w:p>
        </w:tc>
      </w:tr>
      <w:tr w:rsidR="00032CF2" w:rsidRPr="00016BD1" w14:paraId="1FF5D261" w14:textId="77777777" w:rsidTr="00A34898">
        <w:tc>
          <w:tcPr>
            <w:tcW w:w="3794" w:type="dxa"/>
            <w:vMerge/>
            <w:vAlign w:val="center"/>
          </w:tcPr>
          <w:p w14:paraId="48CA5A47" w14:textId="77777777" w:rsidR="00032CF2" w:rsidRPr="00016BD1" w:rsidRDefault="00032CF2" w:rsidP="00032CF2">
            <w:pPr>
              <w:pStyle w:val="83ErlText"/>
            </w:pPr>
          </w:p>
        </w:tc>
        <w:tc>
          <w:tcPr>
            <w:tcW w:w="4111" w:type="dxa"/>
            <w:vAlign w:val="center"/>
          </w:tcPr>
          <w:p w14:paraId="15F62BAA" w14:textId="77777777" w:rsidR="00032CF2" w:rsidRPr="00016BD1" w:rsidRDefault="00032CF2" w:rsidP="00032CF2">
            <w:pPr>
              <w:pStyle w:val="83ErlText"/>
            </w:pPr>
            <w:r>
              <w:t>Fibres textiles, domestique</w:t>
            </w:r>
          </w:p>
        </w:tc>
      </w:tr>
      <w:tr w:rsidR="00032CF2" w:rsidRPr="00016BD1" w14:paraId="316EC966" w14:textId="77777777" w:rsidTr="00A34898">
        <w:tc>
          <w:tcPr>
            <w:tcW w:w="3794" w:type="dxa"/>
            <w:vMerge/>
            <w:vAlign w:val="center"/>
          </w:tcPr>
          <w:p w14:paraId="3494A0DD" w14:textId="77777777" w:rsidR="00032CF2" w:rsidRPr="00016BD1" w:rsidRDefault="00032CF2" w:rsidP="00032CF2">
            <w:pPr>
              <w:pStyle w:val="83ErlText"/>
            </w:pPr>
          </w:p>
        </w:tc>
        <w:tc>
          <w:tcPr>
            <w:tcW w:w="4111" w:type="dxa"/>
            <w:vAlign w:val="center"/>
          </w:tcPr>
          <w:p w14:paraId="44EC1F05" w14:textId="77777777" w:rsidR="00032CF2" w:rsidRPr="00016BD1" w:rsidRDefault="00032CF2" w:rsidP="00032CF2">
            <w:pPr>
              <w:pStyle w:val="83ErlText"/>
            </w:pPr>
            <w:r>
              <w:t>Matériaux d’emballage biogéniques, domestiques</w:t>
            </w:r>
          </w:p>
        </w:tc>
      </w:tr>
    </w:tbl>
    <w:p w14:paraId="02312BF2" w14:textId="77777777" w:rsidR="00E8369F" w:rsidRPr="00016BD1" w:rsidRDefault="00B451AE" w:rsidP="00A9409F">
      <w:pPr>
        <w:pStyle w:val="83ErlText"/>
      </w:pPr>
      <w:r>
        <w:lastRenderedPageBreak/>
        <w:t>L'emballage composite dans lequel un matériau d'emballage représente au moins 80 % du poids de l'unité d'emballage doit être affecté à la catégorie tarifaire respective du matériau principal, à l'exception des cartons composites pour boissons.</w:t>
      </w:r>
    </w:p>
    <w:p w14:paraId="336F86E1" w14:textId="77777777" w:rsidR="00E8369F" w:rsidRPr="00016BD1" w:rsidRDefault="00E8369F" w:rsidP="00A9409F">
      <w:pPr>
        <w:pStyle w:val="83ErlText"/>
      </w:pPr>
      <w:r>
        <w:t>Le papier encollé sur les deux faces et le papier encollé sur une ou les deux faces avec de la paraffine ou de la cire sont classés dans la catégorie tarifaire «emballages composites ménagers».</w:t>
      </w:r>
    </w:p>
    <w:p w14:paraId="589646C6" w14:textId="77777777" w:rsidR="00E8369F" w:rsidRPr="00016BD1" w:rsidRDefault="00B73495" w:rsidP="00A9409F">
      <w:pPr>
        <w:pStyle w:val="83ErlText"/>
      </w:pPr>
      <w:r>
        <w:t xml:space="preserve">Par dérogation à la première phrase, les emballages composites dans lesquels le composant principal est en plastique conformément à l’article 2, paragraphe 10, point 2, de l’AWG 2002 et dont le composant est inférieur à 95 % en poids sont classés dans la catégorie tarifaire «emballages composites ménagers». </w:t>
      </w:r>
    </w:p>
    <w:p w14:paraId="1825ED07" w14:textId="77777777" w:rsidR="00FB46F1" w:rsidRPr="00016BD1" w:rsidRDefault="00FB46F1" w:rsidP="00A9409F">
      <w:pPr>
        <w:pStyle w:val="83ErlText"/>
      </w:pPr>
      <w:r>
        <w:t>Pour les emballages énumérés à l’</w:t>
      </w:r>
      <w:r>
        <w:rPr>
          <w:b/>
        </w:rPr>
        <w:t>annexe 6</w:t>
      </w:r>
      <w:r>
        <w:t>, point 2.1., les systèmes de collecte et de valorisation doivent chacun indiquer séparément les surtaxes ou moyens de compensation des coûts uniformes à l’échelle nationale (cf. article 9, paragraphe 2a), qui comprennent les coûts raisonnables pour les opérations de nettoyage et pour la fourniture d’informations appropriées aux consommateurs finaux.</w:t>
      </w:r>
    </w:p>
    <w:p w14:paraId="0202E9E2" w14:textId="77777777" w:rsidR="00FB46F1" w:rsidRPr="00016BD1" w:rsidRDefault="00FB46F1" w:rsidP="00F225D7">
      <w:pPr>
        <w:pStyle w:val="41UeberschrG1"/>
      </w:pPr>
      <w:r>
        <w:t>2. Collecte et catégories tarifaires pour les emballages commerciaux</w:t>
      </w:r>
    </w:p>
    <w:p w14:paraId="44D32964" w14:textId="77777777" w:rsidR="00FB46F1" w:rsidRPr="00016BD1" w:rsidRDefault="00FB46F1" w:rsidP="00F225D7">
      <w:pPr>
        <w:pStyle w:val="09Abstand"/>
      </w:pPr>
    </w:p>
    <w:tbl>
      <w:tblPr>
        <w:tblStyle w:val="TableGrid"/>
        <w:tblW w:w="0" w:type="auto"/>
        <w:tblLook w:val="04A0" w:firstRow="1" w:lastRow="0" w:firstColumn="1" w:lastColumn="0" w:noHBand="0" w:noVBand="1"/>
      </w:tblPr>
      <w:tblGrid>
        <w:gridCol w:w="3794"/>
        <w:gridCol w:w="4111"/>
      </w:tblGrid>
      <w:tr w:rsidR="00FB51CA" w:rsidRPr="00016BD1" w14:paraId="5BE84119" w14:textId="77777777" w:rsidTr="006C5635">
        <w:tc>
          <w:tcPr>
            <w:tcW w:w="3794" w:type="dxa"/>
          </w:tcPr>
          <w:p w14:paraId="73E7B433" w14:textId="77777777" w:rsidR="00FB51CA" w:rsidRPr="00016BD1" w:rsidRDefault="00FB51CA" w:rsidP="006C5635">
            <w:pPr>
              <w:pStyle w:val="43UeberschrG2"/>
            </w:pPr>
            <w:r>
              <w:t>Catégories de collecte (fractions de collecte séparées)</w:t>
            </w:r>
          </w:p>
        </w:tc>
        <w:tc>
          <w:tcPr>
            <w:tcW w:w="4111" w:type="dxa"/>
          </w:tcPr>
          <w:p w14:paraId="1AF8F553" w14:textId="77777777" w:rsidR="00FB51CA" w:rsidRPr="00016BD1" w:rsidRDefault="00FB51CA" w:rsidP="006C5635">
            <w:pPr>
              <w:pStyle w:val="43UeberschrG2"/>
            </w:pPr>
            <w:r>
              <w:t>Catégories de tarif</w:t>
            </w:r>
          </w:p>
        </w:tc>
      </w:tr>
      <w:tr w:rsidR="00FB51CA" w:rsidRPr="00016BD1" w14:paraId="204DC7E0" w14:textId="77777777" w:rsidTr="006C5635">
        <w:tc>
          <w:tcPr>
            <w:tcW w:w="3794" w:type="dxa"/>
            <w:vAlign w:val="center"/>
          </w:tcPr>
          <w:p w14:paraId="78165503" w14:textId="77777777" w:rsidR="00FB51CA" w:rsidRPr="00016BD1" w:rsidRDefault="00FB51CA" w:rsidP="00FB51CA">
            <w:pPr>
              <w:pStyle w:val="83ErlText"/>
            </w:pPr>
            <w:r>
              <w:t>Papier, carton, cartonnage et carton ondulé</w:t>
            </w:r>
          </w:p>
        </w:tc>
        <w:tc>
          <w:tcPr>
            <w:tcW w:w="4111" w:type="dxa"/>
            <w:vAlign w:val="center"/>
          </w:tcPr>
          <w:p w14:paraId="0BC85ABD" w14:textId="77777777" w:rsidR="00FB51CA" w:rsidRPr="00016BD1" w:rsidRDefault="00FB51CA" w:rsidP="00FB51CA">
            <w:pPr>
              <w:pStyle w:val="83ErlText"/>
            </w:pPr>
            <w:r>
              <w:t>Papier, à usage commercial</w:t>
            </w:r>
          </w:p>
        </w:tc>
      </w:tr>
      <w:tr w:rsidR="00FB51CA" w:rsidRPr="00016BD1" w14:paraId="4CFFF6DD" w14:textId="77777777" w:rsidTr="00A34898">
        <w:tc>
          <w:tcPr>
            <w:tcW w:w="3794" w:type="dxa"/>
            <w:vMerge w:val="restart"/>
            <w:vAlign w:val="center"/>
          </w:tcPr>
          <w:p w14:paraId="62F98D3A" w14:textId="77777777" w:rsidR="00FB51CA" w:rsidRPr="00016BD1" w:rsidRDefault="00FB51CA" w:rsidP="00FB51CA">
            <w:pPr>
              <w:pStyle w:val="83ErlText"/>
            </w:pPr>
            <w:r>
              <w:t>Métaux</w:t>
            </w:r>
          </w:p>
        </w:tc>
        <w:tc>
          <w:tcPr>
            <w:tcW w:w="4111" w:type="dxa"/>
            <w:vAlign w:val="center"/>
          </w:tcPr>
          <w:p w14:paraId="1AABD465" w14:textId="77777777" w:rsidR="00FB51CA" w:rsidRPr="00016BD1" w:rsidRDefault="00FB51CA" w:rsidP="00FB51CA">
            <w:pPr>
              <w:pStyle w:val="83ErlText"/>
            </w:pPr>
            <w:r>
              <w:t>Métaux ferreux, commerciaux</w:t>
            </w:r>
          </w:p>
        </w:tc>
      </w:tr>
      <w:tr w:rsidR="00FB51CA" w:rsidRPr="00016BD1" w14:paraId="7E3B1419" w14:textId="77777777" w:rsidTr="00A34898">
        <w:tc>
          <w:tcPr>
            <w:tcW w:w="3794" w:type="dxa"/>
            <w:vMerge/>
            <w:vAlign w:val="center"/>
          </w:tcPr>
          <w:p w14:paraId="12AE63C4" w14:textId="77777777" w:rsidR="00FB51CA" w:rsidRPr="00016BD1" w:rsidRDefault="00FB51CA" w:rsidP="00FB51CA">
            <w:pPr>
              <w:pStyle w:val="83ErlText"/>
            </w:pPr>
          </w:p>
        </w:tc>
        <w:tc>
          <w:tcPr>
            <w:tcW w:w="4111" w:type="dxa"/>
            <w:vAlign w:val="center"/>
          </w:tcPr>
          <w:p w14:paraId="473603C2" w14:textId="77777777" w:rsidR="00FB51CA" w:rsidRPr="00016BD1" w:rsidRDefault="00FB51CA" w:rsidP="00FB51CA">
            <w:pPr>
              <w:pStyle w:val="83ErlText"/>
            </w:pPr>
            <w:r>
              <w:t>Aluminium commercial</w:t>
            </w:r>
          </w:p>
        </w:tc>
      </w:tr>
      <w:tr w:rsidR="00FB51CA" w:rsidRPr="00016BD1" w14:paraId="527A8158" w14:textId="77777777" w:rsidTr="006C5635">
        <w:tc>
          <w:tcPr>
            <w:tcW w:w="3794" w:type="dxa"/>
            <w:vAlign w:val="center"/>
          </w:tcPr>
          <w:p w14:paraId="3B7EEF21" w14:textId="77777777" w:rsidR="00FB51CA" w:rsidRPr="00016BD1" w:rsidRDefault="00FB51CA" w:rsidP="00FB51CA">
            <w:pPr>
              <w:pStyle w:val="83ErlText"/>
            </w:pPr>
            <w:r>
              <w:t>Film plastique</w:t>
            </w:r>
          </w:p>
        </w:tc>
        <w:tc>
          <w:tcPr>
            <w:tcW w:w="4111" w:type="dxa"/>
            <w:vAlign w:val="center"/>
          </w:tcPr>
          <w:p w14:paraId="0FA89C22" w14:textId="77777777" w:rsidR="00FB51CA" w:rsidRPr="00016BD1" w:rsidRDefault="00FB51CA" w:rsidP="00FB51CA">
            <w:pPr>
              <w:pStyle w:val="83ErlText"/>
            </w:pPr>
            <w:r>
              <w:t>Film, cerclage et ruban adhésif en plastique commerciaux</w:t>
            </w:r>
          </w:p>
        </w:tc>
      </w:tr>
      <w:tr w:rsidR="00FB51CA" w:rsidRPr="00016BD1" w14:paraId="76C6FC7D" w14:textId="77777777" w:rsidTr="006C5635">
        <w:tc>
          <w:tcPr>
            <w:tcW w:w="3794" w:type="dxa"/>
            <w:vAlign w:val="center"/>
          </w:tcPr>
          <w:p w14:paraId="40C0E143" w14:textId="77777777" w:rsidR="00FB51CA" w:rsidRPr="00016BD1" w:rsidRDefault="00FB51CA" w:rsidP="00FB51CA">
            <w:pPr>
              <w:pStyle w:val="83ErlText"/>
            </w:pPr>
            <w:r>
              <w:t>Corps creux en plastique</w:t>
            </w:r>
          </w:p>
        </w:tc>
        <w:tc>
          <w:tcPr>
            <w:tcW w:w="4111" w:type="dxa"/>
            <w:vAlign w:val="center"/>
          </w:tcPr>
          <w:p w14:paraId="428EAE71" w14:textId="77777777" w:rsidR="00FB51CA" w:rsidRPr="00016BD1" w:rsidRDefault="000B74AB" w:rsidP="00FB51CA">
            <w:pPr>
              <w:pStyle w:val="83ErlText"/>
            </w:pPr>
            <w:r>
              <w:t>Corps creux, commerciaux</w:t>
            </w:r>
          </w:p>
        </w:tc>
      </w:tr>
      <w:tr w:rsidR="00FB51CA" w:rsidRPr="00016BD1" w14:paraId="7B9A0F4E" w14:textId="77777777" w:rsidTr="006C5635">
        <w:tc>
          <w:tcPr>
            <w:tcW w:w="3794" w:type="dxa"/>
            <w:vAlign w:val="center"/>
          </w:tcPr>
          <w:p w14:paraId="4AD146A3" w14:textId="77777777" w:rsidR="00FB51CA" w:rsidRPr="00016BD1" w:rsidRDefault="00FB51CA" w:rsidP="00FB51CA">
            <w:pPr>
              <w:pStyle w:val="83ErlText"/>
            </w:pPr>
            <w:r>
              <w:t>SPE</w:t>
            </w:r>
          </w:p>
        </w:tc>
        <w:tc>
          <w:tcPr>
            <w:tcW w:w="4111" w:type="dxa"/>
            <w:vAlign w:val="center"/>
          </w:tcPr>
          <w:p w14:paraId="598FC589" w14:textId="77777777" w:rsidR="00FB51CA" w:rsidRPr="00016BD1" w:rsidRDefault="00FB51CA" w:rsidP="00FB51CA">
            <w:pPr>
              <w:pStyle w:val="83ErlText"/>
            </w:pPr>
            <w:r>
              <w:t>SPE, commercial</w:t>
            </w:r>
          </w:p>
        </w:tc>
      </w:tr>
      <w:tr w:rsidR="00FB51CA" w:rsidRPr="00016BD1" w14:paraId="3B7BB62E" w14:textId="77777777" w:rsidTr="006C5635">
        <w:tc>
          <w:tcPr>
            <w:tcW w:w="3794" w:type="dxa"/>
            <w:vAlign w:val="center"/>
          </w:tcPr>
          <w:p w14:paraId="604A0ACF" w14:textId="77777777" w:rsidR="00FB51CA" w:rsidRPr="00016BD1" w:rsidRDefault="00FB51CA" w:rsidP="00FB51CA">
            <w:pPr>
              <w:pStyle w:val="83ErlText"/>
            </w:pPr>
            <w:r>
              <w:t>Bois</w:t>
            </w:r>
          </w:p>
        </w:tc>
        <w:tc>
          <w:tcPr>
            <w:tcW w:w="4111" w:type="dxa"/>
            <w:vAlign w:val="center"/>
          </w:tcPr>
          <w:p w14:paraId="138DA18F" w14:textId="77777777" w:rsidR="00FB51CA" w:rsidRPr="00016BD1" w:rsidRDefault="00FB51CA" w:rsidP="00FB51CA">
            <w:pPr>
              <w:pStyle w:val="83ErlText"/>
            </w:pPr>
            <w:r>
              <w:t>Bois, commercial</w:t>
            </w:r>
          </w:p>
        </w:tc>
      </w:tr>
      <w:tr w:rsidR="00FB51CA" w:rsidRPr="00016BD1" w14:paraId="58B2CC01" w14:textId="77777777" w:rsidTr="00A34898">
        <w:tc>
          <w:tcPr>
            <w:tcW w:w="3794" w:type="dxa"/>
            <w:vMerge w:val="restart"/>
            <w:vAlign w:val="center"/>
          </w:tcPr>
          <w:p w14:paraId="1408C447" w14:textId="77777777" w:rsidR="00FB51CA" w:rsidRPr="00016BD1" w:rsidRDefault="00FB51CA" w:rsidP="00FB51CA">
            <w:pPr>
              <w:pStyle w:val="83ErlText"/>
            </w:pPr>
            <w:r>
              <w:t>Autres emballages</w:t>
            </w:r>
          </w:p>
        </w:tc>
        <w:tc>
          <w:tcPr>
            <w:tcW w:w="4111" w:type="dxa"/>
            <w:vAlign w:val="center"/>
          </w:tcPr>
          <w:p w14:paraId="2F5E88CC" w14:textId="77777777" w:rsidR="00FB51CA" w:rsidRPr="00016BD1" w:rsidRDefault="00FB51CA" w:rsidP="00FB51CA">
            <w:pPr>
              <w:pStyle w:val="83ErlText"/>
            </w:pPr>
            <w:r>
              <w:t>Emballage composite, commercial</w:t>
            </w:r>
          </w:p>
        </w:tc>
      </w:tr>
      <w:tr w:rsidR="00FB51CA" w:rsidRPr="00016BD1" w14:paraId="7EF101D9" w14:textId="77777777" w:rsidTr="00A34898">
        <w:tc>
          <w:tcPr>
            <w:tcW w:w="3794" w:type="dxa"/>
            <w:vMerge/>
            <w:vAlign w:val="center"/>
          </w:tcPr>
          <w:p w14:paraId="5E4930A8" w14:textId="77777777" w:rsidR="00FB51CA" w:rsidRPr="00016BD1" w:rsidRDefault="00FB51CA" w:rsidP="00FB51CA">
            <w:pPr>
              <w:pStyle w:val="83ErlText"/>
            </w:pPr>
          </w:p>
        </w:tc>
        <w:tc>
          <w:tcPr>
            <w:tcW w:w="4111" w:type="dxa"/>
            <w:vAlign w:val="center"/>
          </w:tcPr>
          <w:p w14:paraId="38DC8542" w14:textId="77777777" w:rsidR="00FB51CA" w:rsidRPr="00016BD1" w:rsidRDefault="00FB51CA" w:rsidP="00FB51CA">
            <w:pPr>
              <w:pStyle w:val="83ErlText"/>
            </w:pPr>
            <w:r>
              <w:t>Céramiques commerciales</w:t>
            </w:r>
          </w:p>
        </w:tc>
      </w:tr>
      <w:tr w:rsidR="00FB51CA" w:rsidRPr="00016BD1" w14:paraId="6C297A8C" w14:textId="77777777" w:rsidTr="00A34898">
        <w:tc>
          <w:tcPr>
            <w:tcW w:w="3794" w:type="dxa"/>
            <w:vMerge/>
            <w:vAlign w:val="center"/>
          </w:tcPr>
          <w:p w14:paraId="7EE0EFF8" w14:textId="77777777" w:rsidR="00FB51CA" w:rsidRPr="00016BD1" w:rsidRDefault="00FB51CA" w:rsidP="00FB51CA">
            <w:pPr>
              <w:pStyle w:val="83ErlText"/>
            </w:pPr>
          </w:p>
        </w:tc>
        <w:tc>
          <w:tcPr>
            <w:tcW w:w="4111" w:type="dxa"/>
            <w:vAlign w:val="center"/>
          </w:tcPr>
          <w:p w14:paraId="1662ECF7" w14:textId="77777777" w:rsidR="00FB51CA" w:rsidRPr="00016BD1" w:rsidRDefault="00FB51CA" w:rsidP="00FB51CA">
            <w:pPr>
              <w:pStyle w:val="83ErlText"/>
            </w:pPr>
            <w:r>
              <w:t>Fibres textiles, commerciales</w:t>
            </w:r>
          </w:p>
        </w:tc>
      </w:tr>
      <w:tr w:rsidR="00FB51CA" w:rsidRPr="00016BD1" w14:paraId="08E39783" w14:textId="77777777" w:rsidTr="00A34898">
        <w:tc>
          <w:tcPr>
            <w:tcW w:w="3794" w:type="dxa"/>
            <w:vMerge/>
            <w:vAlign w:val="center"/>
          </w:tcPr>
          <w:p w14:paraId="0E4F3D41" w14:textId="77777777" w:rsidR="00FB51CA" w:rsidRPr="00016BD1" w:rsidRDefault="00FB51CA" w:rsidP="00FB51CA">
            <w:pPr>
              <w:pStyle w:val="83ErlText"/>
            </w:pPr>
          </w:p>
        </w:tc>
        <w:tc>
          <w:tcPr>
            <w:tcW w:w="4111" w:type="dxa"/>
            <w:vAlign w:val="center"/>
          </w:tcPr>
          <w:p w14:paraId="10EDABC6" w14:textId="77777777" w:rsidR="00FB51CA" w:rsidRPr="00016BD1" w:rsidRDefault="00FB51CA" w:rsidP="00FB51CA">
            <w:pPr>
              <w:pStyle w:val="83ErlText"/>
            </w:pPr>
            <w:r>
              <w:t>Matériaux d'emballage biogéniques, commerciaux</w:t>
            </w:r>
          </w:p>
        </w:tc>
      </w:tr>
    </w:tbl>
    <w:p w14:paraId="1E382222" w14:textId="77777777" w:rsidR="00F0783E" w:rsidRPr="00016BD1" w:rsidRDefault="00F0783E" w:rsidP="00A9409F">
      <w:pPr>
        <w:pStyle w:val="83ErlText"/>
      </w:pPr>
      <w:r>
        <w:t>L'emballage composite dans lequel un matériau d'emballage représente au moins 80 % en poids de l'unité d'emballage sont affectés à la catégorie tarifaire respective du composant principal</w:t>
      </w:r>
    </w:p>
    <w:p w14:paraId="6A8225E6" w14:textId="77777777" w:rsidR="00F0783E" w:rsidRPr="00016BD1" w:rsidRDefault="00F0783E" w:rsidP="00A9409F">
      <w:pPr>
        <w:pStyle w:val="83ErlText"/>
      </w:pPr>
      <w:r>
        <w:t xml:space="preserve">Le papier encollé sur les deux faces et le papier encollé sur une ou les deux faces avec de la paraffine ou de la cire sont classés dans la catégorie tarifaire « emballage composite, commercial ». </w:t>
      </w:r>
    </w:p>
    <w:p w14:paraId="1DF4E78F" w14:textId="77777777" w:rsidR="00B73495" w:rsidRPr="00016BD1" w:rsidRDefault="00B73495" w:rsidP="00A9409F">
      <w:pPr>
        <w:pStyle w:val="83ErlText"/>
      </w:pPr>
      <w:r>
        <w:t>Par dérogation à la première phrase, les emballages composites dans lesquels le composant principal est en plastique conformément à l’article 2, paragraphe 10, point 2, de l’AWG 2002 et dont le composant est inférieur à 95 % en poids sont classés dans la catégorie tarifaire «emballages composites ménagers».</w:t>
      </w:r>
    </w:p>
    <w:p w14:paraId="57642E37" w14:textId="77777777" w:rsidR="00FB46F1" w:rsidRPr="00016BD1" w:rsidRDefault="00FB46F1" w:rsidP="00F225D7">
      <w:pPr>
        <w:pStyle w:val="41UeberschrG1"/>
      </w:pPr>
      <w:r>
        <w:t>3. Catégories de compensation des coûts pour les produits plastiques à usage unique supplémentaires (à l’exclusion des emballages)</w:t>
      </w:r>
    </w:p>
    <w:p w14:paraId="394DE8F2" w14:textId="77777777" w:rsidR="00FB46F1" w:rsidRPr="00016BD1" w:rsidRDefault="00FB46F1" w:rsidP="00F225D7">
      <w:pPr>
        <w:pStyle w:val="09Abstand"/>
      </w:pPr>
    </w:p>
    <w:tbl>
      <w:tblPr>
        <w:tblStyle w:val="TableGrid"/>
        <w:tblW w:w="0" w:type="auto"/>
        <w:tblLook w:val="04A0" w:firstRow="1" w:lastRow="0" w:firstColumn="1" w:lastColumn="0" w:noHBand="0" w:noVBand="1"/>
      </w:tblPr>
      <w:tblGrid>
        <w:gridCol w:w="6204"/>
      </w:tblGrid>
      <w:tr w:rsidR="00FB51CA" w:rsidRPr="00016BD1" w14:paraId="5E1EED2D" w14:textId="77777777" w:rsidTr="006C5635">
        <w:tc>
          <w:tcPr>
            <w:tcW w:w="6204" w:type="dxa"/>
          </w:tcPr>
          <w:p w14:paraId="7CEE5424" w14:textId="77777777" w:rsidR="00FB51CA" w:rsidRPr="00016BD1" w:rsidRDefault="00FB51CA" w:rsidP="006C5635">
            <w:pPr>
              <w:pStyle w:val="43UeberschrG2"/>
            </w:pPr>
            <w:r>
              <w:t>Catégories</w:t>
            </w:r>
          </w:p>
        </w:tc>
      </w:tr>
      <w:tr w:rsidR="00FB51CA" w:rsidRPr="00016BD1" w14:paraId="695C4097" w14:textId="77777777" w:rsidTr="006C5635">
        <w:tc>
          <w:tcPr>
            <w:tcW w:w="6204" w:type="dxa"/>
          </w:tcPr>
          <w:p w14:paraId="637DBA2D" w14:textId="77777777" w:rsidR="00FB51CA" w:rsidRPr="00016BD1" w:rsidRDefault="00FB51CA" w:rsidP="00A9409F">
            <w:pPr>
              <w:pStyle w:val="83ErlText"/>
            </w:pPr>
            <w:r>
              <w:t>Lingettes humides</w:t>
            </w:r>
          </w:p>
        </w:tc>
      </w:tr>
      <w:tr w:rsidR="00FB51CA" w:rsidRPr="00016BD1" w14:paraId="5064C9DE" w14:textId="77777777" w:rsidTr="006C5635">
        <w:tc>
          <w:tcPr>
            <w:tcW w:w="6204" w:type="dxa"/>
          </w:tcPr>
          <w:p w14:paraId="1326BE72" w14:textId="77777777" w:rsidR="00FB51CA" w:rsidRPr="00016BD1" w:rsidRDefault="00FB51CA" w:rsidP="00A9409F">
            <w:pPr>
              <w:pStyle w:val="83ErlText"/>
            </w:pPr>
            <w:r>
              <w:t>Ballons</w:t>
            </w:r>
          </w:p>
        </w:tc>
      </w:tr>
      <w:tr w:rsidR="00FB51CA" w:rsidRPr="00016BD1" w14:paraId="55679B37" w14:textId="77777777" w:rsidTr="006C5635">
        <w:tc>
          <w:tcPr>
            <w:tcW w:w="6204" w:type="dxa"/>
          </w:tcPr>
          <w:p w14:paraId="45A13B2A" w14:textId="77777777" w:rsidR="00FB51CA" w:rsidRPr="00016BD1" w:rsidRDefault="00FB51CA" w:rsidP="00A9409F">
            <w:pPr>
              <w:pStyle w:val="83ErlText"/>
            </w:pPr>
            <w:r>
              <w:t>Produits à base de tabac</w:t>
            </w:r>
          </w:p>
        </w:tc>
      </w:tr>
      <w:tr w:rsidR="00FB51CA" w:rsidRPr="00016BD1" w14:paraId="4446951E" w14:textId="77777777" w:rsidTr="006C5635">
        <w:tc>
          <w:tcPr>
            <w:tcW w:w="6204" w:type="dxa"/>
          </w:tcPr>
          <w:p w14:paraId="02BA6879" w14:textId="77777777" w:rsidR="00FB51CA" w:rsidRPr="00016BD1" w:rsidRDefault="00FB51CA" w:rsidP="00A9409F">
            <w:pPr>
              <w:pStyle w:val="83ErlText"/>
            </w:pPr>
            <w:r>
              <w:t>Équipement de pêche tel que défini à l’article 3 sous-paragraphe 27</w:t>
            </w:r>
          </w:p>
        </w:tc>
      </w:tr>
    </w:tbl>
    <w:p w14:paraId="62D36B5A" w14:textId="77777777" w:rsidR="00FB46F1" w:rsidRPr="00016BD1" w:rsidRDefault="00FB46F1" w:rsidP="00A9409F">
      <w:pPr>
        <w:pStyle w:val="83ErlText"/>
      </w:pPr>
      <w:r>
        <w:t xml:space="preserve">Pour ceux-ci, les systèmes de collecte et de valorisation doivent indiquer séparément les moyens de compensation des coûts uniformes à l’échelle nationale (cf. article 9(2a)), qui comprennent les coûts </w:t>
      </w:r>
      <w:r>
        <w:lastRenderedPageBreak/>
        <w:t>raisonnables pour les opérations de nettoyage et pour la fourniture d’informations appropriées aux consommateurs finaux. »</w:t>
      </w:r>
    </w:p>
    <w:p w14:paraId="63CA492A" w14:textId="77777777" w:rsidR="00FB46F1" w:rsidRPr="00016BD1" w:rsidRDefault="006C5635" w:rsidP="00F225D7">
      <w:pPr>
        <w:pStyle w:val="21NovAo1"/>
      </w:pPr>
      <w:r>
        <w:t>56. L’annexe 6 suivante est ajoutée à l’ordonnance :</w:t>
      </w:r>
    </w:p>
    <w:p w14:paraId="6265B88E" w14:textId="77777777" w:rsidR="00FB46F1" w:rsidRPr="00016BD1" w:rsidRDefault="00FB46F1" w:rsidP="001D540A">
      <w:pPr>
        <w:pStyle w:val="71Anlagenbez"/>
        <w:keepNext/>
      </w:pPr>
      <w:r>
        <w:t>« Annexe 6</w:t>
      </w:r>
    </w:p>
    <w:p w14:paraId="736619CB" w14:textId="77777777" w:rsidR="00FB46F1" w:rsidRPr="00016BD1" w:rsidRDefault="00FB46F1" w:rsidP="00F225D7">
      <w:pPr>
        <w:pStyle w:val="82ErlUeberschrL"/>
      </w:pPr>
      <w:r>
        <w:t>1. Produits plastiques à usage unique visés à l’article 4, paragraphe 6 (exigences relatives aux produits)</w:t>
      </w:r>
    </w:p>
    <w:p w14:paraId="2EF86467" w14:textId="77777777" w:rsidR="00FB46F1" w:rsidRPr="00016BD1" w:rsidRDefault="00FB46F1" w:rsidP="00F225D7">
      <w:pPr>
        <w:pStyle w:val="83ErlText"/>
      </w:pPr>
      <w:r>
        <w:t xml:space="preserve">Les récipients pour boissons d'une capacité allant jusqu'à trois litres, c'est-à-dire les récipients utilisés pour contenir du liquide, tels que des bouteilles pour boissons avec leurs bouchons et couvercles et les emballages composites pour boissons, y compris leurs bouchons et couvercles, mais excluant : </w:t>
      </w:r>
    </w:p>
    <w:p w14:paraId="0A308D60" w14:textId="77777777" w:rsidR="00FB46F1" w:rsidRPr="00016BD1" w:rsidRDefault="00FB46F1" w:rsidP="00F225D7">
      <w:pPr>
        <w:pStyle w:val="52Aufzaehle2Lit"/>
      </w:pPr>
      <w:r>
        <w:tab/>
        <w:t>a)</w:t>
      </w:r>
      <w:r>
        <w:tab/>
        <w:t>les récipients en verre ou en métal pour boissons munis d’un couvercle ou d’un couvercle en plastique,</w:t>
      </w:r>
    </w:p>
    <w:p w14:paraId="03AC5A12" w14:textId="77777777" w:rsidR="00FB46F1" w:rsidRPr="00016BD1" w:rsidRDefault="00FB46F1" w:rsidP="00F225D7">
      <w:pPr>
        <w:pStyle w:val="52Aufzaehle2Lit"/>
      </w:pPr>
      <w:r>
        <w:tab/>
        <w:t>b)</w:t>
      </w:r>
      <w:r>
        <w:tab/>
        <w:t>les récipients pour boissons destinés et utilisés pour des denrées alimentaires à des fins médicales spéciales au sens de l’article 2, point (g), du règlement (UE) n° 609/2013 concernant les denrées alimentaires destinées aux nourrissons et aux enfants en bas âge, les denrées alimentaires destinées à des fins médicales spéciales et les substituts de la ration journalière totale pour le contrôle du poids et abrogeant la directive 92/52/CEE, les directives 96/8/CE, 1999/21/CE, 2006/125/CE et 2006/141/CE, la directive 2009/39/CE et les règlements (CE) n° 41/2009 et (CE) n° 953/2009, JO L 181 du 29.6.2013, p.35.</w:t>
      </w:r>
    </w:p>
    <w:p w14:paraId="06080EE1" w14:textId="77777777" w:rsidR="00FB46F1" w:rsidRPr="00016BD1" w:rsidRDefault="00FB46F1" w:rsidP="00F225D7">
      <w:pPr>
        <w:pStyle w:val="82ErlUeberschrL"/>
      </w:pPr>
      <w:r>
        <w:t>2. Produits plastiques à usage unique couverts par l’article 18a (responsabilité élargie du producteur)</w:t>
      </w:r>
    </w:p>
    <w:p w14:paraId="7E2F72E6" w14:textId="77777777" w:rsidR="00FB46F1" w:rsidRPr="00016BD1" w:rsidRDefault="00FB46F1" w:rsidP="00F225D7">
      <w:pPr>
        <w:pStyle w:val="82ErlUeberschrL"/>
      </w:pPr>
      <w:r>
        <w:t>2.1. Emballages plastiques à usage unique couverts par l’article 18a (responsabilité élargie du producteur)</w:t>
      </w:r>
    </w:p>
    <w:p w14:paraId="7D57E55A" w14:textId="77777777" w:rsidR="00FB46F1" w:rsidRPr="00016BD1" w:rsidRDefault="00FB46F1" w:rsidP="00F225D7">
      <w:pPr>
        <w:pStyle w:val="52Aufzaehle1Ziffer"/>
      </w:pPr>
      <w:r>
        <w:tab/>
        <w:t>1.</w:t>
      </w:r>
      <w:r>
        <w:tab/>
        <w:t xml:space="preserve">Les contenants alimentaires, c’est-à-dire des récipients tels que des boîtes, avec ou sans couvercle, utilisés pour contenir des denrées alimentaires qui : </w:t>
      </w:r>
    </w:p>
    <w:p w14:paraId="30069B04" w14:textId="77777777" w:rsidR="00FB46F1" w:rsidRPr="00016BD1" w:rsidRDefault="00FB46F1" w:rsidP="00F225D7">
      <w:pPr>
        <w:pStyle w:val="52Aufzaehle2Lit"/>
      </w:pPr>
      <w:r>
        <w:tab/>
        <w:t>a)</w:t>
      </w:r>
      <w:r>
        <w:tab/>
        <w:t>sont destinées à être consommées immédiatement, soit sur place, soit à emporter,</w:t>
      </w:r>
    </w:p>
    <w:p w14:paraId="0875C2E5" w14:textId="77777777" w:rsidR="00FB46F1" w:rsidRPr="00016BD1" w:rsidRDefault="00FB46F1" w:rsidP="00F225D7">
      <w:pPr>
        <w:pStyle w:val="52Aufzaehle2Lit"/>
      </w:pPr>
      <w:r>
        <w:tab/>
        <w:t>b)</w:t>
      </w:r>
      <w:r>
        <w:tab/>
        <w:t>sont généralement consommées directement dans le récipient, et</w:t>
      </w:r>
    </w:p>
    <w:p w14:paraId="28C287E3" w14:textId="77777777" w:rsidR="00FB46F1" w:rsidRPr="00016BD1" w:rsidRDefault="00FB46F1" w:rsidP="00F225D7">
      <w:pPr>
        <w:pStyle w:val="52Aufzaehle2Lit"/>
      </w:pPr>
      <w:r>
        <w:tab/>
        <w:t>c)</w:t>
      </w:r>
      <w:r>
        <w:tab/>
        <w:t>sont prêtes à être consommées sans autre préparation, comme le fait de les cuire, de les bouillir ou de les réchauffer,</w:t>
      </w:r>
    </w:p>
    <w:p w14:paraId="49E3C7E3" w14:textId="77777777" w:rsidR="00FB46F1" w:rsidRPr="00016BD1" w:rsidRDefault="00FB46F1" w:rsidP="00F225D7">
      <w:pPr>
        <w:pStyle w:val="58Schlussteile1Ziffer"/>
      </w:pPr>
      <w:r>
        <w:t>y compris les récipients alimentaires utilisés pour la restauration rapide ou d’autres plats prêts à être consommés immédiatement, à l’exception des récipients pour boissons, des assiettes et paquets et des emballages contenant des denrées alimentaires,</w:t>
      </w:r>
    </w:p>
    <w:p w14:paraId="427820B0" w14:textId="77777777" w:rsidR="00FB46F1" w:rsidRPr="00016BD1" w:rsidRDefault="00FB46F1" w:rsidP="00F225D7">
      <w:pPr>
        <w:pStyle w:val="52Aufzaehle1Ziffer"/>
      </w:pPr>
      <w:r>
        <w:tab/>
        <w:t>2.</w:t>
      </w:r>
      <w:r>
        <w:tab/>
        <w:t>Les paquets et emballages fabriqués à partir d'un matériau souple contenant des aliments destinés à être consommés immédiatement à partir du paquet ou de l'emballage sans autre préparation ;</w:t>
      </w:r>
    </w:p>
    <w:p w14:paraId="158AD5E2" w14:textId="77777777" w:rsidR="00FB46F1" w:rsidRPr="00016BD1" w:rsidRDefault="00FB46F1" w:rsidP="00F225D7">
      <w:pPr>
        <w:pStyle w:val="52Aufzaehle1Ziffer"/>
      </w:pPr>
      <w:r>
        <w:tab/>
        <w:t>3.</w:t>
      </w:r>
      <w:r>
        <w:tab/>
        <w:t xml:space="preserve">Les récipients pour boissons d’une contenance maximale de trois litres, c’est-à-dire les récipients utilisés pour contenir des liquides tels que les bouteilles pour boissons, y compris leurs bouchons et couvercles, et les emballages composites pour boissons, y compris leurs bouchons et couvercles, à l’exclusion des récipients pour boissons en verre ou en métal qui comportent des bouchons et des couvercles en plastique ; </w:t>
      </w:r>
    </w:p>
    <w:p w14:paraId="0A3BFFB2" w14:textId="77777777" w:rsidR="00FB46F1" w:rsidRPr="00016BD1" w:rsidRDefault="00FB46F1" w:rsidP="00F225D7">
      <w:pPr>
        <w:pStyle w:val="52Aufzaehle1Ziffer"/>
      </w:pPr>
      <w:r>
        <w:tab/>
        <w:t>4.</w:t>
      </w:r>
      <w:r>
        <w:tab/>
        <w:t>Les gobelets pour boissons, y compris leurs couvercles et bouchons ;</w:t>
      </w:r>
    </w:p>
    <w:p w14:paraId="3ACCF2CE" w14:textId="77777777" w:rsidR="00FB46F1" w:rsidRPr="00016BD1" w:rsidRDefault="00FB46F1" w:rsidP="00F225D7">
      <w:pPr>
        <w:pStyle w:val="52Aufzaehle1Ziffer"/>
      </w:pPr>
      <w:r>
        <w:tab/>
        <w:t>5.</w:t>
      </w:r>
      <w:r>
        <w:tab/>
        <w:t>Les sacs en plastique légers tels que définis à l’article 3, point 1c, de la Directive 94/62/CE.</w:t>
      </w:r>
    </w:p>
    <w:p w14:paraId="638BA9F1" w14:textId="77777777" w:rsidR="00FB46F1" w:rsidRPr="00016BD1" w:rsidRDefault="00FB46F1" w:rsidP="00F225D7">
      <w:pPr>
        <w:pStyle w:val="82ErlUeberschrL"/>
      </w:pPr>
      <w:r>
        <w:t>2.2. Autres produits plastiques à usage unique visés à l’article 18a (responsabilité élargie du producteur)</w:t>
      </w:r>
    </w:p>
    <w:p w14:paraId="00036BFB" w14:textId="77777777" w:rsidR="00FB46F1" w:rsidRPr="00016BD1" w:rsidRDefault="00FB46F1" w:rsidP="00F225D7">
      <w:pPr>
        <w:pStyle w:val="52Aufzaehle1Ziffer"/>
      </w:pPr>
      <w:r>
        <w:tab/>
        <w:t>1.</w:t>
      </w:r>
      <w:r>
        <w:tab/>
        <w:t>Les lingettes humides, c'est-à-dire les lingettes de soins personnels humidifiées et les lingettes ménagères ;</w:t>
      </w:r>
    </w:p>
    <w:p w14:paraId="1E521F1A" w14:textId="77777777" w:rsidR="00FB46F1" w:rsidRPr="00016BD1" w:rsidRDefault="00FB46F1" w:rsidP="00F225D7">
      <w:pPr>
        <w:pStyle w:val="52Aufzaehle1Ziffer"/>
      </w:pPr>
      <w:r>
        <w:tab/>
        <w:t>2.</w:t>
      </w:r>
      <w:r>
        <w:tab/>
        <w:t>Les ballons, à l'exception des ballons destinés à des usages industriels ou à d'autres usages et applications professionnels qui ne sont pas distribués aux consommateurs ;</w:t>
      </w:r>
    </w:p>
    <w:p w14:paraId="4F7FF4A6" w14:textId="77777777" w:rsidR="00FB46F1" w:rsidRPr="00016BD1" w:rsidRDefault="00FB46F1" w:rsidP="00F225D7">
      <w:pPr>
        <w:pStyle w:val="82ErlUeberschrL"/>
      </w:pPr>
      <w:r>
        <w:t>2.3. Les produits à base de tabac en plastique à usage unique visés à l’article 18a (responsabilité élargie du producteur)</w:t>
      </w:r>
    </w:p>
    <w:p w14:paraId="7AD9618D" w14:textId="77777777" w:rsidR="00FB46F1" w:rsidRPr="00016BD1" w:rsidRDefault="00FB46F1" w:rsidP="00F225D7">
      <w:pPr>
        <w:pStyle w:val="83ErlText"/>
      </w:pPr>
      <w:r>
        <w:t>Les produits à base de tabac avec filtres et filtres commercialisés en combinaison avec des produits du tabac ;</w:t>
      </w:r>
    </w:p>
    <w:p w14:paraId="00804D45" w14:textId="77777777" w:rsidR="00FB46F1" w:rsidRPr="00016BD1" w:rsidRDefault="00FB46F1" w:rsidP="00F225D7">
      <w:pPr>
        <w:pStyle w:val="82ErlUeberschrL"/>
      </w:pPr>
      <w:r>
        <w:t>3. Les produits en plastique à usage unique visés aux paragraphes 7 et 8 de l’article 4 (exigences relatives au produit)</w:t>
      </w:r>
    </w:p>
    <w:p w14:paraId="55210B09" w14:textId="77777777" w:rsidR="00FB46F1" w:rsidRPr="00016BD1" w:rsidRDefault="00FB46F1" w:rsidP="00F225D7">
      <w:pPr>
        <w:pStyle w:val="83ErlText"/>
      </w:pPr>
      <w:r>
        <w:t>Les bouteilles pour boissons d’une contenance maximale de trois litres, y compris leurs bouchons et couvercles, mais pas les</w:t>
      </w:r>
    </w:p>
    <w:p w14:paraId="6FB1303C" w14:textId="77777777" w:rsidR="00FB46F1" w:rsidRPr="00016BD1" w:rsidRDefault="00FB46F1" w:rsidP="00F225D7">
      <w:pPr>
        <w:pStyle w:val="52Aufzaehle2Lit"/>
      </w:pPr>
      <w:r>
        <w:lastRenderedPageBreak/>
        <w:tab/>
        <w:t>a)</w:t>
      </w:r>
      <w:r>
        <w:tab/>
        <w:t>les bouteilles en verre ou en métal pour boissons qui comportent des bouchons ou des couvercles en plastique,</w:t>
      </w:r>
    </w:p>
    <w:p w14:paraId="7B945C8A" w14:textId="77777777" w:rsidR="00FB46F1" w:rsidRPr="00016BD1" w:rsidRDefault="00FB46F1" w:rsidP="00DB36D5">
      <w:pPr>
        <w:pStyle w:val="52Aufzaehle2Lit"/>
      </w:pPr>
      <w:r>
        <w:tab/>
        <w:t>b)</w:t>
      </w:r>
      <w:r>
        <w:tab/>
        <w:t>les bouteilles pour boissons destinées et utilisées à des fins médicales spéciales au sens de l’article 2, point g), du Règlement (UE) n° 609/2013,</w:t>
      </w:r>
    </w:p>
    <w:p w14:paraId="05AF05F5" w14:textId="77777777" w:rsidR="00FB46F1" w:rsidRPr="00016BD1" w:rsidRDefault="00FB46F1" w:rsidP="00F225D7">
      <w:pPr>
        <w:pStyle w:val="82ErlUeberschrL"/>
      </w:pPr>
      <w:r>
        <w:t>4. Les produits en plastique à usage unique visés à l’article 20 (sensibilisation)</w:t>
      </w:r>
    </w:p>
    <w:p w14:paraId="26844A2B" w14:textId="77777777" w:rsidR="00FB46F1" w:rsidRPr="00016BD1" w:rsidRDefault="00FB46F1" w:rsidP="00F225D7">
      <w:pPr>
        <w:pStyle w:val="82ErlUeberschrL"/>
      </w:pPr>
      <w:r>
        <w:t>4.1. Les produits en plastique à usage unique visés à l’article 20, paragraphe 1 (sensibilisation)</w:t>
      </w:r>
    </w:p>
    <w:p w14:paraId="3C1E1602" w14:textId="77777777" w:rsidR="00FB46F1" w:rsidRPr="00016BD1" w:rsidRDefault="00FB46F1" w:rsidP="00F225D7">
      <w:pPr>
        <w:pStyle w:val="52Aufzaehle1Ziffer"/>
      </w:pPr>
      <w:r>
        <w:tab/>
        <w:t>1.</w:t>
      </w:r>
      <w:r>
        <w:tab/>
        <w:t xml:space="preserve">Les contenants alimentaires, c’est-à-dire des récipients tels que des boîtes, avec ou sans couvercle, utilisés pour contenir des denrées alimentaires qui : </w:t>
      </w:r>
    </w:p>
    <w:p w14:paraId="693F2204" w14:textId="77777777" w:rsidR="00FB46F1" w:rsidRPr="00016BD1" w:rsidRDefault="00FB46F1" w:rsidP="00F225D7">
      <w:pPr>
        <w:pStyle w:val="52Aufzaehle2Lit"/>
      </w:pPr>
      <w:r>
        <w:tab/>
        <w:t>a)</w:t>
      </w:r>
      <w:r>
        <w:tab/>
        <w:t>sont destinées à être consommées immédiatement, soit sur place, soit à emporter,</w:t>
      </w:r>
    </w:p>
    <w:p w14:paraId="3608E4BF" w14:textId="77777777" w:rsidR="00FB46F1" w:rsidRPr="00016BD1" w:rsidRDefault="00FB46F1" w:rsidP="00F225D7">
      <w:pPr>
        <w:pStyle w:val="52Aufzaehle2Lit"/>
      </w:pPr>
      <w:r>
        <w:tab/>
        <w:t>b)</w:t>
      </w:r>
      <w:r>
        <w:tab/>
        <w:t>sont généralement consommées directement dans le récipient, et</w:t>
      </w:r>
    </w:p>
    <w:p w14:paraId="0E3C3F71" w14:textId="77777777" w:rsidR="00FB46F1" w:rsidRPr="00016BD1" w:rsidRDefault="00FB46F1" w:rsidP="00F225D7">
      <w:pPr>
        <w:pStyle w:val="52Aufzaehle2Lit"/>
      </w:pPr>
      <w:r>
        <w:tab/>
        <w:t>c)</w:t>
      </w:r>
      <w:r>
        <w:tab/>
        <w:t>sont prêtes à être consommées sans autre préparation, comme le fait de les cuire, de les bouillir ou de les réchauffer,</w:t>
      </w:r>
    </w:p>
    <w:p w14:paraId="385A938A" w14:textId="77777777" w:rsidR="00FB46F1" w:rsidRPr="00016BD1" w:rsidRDefault="00FB46F1" w:rsidP="00F225D7">
      <w:pPr>
        <w:pStyle w:val="58Schlussteile0Abs"/>
      </w:pPr>
      <w:r>
        <w:tab/>
        <w:t>y compris les récipients alimentaires utilisés pour la restauration rapide ou d’autres plats prêts à être consommés immédiatement, à l’exception des récipients pour boissons, des assiettes et paquets et des emballages contenant des denrées alimentaires ;</w:t>
      </w:r>
    </w:p>
    <w:p w14:paraId="05DAE589" w14:textId="77777777" w:rsidR="00FB46F1" w:rsidRPr="00016BD1" w:rsidRDefault="00FB46F1" w:rsidP="00F225D7">
      <w:pPr>
        <w:pStyle w:val="52Aufzaehle1Ziffer"/>
      </w:pPr>
      <w:r>
        <w:tab/>
        <w:t>2.</w:t>
      </w:r>
      <w:r>
        <w:tab/>
        <w:t>Les paquets et emballages fabriqués à partir d'un matériau souple contenant des aliments destinés à être consommés immédiatement à partir du paquet ou de l'emballage sans autre préparation ;</w:t>
      </w:r>
    </w:p>
    <w:p w14:paraId="39A4686D" w14:textId="77777777" w:rsidR="00FB46F1" w:rsidRPr="00016BD1" w:rsidRDefault="00FB46F1" w:rsidP="00F225D7">
      <w:pPr>
        <w:pStyle w:val="52Aufzaehle1Ziffer"/>
      </w:pPr>
      <w:r>
        <w:tab/>
        <w:t>3.</w:t>
      </w:r>
      <w:r>
        <w:tab/>
        <w:t xml:space="preserve">Les récipients pour boissons d’une contenance maximale de trois litres, c’est-à-dire les récipients utilisés pour contenir des liquides tels que les bouteilles pour boissons, y compris leurs bouchons et couvercles, et les emballages composites pour boissons, y compris leurs bouchons et couvercles, à l’exclusion des récipients pour boissons en verre ou en métal qui ont des bouchons et couvercles en plastique ; </w:t>
      </w:r>
    </w:p>
    <w:p w14:paraId="7346E527" w14:textId="77777777" w:rsidR="00FB46F1" w:rsidRPr="00016BD1" w:rsidRDefault="00FB46F1" w:rsidP="00F225D7">
      <w:pPr>
        <w:pStyle w:val="52Aufzaehle1Ziffer"/>
      </w:pPr>
      <w:r>
        <w:tab/>
        <w:t>4.</w:t>
      </w:r>
      <w:r>
        <w:tab/>
        <w:t>Les gobelets pour boissons, y compris leurs couvercles et bouchons ;</w:t>
      </w:r>
    </w:p>
    <w:p w14:paraId="01D1F4EB" w14:textId="77777777" w:rsidR="00FB46F1" w:rsidRPr="00016BD1" w:rsidRDefault="00FB46F1" w:rsidP="00F225D7">
      <w:pPr>
        <w:pStyle w:val="52Aufzaehle1Ziffer"/>
      </w:pPr>
      <w:r>
        <w:tab/>
        <w:t>5.</w:t>
      </w:r>
      <w:r>
        <w:tab/>
        <w:t>Les produits à base de tabac avec filtres et les filtres commercialisés en combinaison avec des produits à base de tabac ;</w:t>
      </w:r>
    </w:p>
    <w:p w14:paraId="6EAD96A3" w14:textId="77777777" w:rsidR="00FB46F1" w:rsidRPr="00016BD1" w:rsidRDefault="00FB46F1" w:rsidP="00F225D7">
      <w:pPr>
        <w:pStyle w:val="52Aufzaehle1Ziffer"/>
      </w:pPr>
      <w:r>
        <w:tab/>
        <w:t>6.</w:t>
      </w:r>
      <w:r>
        <w:tab/>
        <w:t>Les lingettes humides, c'est-à-dire les lingettes de soins personnels humidifiées et les lingettes ménagères ;</w:t>
      </w:r>
    </w:p>
    <w:p w14:paraId="1478DF0F" w14:textId="77777777" w:rsidR="00FB46F1" w:rsidRPr="00016BD1" w:rsidRDefault="00FB46F1" w:rsidP="00F225D7">
      <w:pPr>
        <w:pStyle w:val="52Aufzaehle1Ziffer"/>
      </w:pPr>
      <w:r>
        <w:tab/>
        <w:t>7.</w:t>
      </w:r>
      <w:r>
        <w:tab/>
        <w:t>Les ballons, autres que les ballons destinés à des usages industriels ou à d’autres usages industriels et les applications qui ne sont pas livrés aux consommateurs ;</w:t>
      </w:r>
    </w:p>
    <w:p w14:paraId="7C1205F5" w14:textId="77777777" w:rsidR="00FB46F1" w:rsidRPr="00016BD1" w:rsidRDefault="00FB46F1" w:rsidP="00F225D7">
      <w:pPr>
        <w:pStyle w:val="52Aufzaehle1Ziffer"/>
      </w:pPr>
      <w:r>
        <w:tab/>
        <w:t>8.</w:t>
      </w:r>
      <w:r>
        <w:tab/>
        <w:t>Les sacs en plastique légers tels que définis à l’article 3, point 1c, de la Directive 94/62/CE.</w:t>
      </w:r>
    </w:p>
    <w:p w14:paraId="5A7B7B18" w14:textId="77777777" w:rsidR="00FB46F1" w:rsidRPr="00016BD1" w:rsidRDefault="00FB46F1" w:rsidP="00F225D7">
      <w:pPr>
        <w:pStyle w:val="82ErlUeberschrL"/>
      </w:pPr>
      <w:r>
        <w:t>4.2. Les produits d’hygiène pour femmes en plastique à usage unique (produits d’hygiène pour femmes) couverts par l’article 20, paragraphe 2 (sensibilisation)</w:t>
      </w:r>
    </w:p>
    <w:p w14:paraId="4E2E218F" w14:textId="77777777" w:rsidR="00FB46F1" w:rsidRPr="00016BD1" w:rsidRDefault="00FB46F1" w:rsidP="00F225D7">
      <w:pPr>
        <w:pStyle w:val="83ErlText"/>
      </w:pPr>
      <w:r>
        <w:tab/>
        <w:t>Les serviettes hygiéniques (pads), tampons et applicateurs de tampons, »</w:t>
      </w:r>
    </w:p>
    <w:p w14:paraId="5ACA3C9F" w14:textId="77777777" w:rsidR="00284AED" w:rsidRPr="00016BD1" w:rsidRDefault="005E27FC" w:rsidP="002A6A4D">
      <w:pPr>
        <w:pStyle w:val="68UnterschrL"/>
      </w:pPr>
      <w:proofErr w:type="spellStart"/>
      <w:r>
        <w:t>Gewessler</w:t>
      </w:r>
      <w:proofErr w:type="spellEnd"/>
    </w:p>
    <w:sectPr w:rsidR="00284AED" w:rsidRPr="00016BD1" w:rsidSect="002A6A4D">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0DA37" w14:textId="77777777" w:rsidR="00101140" w:rsidRDefault="00101140" w:rsidP="00853EFA">
      <w:r>
        <w:separator/>
      </w:r>
    </w:p>
  </w:endnote>
  <w:endnote w:type="continuationSeparator" w:id="0">
    <w:p w14:paraId="4C0DFF88" w14:textId="77777777" w:rsidR="00101140" w:rsidRDefault="00101140" w:rsidP="00853EFA">
      <w:r>
        <w:continuationSeparator/>
      </w:r>
    </w:p>
  </w:endnote>
  <w:endnote w:type="continuationNotice" w:id="1">
    <w:p w14:paraId="31A98E61" w14:textId="77777777" w:rsidR="00101140" w:rsidRDefault="00101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A95B" w14:textId="77777777" w:rsidR="00F373EF" w:rsidRPr="00016BD1" w:rsidRDefault="002A6A4D" w:rsidP="002A6A4D">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A09C" w14:textId="77777777" w:rsidR="00F373EF" w:rsidRPr="00016BD1" w:rsidRDefault="002A6A4D" w:rsidP="002A6A4D">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AE05" w14:textId="77777777" w:rsidR="00F373EF" w:rsidRPr="00016BD1" w:rsidRDefault="002A6A4D" w:rsidP="002A6A4D">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D99D" w14:textId="77777777" w:rsidR="00101140" w:rsidRDefault="00101140" w:rsidP="00853EFA">
      <w:r>
        <w:separator/>
      </w:r>
    </w:p>
  </w:footnote>
  <w:footnote w:type="continuationSeparator" w:id="0">
    <w:p w14:paraId="6A89A1CE" w14:textId="77777777" w:rsidR="00101140" w:rsidRDefault="00101140" w:rsidP="00853EFA">
      <w:r>
        <w:continuationSeparator/>
      </w:r>
    </w:p>
  </w:footnote>
  <w:footnote w:type="continuationNotice" w:id="1">
    <w:p w14:paraId="5D4425F8" w14:textId="77777777" w:rsidR="00101140" w:rsidRDefault="00101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E2A5" w14:textId="77777777" w:rsidR="00F373EF" w:rsidRPr="00016BD1" w:rsidRDefault="002A6A4D" w:rsidP="002A6A4D">
    <w:pPr>
      <w:pStyle w:val="62Kopfzeile"/>
    </w:pPr>
    <w:r>
      <w:tab/>
      <w:t>Journal officiel fédéral (</w:t>
    </w:r>
    <w:proofErr w:type="spellStart"/>
    <w:r>
      <w:t>BGBl</w:t>
    </w:r>
    <w:proofErr w:type="spellEnd"/>
    <w:r>
      <w:t>.) II — Paru le 29 décembre 2021 — n° 597</w:t>
    </w:r>
    <w:r>
      <w:tab/>
    </w:r>
    <w:r w:rsidRPr="00016BD1">
      <w:fldChar w:fldCharType="begin"/>
    </w:r>
    <w:r w:rsidRPr="00016BD1">
      <w:instrText xml:space="preserve"> PAGE  \* Arabic  \* MERGEFORMAT </w:instrText>
    </w:r>
    <w:r w:rsidRPr="00016BD1">
      <w:fldChar w:fldCharType="separate"/>
    </w:r>
    <w:r w:rsidR="00137EC8">
      <w:t>1</w:t>
    </w:r>
    <w:r w:rsidRPr="00016BD1">
      <w:fldChar w:fldCharType="end"/>
    </w:r>
    <w:r>
      <w:t xml:space="preserve"> sur </w:t>
    </w:r>
    <w:fldSimple w:instr=" NUMPAGES  \* Arabic  \* MERGEFORMAT ">
      <w:r w:rsidR="00137EC8">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C682" w14:textId="77777777" w:rsidR="00F373EF" w:rsidRPr="00016BD1" w:rsidRDefault="002A6A4D" w:rsidP="002A6A4D">
    <w:pPr>
      <w:pStyle w:val="62Kopfzeile"/>
    </w:pPr>
    <w:r>
      <w:tab/>
      <w:t>Journal officiel fédéral (</w:t>
    </w:r>
    <w:proofErr w:type="spellStart"/>
    <w:r>
      <w:t>BGBl</w:t>
    </w:r>
    <w:proofErr w:type="spellEnd"/>
    <w:r>
      <w:t>.) II — Paru le 29 décembre 2021 — n° 597</w:t>
    </w:r>
    <w:r>
      <w:tab/>
    </w:r>
    <w:r w:rsidRPr="00016BD1">
      <w:fldChar w:fldCharType="begin"/>
    </w:r>
    <w:r w:rsidRPr="00016BD1">
      <w:instrText xml:space="preserve"> PAGE  \* Arabic  \* MERGEFORMAT </w:instrText>
    </w:r>
    <w:r w:rsidRPr="00016BD1">
      <w:fldChar w:fldCharType="separate"/>
    </w:r>
    <w:r w:rsidR="00376EB2">
      <w:t>2</w:t>
    </w:r>
    <w:r w:rsidRPr="00016BD1">
      <w:fldChar w:fldCharType="end"/>
    </w:r>
    <w:r>
      <w:t xml:space="preserve"> sur </w:t>
    </w:r>
    <w:fldSimple w:instr=" NUMPAGES  \* Arabic  \* MERGEFORMAT ">
      <w:r w:rsidR="00376EB2">
        <w:t>23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6BBA" w14:textId="77777777" w:rsidR="00F373EF" w:rsidRPr="00016BD1" w:rsidRDefault="002A6A4D" w:rsidP="002A6A4D">
    <w:pPr>
      <w:pStyle w:val="62Kopfzeile"/>
    </w:pPr>
    <w:r>
      <w:tab/>
    </w:r>
    <w:r>
      <w:tab/>
    </w:r>
    <w:r w:rsidRPr="00016BD1">
      <w:fldChar w:fldCharType="begin"/>
    </w:r>
    <w:r w:rsidRPr="00016BD1">
      <w:instrText xml:space="preserve"> PAGE  \* MERGEFORMAT </w:instrText>
    </w:r>
    <w:r w:rsidRPr="00016BD1">
      <w:fldChar w:fldCharType="separate"/>
    </w:r>
    <w:r w:rsidR="00376EB2">
      <w:t>1</w:t>
    </w:r>
    <w:r w:rsidRPr="00016BD1">
      <w:fldChar w:fldCharType="end"/>
    </w:r>
    <w:r>
      <w:t xml:space="preserve"> sur </w:t>
    </w:r>
    <w:fldSimple w:instr=" NUMPAGES  \* MERGEFORMAT ">
      <w:r w:rsidR="00376EB2">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B0F5E"/>
    <w:multiLevelType w:val="hybridMultilevel"/>
    <w:tmpl w:val="C658AED2"/>
    <w:lvl w:ilvl="0" w:tplc="1480E02E">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1" w15:restartNumberingAfterBreak="0">
    <w:nsid w:val="21D3659E"/>
    <w:multiLevelType w:val="hybridMultilevel"/>
    <w:tmpl w:val="C658AED2"/>
    <w:lvl w:ilvl="0" w:tplc="1480E02E">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num w:numId="1" w16cid:durableId="91054084">
    <w:abstractNumId w:val="9"/>
  </w:num>
  <w:num w:numId="2" w16cid:durableId="1554534959">
    <w:abstractNumId w:val="7"/>
  </w:num>
  <w:num w:numId="3" w16cid:durableId="1380589666">
    <w:abstractNumId w:val="6"/>
  </w:num>
  <w:num w:numId="4" w16cid:durableId="1306354562">
    <w:abstractNumId w:val="5"/>
  </w:num>
  <w:num w:numId="5" w16cid:durableId="1319576370">
    <w:abstractNumId w:val="4"/>
  </w:num>
  <w:num w:numId="6" w16cid:durableId="703870192">
    <w:abstractNumId w:val="8"/>
  </w:num>
  <w:num w:numId="7" w16cid:durableId="515928265">
    <w:abstractNumId w:val="3"/>
  </w:num>
  <w:num w:numId="8" w16cid:durableId="306937609">
    <w:abstractNumId w:val="2"/>
  </w:num>
  <w:num w:numId="9" w16cid:durableId="2006204769">
    <w:abstractNumId w:val="1"/>
  </w:num>
  <w:num w:numId="10" w16cid:durableId="63723745">
    <w:abstractNumId w:val="0"/>
  </w:num>
  <w:num w:numId="11" w16cid:durableId="574511872">
    <w:abstractNumId w:val="11"/>
  </w:num>
  <w:num w:numId="12" w16cid:durableId="316421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proofState w:spelling="clean" w:grammar="clean"/>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FA"/>
    <w:rsid w:val="0000064F"/>
    <w:rsid w:val="0000102A"/>
    <w:rsid w:val="00002706"/>
    <w:rsid w:val="00002772"/>
    <w:rsid w:val="000043E4"/>
    <w:rsid w:val="0001170E"/>
    <w:rsid w:val="00013271"/>
    <w:rsid w:val="00014FE4"/>
    <w:rsid w:val="00015B79"/>
    <w:rsid w:val="00016BD1"/>
    <w:rsid w:val="000224B7"/>
    <w:rsid w:val="00023059"/>
    <w:rsid w:val="00023C4E"/>
    <w:rsid w:val="00023D18"/>
    <w:rsid w:val="00024131"/>
    <w:rsid w:val="00025018"/>
    <w:rsid w:val="00025600"/>
    <w:rsid w:val="00026D08"/>
    <w:rsid w:val="00032374"/>
    <w:rsid w:val="00032688"/>
    <w:rsid w:val="00032CF2"/>
    <w:rsid w:val="00034E03"/>
    <w:rsid w:val="00036FBE"/>
    <w:rsid w:val="00042CB9"/>
    <w:rsid w:val="000456FE"/>
    <w:rsid w:val="00045928"/>
    <w:rsid w:val="000461AE"/>
    <w:rsid w:val="0004789B"/>
    <w:rsid w:val="00050D08"/>
    <w:rsid w:val="00052E4E"/>
    <w:rsid w:val="000537C3"/>
    <w:rsid w:val="00053BC2"/>
    <w:rsid w:val="00061C37"/>
    <w:rsid w:val="00065757"/>
    <w:rsid w:val="000669CF"/>
    <w:rsid w:val="00067196"/>
    <w:rsid w:val="00072D00"/>
    <w:rsid w:val="00074512"/>
    <w:rsid w:val="00074F25"/>
    <w:rsid w:val="000753B8"/>
    <w:rsid w:val="00080959"/>
    <w:rsid w:val="00081A47"/>
    <w:rsid w:val="00082B4B"/>
    <w:rsid w:val="0008384D"/>
    <w:rsid w:val="00083C84"/>
    <w:rsid w:val="00083D36"/>
    <w:rsid w:val="00083D50"/>
    <w:rsid w:val="00084D7A"/>
    <w:rsid w:val="0008602B"/>
    <w:rsid w:val="000928E7"/>
    <w:rsid w:val="000935D0"/>
    <w:rsid w:val="000937DF"/>
    <w:rsid w:val="00094E66"/>
    <w:rsid w:val="00097B81"/>
    <w:rsid w:val="00097CFB"/>
    <w:rsid w:val="000A3729"/>
    <w:rsid w:val="000A4616"/>
    <w:rsid w:val="000A4C7B"/>
    <w:rsid w:val="000A5DBA"/>
    <w:rsid w:val="000B13A6"/>
    <w:rsid w:val="000B235A"/>
    <w:rsid w:val="000B2BC5"/>
    <w:rsid w:val="000B3027"/>
    <w:rsid w:val="000B45AD"/>
    <w:rsid w:val="000B5630"/>
    <w:rsid w:val="000B5D89"/>
    <w:rsid w:val="000B74AB"/>
    <w:rsid w:val="000C2469"/>
    <w:rsid w:val="000C3AC2"/>
    <w:rsid w:val="000C690F"/>
    <w:rsid w:val="000D05A4"/>
    <w:rsid w:val="000D13FA"/>
    <w:rsid w:val="000D1EDC"/>
    <w:rsid w:val="000D55DC"/>
    <w:rsid w:val="000E0F92"/>
    <w:rsid w:val="000E6AFD"/>
    <w:rsid w:val="000E6D3C"/>
    <w:rsid w:val="000F27CB"/>
    <w:rsid w:val="000F33DF"/>
    <w:rsid w:val="000F3F15"/>
    <w:rsid w:val="000F45F3"/>
    <w:rsid w:val="000F6301"/>
    <w:rsid w:val="000F713B"/>
    <w:rsid w:val="00101140"/>
    <w:rsid w:val="00102220"/>
    <w:rsid w:val="001046AA"/>
    <w:rsid w:val="00111CD8"/>
    <w:rsid w:val="00112D21"/>
    <w:rsid w:val="0011496A"/>
    <w:rsid w:val="00115630"/>
    <w:rsid w:val="00116905"/>
    <w:rsid w:val="00116F03"/>
    <w:rsid w:val="0012195C"/>
    <w:rsid w:val="00121CCD"/>
    <w:rsid w:val="00124CE1"/>
    <w:rsid w:val="001313CA"/>
    <w:rsid w:val="001321DD"/>
    <w:rsid w:val="00134361"/>
    <w:rsid w:val="00134796"/>
    <w:rsid w:val="00134E1A"/>
    <w:rsid w:val="0013674C"/>
    <w:rsid w:val="001367D7"/>
    <w:rsid w:val="00137EC8"/>
    <w:rsid w:val="00141F2D"/>
    <w:rsid w:val="001437B0"/>
    <w:rsid w:val="001525F2"/>
    <w:rsid w:val="00154BB1"/>
    <w:rsid w:val="0015627E"/>
    <w:rsid w:val="0015743F"/>
    <w:rsid w:val="001616EF"/>
    <w:rsid w:val="00165D81"/>
    <w:rsid w:val="00166212"/>
    <w:rsid w:val="00172639"/>
    <w:rsid w:val="001743CC"/>
    <w:rsid w:val="00180F5D"/>
    <w:rsid w:val="00183208"/>
    <w:rsid w:val="001851A3"/>
    <w:rsid w:val="001860D8"/>
    <w:rsid w:val="00187DDE"/>
    <w:rsid w:val="00192057"/>
    <w:rsid w:val="001A24BB"/>
    <w:rsid w:val="001A314A"/>
    <w:rsid w:val="001A3DCC"/>
    <w:rsid w:val="001A6E53"/>
    <w:rsid w:val="001A7042"/>
    <w:rsid w:val="001B0F69"/>
    <w:rsid w:val="001B39A4"/>
    <w:rsid w:val="001B3CC9"/>
    <w:rsid w:val="001C1512"/>
    <w:rsid w:val="001C1F9B"/>
    <w:rsid w:val="001C2436"/>
    <w:rsid w:val="001C256A"/>
    <w:rsid w:val="001C3B9C"/>
    <w:rsid w:val="001C5DA1"/>
    <w:rsid w:val="001C76D2"/>
    <w:rsid w:val="001C7B01"/>
    <w:rsid w:val="001D4536"/>
    <w:rsid w:val="001D540A"/>
    <w:rsid w:val="001D74EA"/>
    <w:rsid w:val="001D794F"/>
    <w:rsid w:val="001E02B5"/>
    <w:rsid w:val="001E55CD"/>
    <w:rsid w:val="001F01A4"/>
    <w:rsid w:val="001F0CED"/>
    <w:rsid w:val="001F2D0C"/>
    <w:rsid w:val="001F5088"/>
    <w:rsid w:val="001F6873"/>
    <w:rsid w:val="00200FE1"/>
    <w:rsid w:val="0020235B"/>
    <w:rsid w:val="00202A78"/>
    <w:rsid w:val="0020490E"/>
    <w:rsid w:val="00204D96"/>
    <w:rsid w:val="00211B0F"/>
    <w:rsid w:val="00216158"/>
    <w:rsid w:val="0021753A"/>
    <w:rsid w:val="0021767F"/>
    <w:rsid w:val="00220824"/>
    <w:rsid w:val="00221468"/>
    <w:rsid w:val="00221E52"/>
    <w:rsid w:val="0022439C"/>
    <w:rsid w:val="00232131"/>
    <w:rsid w:val="00234185"/>
    <w:rsid w:val="0023498E"/>
    <w:rsid w:val="0024044A"/>
    <w:rsid w:val="002414A7"/>
    <w:rsid w:val="00241B0A"/>
    <w:rsid w:val="00244D15"/>
    <w:rsid w:val="00247577"/>
    <w:rsid w:val="00250AA9"/>
    <w:rsid w:val="00251326"/>
    <w:rsid w:val="00251E14"/>
    <w:rsid w:val="00252338"/>
    <w:rsid w:val="002574DA"/>
    <w:rsid w:val="002603FA"/>
    <w:rsid w:val="00261DE2"/>
    <w:rsid w:val="00263DF3"/>
    <w:rsid w:val="0026461E"/>
    <w:rsid w:val="002717A4"/>
    <w:rsid w:val="0027186E"/>
    <w:rsid w:val="0027280F"/>
    <w:rsid w:val="0027281A"/>
    <w:rsid w:val="00274DE0"/>
    <w:rsid w:val="00276387"/>
    <w:rsid w:val="00280DEA"/>
    <w:rsid w:val="002827CC"/>
    <w:rsid w:val="00284AED"/>
    <w:rsid w:val="00284D72"/>
    <w:rsid w:val="00294F7E"/>
    <w:rsid w:val="00296380"/>
    <w:rsid w:val="00296672"/>
    <w:rsid w:val="00297AB1"/>
    <w:rsid w:val="002A05FB"/>
    <w:rsid w:val="002A2B8B"/>
    <w:rsid w:val="002A2FF8"/>
    <w:rsid w:val="002A318C"/>
    <w:rsid w:val="002A5787"/>
    <w:rsid w:val="002A5DC1"/>
    <w:rsid w:val="002A5F3D"/>
    <w:rsid w:val="002A6A4D"/>
    <w:rsid w:val="002B0F40"/>
    <w:rsid w:val="002B373F"/>
    <w:rsid w:val="002B4C05"/>
    <w:rsid w:val="002B6B35"/>
    <w:rsid w:val="002B7ECC"/>
    <w:rsid w:val="002C152D"/>
    <w:rsid w:val="002C590A"/>
    <w:rsid w:val="002C6158"/>
    <w:rsid w:val="002C6EB5"/>
    <w:rsid w:val="002D0FD3"/>
    <w:rsid w:val="002D1173"/>
    <w:rsid w:val="002D206F"/>
    <w:rsid w:val="002D2A0F"/>
    <w:rsid w:val="002D7782"/>
    <w:rsid w:val="002E277E"/>
    <w:rsid w:val="002E2B0F"/>
    <w:rsid w:val="002E2DBF"/>
    <w:rsid w:val="002E3471"/>
    <w:rsid w:val="002E3D12"/>
    <w:rsid w:val="002E7AE9"/>
    <w:rsid w:val="002F2083"/>
    <w:rsid w:val="002F2DA8"/>
    <w:rsid w:val="002F3EB5"/>
    <w:rsid w:val="002F5AA4"/>
    <w:rsid w:val="0030062A"/>
    <w:rsid w:val="00301675"/>
    <w:rsid w:val="003057FB"/>
    <w:rsid w:val="00313C50"/>
    <w:rsid w:val="00316C32"/>
    <w:rsid w:val="003205CA"/>
    <w:rsid w:val="003235E3"/>
    <w:rsid w:val="00323D41"/>
    <w:rsid w:val="003249FD"/>
    <w:rsid w:val="00324EB2"/>
    <w:rsid w:val="00325943"/>
    <w:rsid w:val="003259DB"/>
    <w:rsid w:val="00326CD2"/>
    <w:rsid w:val="00331386"/>
    <w:rsid w:val="00332325"/>
    <w:rsid w:val="00340FAB"/>
    <w:rsid w:val="0034239F"/>
    <w:rsid w:val="00346E63"/>
    <w:rsid w:val="003473A0"/>
    <w:rsid w:val="00354D0F"/>
    <w:rsid w:val="00355B35"/>
    <w:rsid w:val="00357EFF"/>
    <w:rsid w:val="00360B30"/>
    <w:rsid w:val="003614D5"/>
    <w:rsid w:val="003639D0"/>
    <w:rsid w:val="00366829"/>
    <w:rsid w:val="00367BB2"/>
    <w:rsid w:val="003713E8"/>
    <w:rsid w:val="00376A85"/>
    <w:rsid w:val="00376EB2"/>
    <w:rsid w:val="003806E2"/>
    <w:rsid w:val="0038112D"/>
    <w:rsid w:val="0038185E"/>
    <w:rsid w:val="00381F51"/>
    <w:rsid w:val="0038448A"/>
    <w:rsid w:val="0038591A"/>
    <w:rsid w:val="0038688F"/>
    <w:rsid w:val="00391644"/>
    <w:rsid w:val="003917AE"/>
    <w:rsid w:val="00392544"/>
    <w:rsid w:val="00392AF6"/>
    <w:rsid w:val="00392C14"/>
    <w:rsid w:val="00393B0A"/>
    <w:rsid w:val="003964FF"/>
    <w:rsid w:val="003A006E"/>
    <w:rsid w:val="003A0E94"/>
    <w:rsid w:val="003A12E7"/>
    <w:rsid w:val="003A38DB"/>
    <w:rsid w:val="003A52B4"/>
    <w:rsid w:val="003A60D9"/>
    <w:rsid w:val="003B191C"/>
    <w:rsid w:val="003B4D47"/>
    <w:rsid w:val="003B5B59"/>
    <w:rsid w:val="003B6127"/>
    <w:rsid w:val="003B616B"/>
    <w:rsid w:val="003B75E2"/>
    <w:rsid w:val="003C407D"/>
    <w:rsid w:val="003C5954"/>
    <w:rsid w:val="003D005C"/>
    <w:rsid w:val="003D0671"/>
    <w:rsid w:val="003D0852"/>
    <w:rsid w:val="003D1813"/>
    <w:rsid w:val="003D23CB"/>
    <w:rsid w:val="003D355C"/>
    <w:rsid w:val="003D60BF"/>
    <w:rsid w:val="003D6781"/>
    <w:rsid w:val="003D7BB8"/>
    <w:rsid w:val="003E56F9"/>
    <w:rsid w:val="003E5A64"/>
    <w:rsid w:val="003E6E72"/>
    <w:rsid w:val="003F4F32"/>
    <w:rsid w:val="0040111C"/>
    <w:rsid w:val="0040328D"/>
    <w:rsid w:val="0041396E"/>
    <w:rsid w:val="0041680F"/>
    <w:rsid w:val="00417295"/>
    <w:rsid w:val="00417DB6"/>
    <w:rsid w:val="00420C13"/>
    <w:rsid w:val="00421100"/>
    <w:rsid w:val="00421146"/>
    <w:rsid w:val="00421317"/>
    <w:rsid w:val="00421704"/>
    <w:rsid w:val="00421E8D"/>
    <w:rsid w:val="00422C18"/>
    <w:rsid w:val="0042337B"/>
    <w:rsid w:val="0042566F"/>
    <w:rsid w:val="00431F9D"/>
    <w:rsid w:val="004322B9"/>
    <w:rsid w:val="00433B75"/>
    <w:rsid w:val="00434044"/>
    <w:rsid w:val="00434CDF"/>
    <w:rsid w:val="004358EB"/>
    <w:rsid w:val="0043692F"/>
    <w:rsid w:val="004369CC"/>
    <w:rsid w:val="004404D5"/>
    <w:rsid w:val="00440DC1"/>
    <w:rsid w:val="00441785"/>
    <w:rsid w:val="00446008"/>
    <w:rsid w:val="00447E45"/>
    <w:rsid w:val="004515C2"/>
    <w:rsid w:val="0045182D"/>
    <w:rsid w:val="00451ADD"/>
    <w:rsid w:val="0046165C"/>
    <w:rsid w:val="00462259"/>
    <w:rsid w:val="0046479F"/>
    <w:rsid w:val="00464B4D"/>
    <w:rsid w:val="00464CCC"/>
    <w:rsid w:val="004703C0"/>
    <w:rsid w:val="00474756"/>
    <w:rsid w:val="00475B15"/>
    <w:rsid w:val="00476647"/>
    <w:rsid w:val="00476723"/>
    <w:rsid w:val="00480040"/>
    <w:rsid w:val="0048359C"/>
    <w:rsid w:val="00483E16"/>
    <w:rsid w:val="0048416F"/>
    <w:rsid w:val="00484637"/>
    <w:rsid w:val="004912B4"/>
    <w:rsid w:val="004916A6"/>
    <w:rsid w:val="00492DEA"/>
    <w:rsid w:val="00495248"/>
    <w:rsid w:val="00497D1C"/>
    <w:rsid w:val="004A1837"/>
    <w:rsid w:val="004A2FE2"/>
    <w:rsid w:val="004A5E3A"/>
    <w:rsid w:val="004B0B84"/>
    <w:rsid w:val="004B288C"/>
    <w:rsid w:val="004B4E85"/>
    <w:rsid w:val="004B6B10"/>
    <w:rsid w:val="004B70CB"/>
    <w:rsid w:val="004B7420"/>
    <w:rsid w:val="004C06EF"/>
    <w:rsid w:val="004C21F1"/>
    <w:rsid w:val="004C326A"/>
    <w:rsid w:val="004C7BEC"/>
    <w:rsid w:val="004D2232"/>
    <w:rsid w:val="004D39D3"/>
    <w:rsid w:val="004D573B"/>
    <w:rsid w:val="004E2264"/>
    <w:rsid w:val="004E3513"/>
    <w:rsid w:val="004E5970"/>
    <w:rsid w:val="004E76B1"/>
    <w:rsid w:val="004E7EE1"/>
    <w:rsid w:val="004F69AF"/>
    <w:rsid w:val="004F766B"/>
    <w:rsid w:val="005042F7"/>
    <w:rsid w:val="0050445C"/>
    <w:rsid w:val="00511305"/>
    <w:rsid w:val="00511701"/>
    <w:rsid w:val="005145C1"/>
    <w:rsid w:val="00514F06"/>
    <w:rsid w:val="005150AF"/>
    <w:rsid w:val="00516384"/>
    <w:rsid w:val="005174F8"/>
    <w:rsid w:val="00517CE4"/>
    <w:rsid w:val="00523B84"/>
    <w:rsid w:val="00526120"/>
    <w:rsid w:val="005304F3"/>
    <w:rsid w:val="00530FFD"/>
    <w:rsid w:val="005336FA"/>
    <w:rsid w:val="00534BB3"/>
    <w:rsid w:val="0053582A"/>
    <w:rsid w:val="00536268"/>
    <w:rsid w:val="005407A8"/>
    <w:rsid w:val="00542375"/>
    <w:rsid w:val="005423EF"/>
    <w:rsid w:val="00542A42"/>
    <w:rsid w:val="005431C9"/>
    <w:rsid w:val="00543A9A"/>
    <w:rsid w:val="005449E8"/>
    <w:rsid w:val="00553906"/>
    <w:rsid w:val="00556ED9"/>
    <w:rsid w:val="005627DD"/>
    <w:rsid w:val="005628E1"/>
    <w:rsid w:val="00562E11"/>
    <w:rsid w:val="00563346"/>
    <w:rsid w:val="005679D2"/>
    <w:rsid w:val="00572605"/>
    <w:rsid w:val="005731F3"/>
    <w:rsid w:val="0058381D"/>
    <w:rsid w:val="00584EA7"/>
    <w:rsid w:val="0058646B"/>
    <w:rsid w:val="005909AE"/>
    <w:rsid w:val="0059114A"/>
    <w:rsid w:val="0059248C"/>
    <w:rsid w:val="00592D52"/>
    <w:rsid w:val="005935CD"/>
    <w:rsid w:val="00594B5D"/>
    <w:rsid w:val="00595464"/>
    <w:rsid w:val="005964C4"/>
    <w:rsid w:val="00597DD4"/>
    <w:rsid w:val="005A0CBB"/>
    <w:rsid w:val="005A3842"/>
    <w:rsid w:val="005A559E"/>
    <w:rsid w:val="005B0DE1"/>
    <w:rsid w:val="005B3C89"/>
    <w:rsid w:val="005B5A0C"/>
    <w:rsid w:val="005B6E63"/>
    <w:rsid w:val="005C1D3F"/>
    <w:rsid w:val="005C25DC"/>
    <w:rsid w:val="005C524B"/>
    <w:rsid w:val="005C5CD5"/>
    <w:rsid w:val="005C7384"/>
    <w:rsid w:val="005D12F5"/>
    <w:rsid w:val="005D6876"/>
    <w:rsid w:val="005D6A33"/>
    <w:rsid w:val="005D6D1B"/>
    <w:rsid w:val="005E16E3"/>
    <w:rsid w:val="005E27FC"/>
    <w:rsid w:val="005E401C"/>
    <w:rsid w:val="005E4D47"/>
    <w:rsid w:val="005E4F0B"/>
    <w:rsid w:val="005E65AE"/>
    <w:rsid w:val="005E7684"/>
    <w:rsid w:val="005E78A6"/>
    <w:rsid w:val="005F0A6E"/>
    <w:rsid w:val="005F504A"/>
    <w:rsid w:val="005F56DC"/>
    <w:rsid w:val="005F5F30"/>
    <w:rsid w:val="005F7602"/>
    <w:rsid w:val="00601E46"/>
    <w:rsid w:val="00607842"/>
    <w:rsid w:val="00607B6F"/>
    <w:rsid w:val="006103FB"/>
    <w:rsid w:val="006115CF"/>
    <w:rsid w:val="00611BCC"/>
    <w:rsid w:val="0061516D"/>
    <w:rsid w:val="006166D9"/>
    <w:rsid w:val="00622645"/>
    <w:rsid w:val="006227F4"/>
    <w:rsid w:val="00622B42"/>
    <w:rsid w:val="00623873"/>
    <w:rsid w:val="00624461"/>
    <w:rsid w:val="00627D49"/>
    <w:rsid w:val="0063049A"/>
    <w:rsid w:val="00634B7A"/>
    <w:rsid w:val="0063593A"/>
    <w:rsid w:val="006377B0"/>
    <w:rsid w:val="006403DD"/>
    <w:rsid w:val="006413E3"/>
    <w:rsid w:val="00642ED8"/>
    <w:rsid w:val="00643130"/>
    <w:rsid w:val="00645B50"/>
    <w:rsid w:val="00645DD4"/>
    <w:rsid w:val="00646F8F"/>
    <w:rsid w:val="006501B0"/>
    <w:rsid w:val="00652FDE"/>
    <w:rsid w:val="006569FF"/>
    <w:rsid w:val="00664D15"/>
    <w:rsid w:val="0066747A"/>
    <w:rsid w:val="00667B37"/>
    <w:rsid w:val="00667CEA"/>
    <w:rsid w:val="0067009B"/>
    <w:rsid w:val="00674F62"/>
    <w:rsid w:val="0068121A"/>
    <w:rsid w:val="00686070"/>
    <w:rsid w:val="006879C2"/>
    <w:rsid w:val="00691073"/>
    <w:rsid w:val="006911DD"/>
    <w:rsid w:val="00691C68"/>
    <w:rsid w:val="0069747C"/>
    <w:rsid w:val="006A102C"/>
    <w:rsid w:val="006A225E"/>
    <w:rsid w:val="006A6818"/>
    <w:rsid w:val="006A7346"/>
    <w:rsid w:val="006A788A"/>
    <w:rsid w:val="006B2186"/>
    <w:rsid w:val="006B3B48"/>
    <w:rsid w:val="006B3C22"/>
    <w:rsid w:val="006B42CE"/>
    <w:rsid w:val="006B71F0"/>
    <w:rsid w:val="006C12DD"/>
    <w:rsid w:val="006C2CBF"/>
    <w:rsid w:val="006C3AD6"/>
    <w:rsid w:val="006C5635"/>
    <w:rsid w:val="006C57B6"/>
    <w:rsid w:val="006C6347"/>
    <w:rsid w:val="006D11F5"/>
    <w:rsid w:val="006D15F9"/>
    <w:rsid w:val="006D6C90"/>
    <w:rsid w:val="006D76FF"/>
    <w:rsid w:val="006E010B"/>
    <w:rsid w:val="006E1AB9"/>
    <w:rsid w:val="006E27C9"/>
    <w:rsid w:val="006E4BC6"/>
    <w:rsid w:val="006E55DB"/>
    <w:rsid w:val="006F113B"/>
    <w:rsid w:val="006F3897"/>
    <w:rsid w:val="006F3E32"/>
    <w:rsid w:val="006F522F"/>
    <w:rsid w:val="006F54D5"/>
    <w:rsid w:val="006F56BB"/>
    <w:rsid w:val="006F7261"/>
    <w:rsid w:val="006F7ECF"/>
    <w:rsid w:val="00700E75"/>
    <w:rsid w:val="0070106F"/>
    <w:rsid w:val="007023B1"/>
    <w:rsid w:val="00702CBE"/>
    <w:rsid w:val="007030F3"/>
    <w:rsid w:val="00703B26"/>
    <w:rsid w:val="00705C54"/>
    <w:rsid w:val="00706E27"/>
    <w:rsid w:val="00710265"/>
    <w:rsid w:val="007109D4"/>
    <w:rsid w:val="007145F8"/>
    <w:rsid w:val="00716ABD"/>
    <w:rsid w:val="00720697"/>
    <w:rsid w:val="00721E42"/>
    <w:rsid w:val="00722954"/>
    <w:rsid w:val="007232D5"/>
    <w:rsid w:val="007241D8"/>
    <w:rsid w:val="0072494C"/>
    <w:rsid w:val="00724C6E"/>
    <w:rsid w:val="00725C2D"/>
    <w:rsid w:val="00726033"/>
    <w:rsid w:val="00727395"/>
    <w:rsid w:val="007415F3"/>
    <w:rsid w:val="0074273C"/>
    <w:rsid w:val="00742B95"/>
    <w:rsid w:val="0074305F"/>
    <w:rsid w:val="007436E5"/>
    <w:rsid w:val="00746A74"/>
    <w:rsid w:val="00747839"/>
    <w:rsid w:val="00747D1E"/>
    <w:rsid w:val="00747D5F"/>
    <w:rsid w:val="00753C99"/>
    <w:rsid w:val="0075476A"/>
    <w:rsid w:val="00756CE3"/>
    <w:rsid w:val="00756E7A"/>
    <w:rsid w:val="00757936"/>
    <w:rsid w:val="0076026E"/>
    <w:rsid w:val="007611E1"/>
    <w:rsid w:val="00761561"/>
    <w:rsid w:val="00761B0F"/>
    <w:rsid w:val="007643B6"/>
    <w:rsid w:val="007658EC"/>
    <w:rsid w:val="0076625A"/>
    <w:rsid w:val="00767F15"/>
    <w:rsid w:val="00770C2F"/>
    <w:rsid w:val="00771995"/>
    <w:rsid w:val="0077403B"/>
    <w:rsid w:val="00774501"/>
    <w:rsid w:val="00777B7E"/>
    <w:rsid w:val="007802FF"/>
    <w:rsid w:val="007816CF"/>
    <w:rsid w:val="00781CC4"/>
    <w:rsid w:val="00784013"/>
    <w:rsid w:val="00792823"/>
    <w:rsid w:val="0079422A"/>
    <w:rsid w:val="007A00EC"/>
    <w:rsid w:val="007A0C86"/>
    <w:rsid w:val="007A1691"/>
    <w:rsid w:val="007A4DBA"/>
    <w:rsid w:val="007A66C0"/>
    <w:rsid w:val="007A695B"/>
    <w:rsid w:val="007A7FD9"/>
    <w:rsid w:val="007B41B8"/>
    <w:rsid w:val="007B474F"/>
    <w:rsid w:val="007B5A3F"/>
    <w:rsid w:val="007C0318"/>
    <w:rsid w:val="007C041C"/>
    <w:rsid w:val="007E053A"/>
    <w:rsid w:val="007E2411"/>
    <w:rsid w:val="007E4E00"/>
    <w:rsid w:val="007E6544"/>
    <w:rsid w:val="007F2A40"/>
    <w:rsid w:val="007F5814"/>
    <w:rsid w:val="008041DB"/>
    <w:rsid w:val="00805FB9"/>
    <w:rsid w:val="00806295"/>
    <w:rsid w:val="00806B2D"/>
    <w:rsid w:val="00806E34"/>
    <w:rsid w:val="00812668"/>
    <w:rsid w:val="0081340D"/>
    <w:rsid w:val="008143E3"/>
    <w:rsid w:val="0081715D"/>
    <w:rsid w:val="00820A94"/>
    <w:rsid w:val="00827C1E"/>
    <w:rsid w:val="0083073C"/>
    <w:rsid w:val="00832F7F"/>
    <w:rsid w:val="00833B17"/>
    <w:rsid w:val="00836174"/>
    <w:rsid w:val="0083744D"/>
    <w:rsid w:val="008376B7"/>
    <w:rsid w:val="00837C9E"/>
    <w:rsid w:val="008401B2"/>
    <w:rsid w:val="00841429"/>
    <w:rsid w:val="00841743"/>
    <w:rsid w:val="00845110"/>
    <w:rsid w:val="00845801"/>
    <w:rsid w:val="00846B59"/>
    <w:rsid w:val="00851420"/>
    <w:rsid w:val="0085244F"/>
    <w:rsid w:val="008535C3"/>
    <w:rsid w:val="00853EFA"/>
    <w:rsid w:val="00856F48"/>
    <w:rsid w:val="008570F6"/>
    <w:rsid w:val="0085728E"/>
    <w:rsid w:val="00860A02"/>
    <w:rsid w:val="00860EC9"/>
    <w:rsid w:val="0086449E"/>
    <w:rsid w:val="0086548D"/>
    <w:rsid w:val="00865BF0"/>
    <w:rsid w:val="00867BB8"/>
    <w:rsid w:val="00867FEC"/>
    <w:rsid w:val="008721B2"/>
    <w:rsid w:val="00873B75"/>
    <w:rsid w:val="00875207"/>
    <w:rsid w:val="00876572"/>
    <w:rsid w:val="0088200A"/>
    <w:rsid w:val="00882F47"/>
    <w:rsid w:val="00883129"/>
    <w:rsid w:val="00883E7D"/>
    <w:rsid w:val="008849F2"/>
    <w:rsid w:val="00886234"/>
    <w:rsid w:val="008873D5"/>
    <w:rsid w:val="0089071E"/>
    <w:rsid w:val="00890F6C"/>
    <w:rsid w:val="00893769"/>
    <w:rsid w:val="008954F8"/>
    <w:rsid w:val="00896E7E"/>
    <w:rsid w:val="00897126"/>
    <w:rsid w:val="008A207E"/>
    <w:rsid w:val="008A2AC1"/>
    <w:rsid w:val="008A2C29"/>
    <w:rsid w:val="008A2F6A"/>
    <w:rsid w:val="008A57FA"/>
    <w:rsid w:val="008A6C4B"/>
    <w:rsid w:val="008B0C4B"/>
    <w:rsid w:val="008B3407"/>
    <w:rsid w:val="008B44AA"/>
    <w:rsid w:val="008B708B"/>
    <w:rsid w:val="008B797C"/>
    <w:rsid w:val="008B7A43"/>
    <w:rsid w:val="008C0C2E"/>
    <w:rsid w:val="008C2234"/>
    <w:rsid w:val="008C60E2"/>
    <w:rsid w:val="008C6131"/>
    <w:rsid w:val="008C7BD2"/>
    <w:rsid w:val="008D081E"/>
    <w:rsid w:val="008D0D47"/>
    <w:rsid w:val="008D2B6A"/>
    <w:rsid w:val="008D3735"/>
    <w:rsid w:val="008D3B05"/>
    <w:rsid w:val="008D42A3"/>
    <w:rsid w:val="008D4EC7"/>
    <w:rsid w:val="008D66DA"/>
    <w:rsid w:val="008D6890"/>
    <w:rsid w:val="008E0659"/>
    <w:rsid w:val="008E0D4A"/>
    <w:rsid w:val="008E2FF2"/>
    <w:rsid w:val="008E42CF"/>
    <w:rsid w:val="008E6CE7"/>
    <w:rsid w:val="008F15E7"/>
    <w:rsid w:val="0090422D"/>
    <w:rsid w:val="00911465"/>
    <w:rsid w:val="0091642B"/>
    <w:rsid w:val="00917946"/>
    <w:rsid w:val="009202CB"/>
    <w:rsid w:val="00920E40"/>
    <w:rsid w:val="00924BF6"/>
    <w:rsid w:val="00926BE4"/>
    <w:rsid w:val="00930C8E"/>
    <w:rsid w:val="00935A69"/>
    <w:rsid w:val="00935B95"/>
    <w:rsid w:val="00936811"/>
    <w:rsid w:val="00936AFD"/>
    <w:rsid w:val="00941AD1"/>
    <w:rsid w:val="00942E17"/>
    <w:rsid w:val="009454FA"/>
    <w:rsid w:val="0095155D"/>
    <w:rsid w:val="009515F7"/>
    <w:rsid w:val="00952563"/>
    <w:rsid w:val="00953875"/>
    <w:rsid w:val="00954D63"/>
    <w:rsid w:val="009550AC"/>
    <w:rsid w:val="00955E2A"/>
    <w:rsid w:val="00960598"/>
    <w:rsid w:val="00961B28"/>
    <w:rsid w:val="00962E14"/>
    <w:rsid w:val="009648A7"/>
    <w:rsid w:val="0096521F"/>
    <w:rsid w:val="00965E16"/>
    <w:rsid w:val="009702AC"/>
    <w:rsid w:val="009711EB"/>
    <w:rsid w:val="009720D1"/>
    <w:rsid w:val="00972D8C"/>
    <w:rsid w:val="009732F2"/>
    <w:rsid w:val="0097394E"/>
    <w:rsid w:val="00974536"/>
    <w:rsid w:val="00975174"/>
    <w:rsid w:val="009763E6"/>
    <w:rsid w:val="00976BAF"/>
    <w:rsid w:val="0098177A"/>
    <w:rsid w:val="00981B46"/>
    <w:rsid w:val="00983AAC"/>
    <w:rsid w:val="00984F63"/>
    <w:rsid w:val="00985F44"/>
    <w:rsid w:val="0099304A"/>
    <w:rsid w:val="00994086"/>
    <w:rsid w:val="0099489A"/>
    <w:rsid w:val="00997834"/>
    <w:rsid w:val="009A4007"/>
    <w:rsid w:val="009A5A65"/>
    <w:rsid w:val="009A61D4"/>
    <w:rsid w:val="009A6B84"/>
    <w:rsid w:val="009B0E02"/>
    <w:rsid w:val="009B18D6"/>
    <w:rsid w:val="009B3D0F"/>
    <w:rsid w:val="009B48BF"/>
    <w:rsid w:val="009B7234"/>
    <w:rsid w:val="009C0821"/>
    <w:rsid w:val="009C2EB4"/>
    <w:rsid w:val="009C3E6F"/>
    <w:rsid w:val="009C6138"/>
    <w:rsid w:val="009C61B4"/>
    <w:rsid w:val="009D0F51"/>
    <w:rsid w:val="009D4FC8"/>
    <w:rsid w:val="009D6B02"/>
    <w:rsid w:val="009E0D77"/>
    <w:rsid w:val="009E163F"/>
    <w:rsid w:val="009E22ED"/>
    <w:rsid w:val="009E37DB"/>
    <w:rsid w:val="009E3DE1"/>
    <w:rsid w:val="009E7F4B"/>
    <w:rsid w:val="009F2075"/>
    <w:rsid w:val="009F2B3E"/>
    <w:rsid w:val="009F2C57"/>
    <w:rsid w:val="00A0108B"/>
    <w:rsid w:val="00A03B26"/>
    <w:rsid w:val="00A03EC6"/>
    <w:rsid w:val="00A06118"/>
    <w:rsid w:val="00A10F16"/>
    <w:rsid w:val="00A12C1C"/>
    <w:rsid w:val="00A1326C"/>
    <w:rsid w:val="00A134C0"/>
    <w:rsid w:val="00A138ED"/>
    <w:rsid w:val="00A15799"/>
    <w:rsid w:val="00A20465"/>
    <w:rsid w:val="00A23E74"/>
    <w:rsid w:val="00A26BBB"/>
    <w:rsid w:val="00A26EB8"/>
    <w:rsid w:val="00A308DA"/>
    <w:rsid w:val="00A31DEB"/>
    <w:rsid w:val="00A34898"/>
    <w:rsid w:val="00A34E7A"/>
    <w:rsid w:val="00A35BCD"/>
    <w:rsid w:val="00A3608B"/>
    <w:rsid w:val="00A37F54"/>
    <w:rsid w:val="00A40887"/>
    <w:rsid w:val="00A421E0"/>
    <w:rsid w:val="00A434AD"/>
    <w:rsid w:val="00A445B6"/>
    <w:rsid w:val="00A44CE7"/>
    <w:rsid w:val="00A51918"/>
    <w:rsid w:val="00A5353B"/>
    <w:rsid w:val="00A54061"/>
    <w:rsid w:val="00A562F9"/>
    <w:rsid w:val="00A56D15"/>
    <w:rsid w:val="00A57F7F"/>
    <w:rsid w:val="00A62259"/>
    <w:rsid w:val="00A65A2E"/>
    <w:rsid w:val="00A6617C"/>
    <w:rsid w:val="00A664B2"/>
    <w:rsid w:val="00A668B9"/>
    <w:rsid w:val="00A67F4E"/>
    <w:rsid w:val="00A70848"/>
    <w:rsid w:val="00A71017"/>
    <w:rsid w:val="00A71B97"/>
    <w:rsid w:val="00A72DCF"/>
    <w:rsid w:val="00A74D9D"/>
    <w:rsid w:val="00A7682A"/>
    <w:rsid w:val="00A8152F"/>
    <w:rsid w:val="00A82058"/>
    <w:rsid w:val="00A82727"/>
    <w:rsid w:val="00A8273C"/>
    <w:rsid w:val="00A83AA4"/>
    <w:rsid w:val="00A87657"/>
    <w:rsid w:val="00A92852"/>
    <w:rsid w:val="00A9409F"/>
    <w:rsid w:val="00A95C0D"/>
    <w:rsid w:val="00A9720F"/>
    <w:rsid w:val="00AA31DC"/>
    <w:rsid w:val="00AA5E95"/>
    <w:rsid w:val="00AB1F5C"/>
    <w:rsid w:val="00AB4D58"/>
    <w:rsid w:val="00AB70D0"/>
    <w:rsid w:val="00AC25A5"/>
    <w:rsid w:val="00AC34DD"/>
    <w:rsid w:val="00AC396E"/>
    <w:rsid w:val="00AC5055"/>
    <w:rsid w:val="00AD1FB0"/>
    <w:rsid w:val="00AD2CC0"/>
    <w:rsid w:val="00AD5401"/>
    <w:rsid w:val="00AD7F76"/>
    <w:rsid w:val="00AD7FFE"/>
    <w:rsid w:val="00AE0616"/>
    <w:rsid w:val="00AE74C2"/>
    <w:rsid w:val="00AF5A20"/>
    <w:rsid w:val="00AF75A0"/>
    <w:rsid w:val="00B02E45"/>
    <w:rsid w:val="00B038AC"/>
    <w:rsid w:val="00B04BC6"/>
    <w:rsid w:val="00B05A25"/>
    <w:rsid w:val="00B11683"/>
    <w:rsid w:val="00B13764"/>
    <w:rsid w:val="00B14E55"/>
    <w:rsid w:val="00B16230"/>
    <w:rsid w:val="00B16993"/>
    <w:rsid w:val="00B17A31"/>
    <w:rsid w:val="00B267DD"/>
    <w:rsid w:val="00B27568"/>
    <w:rsid w:val="00B30E63"/>
    <w:rsid w:val="00B313D9"/>
    <w:rsid w:val="00B333BC"/>
    <w:rsid w:val="00B33A1C"/>
    <w:rsid w:val="00B33D6A"/>
    <w:rsid w:val="00B348FD"/>
    <w:rsid w:val="00B35A6D"/>
    <w:rsid w:val="00B402A2"/>
    <w:rsid w:val="00B4344F"/>
    <w:rsid w:val="00B451AE"/>
    <w:rsid w:val="00B4628B"/>
    <w:rsid w:val="00B46C3F"/>
    <w:rsid w:val="00B5136D"/>
    <w:rsid w:val="00B53F46"/>
    <w:rsid w:val="00B5523E"/>
    <w:rsid w:val="00B5752A"/>
    <w:rsid w:val="00B57AB5"/>
    <w:rsid w:val="00B57CC6"/>
    <w:rsid w:val="00B60D2B"/>
    <w:rsid w:val="00B61298"/>
    <w:rsid w:val="00B62F32"/>
    <w:rsid w:val="00B62F89"/>
    <w:rsid w:val="00B63607"/>
    <w:rsid w:val="00B65D8C"/>
    <w:rsid w:val="00B65E39"/>
    <w:rsid w:val="00B67F98"/>
    <w:rsid w:val="00B71059"/>
    <w:rsid w:val="00B71466"/>
    <w:rsid w:val="00B7269B"/>
    <w:rsid w:val="00B73495"/>
    <w:rsid w:val="00B73EB7"/>
    <w:rsid w:val="00B748CA"/>
    <w:rsid w:val="00B75EE4"/>
    <w:rsid w:val="00B761E9"/>
    <w:rsid w:val="00B76A08"/>
    <w:rsid w:val="00B7753C"/>
    <w:rsid w:val="00B811B9"/>
    <w:rsid w:val="00B82F88"/>
    <w:rsid w:val="00B846B1"/>
    <w:rsid w:val="00B86181"/>
    <w:rsid w:val="00B90EF1"/>
    <w:rsid w:val="00B93994"/>
    <w:rsid w:val="00B965B5"/>
    <w:rsid w:val="00B970F3"/>
    <w:rsid w:val="00BA12D3"/>
    <w:rsid w:val="00BA2ACC"/>
    <w:rsid w:val="00BB1097"/>
    <w:rsid w:val="00BB276C"/>
    <w:rsid w:val="00BB401D"/>
    <w:rsid w:val="00BB5272"/>
    <w:rsid w:val="00BC05FB"/>
    <w:rsid w:val="00BC1B2E"/>
    <w:rsid w:val="00BC359A"/>
    <w:rsid w:val="00BC60B2"/>
    <w:rsid w:val="00BC693B"/>
    <w:rsid w:val="00BC6C17"/>
    <w:rsid w:val="00BC78F1"/>
    <w:rsid w:val="00BD1469"/>
    <w:rsid w:val="00BD34DF"/>
    <w:rsid w:val="00BD40B1"/>
    <w:rsid w:val="00BD461B"/>
    <w:rsid w:val="00BD4E31"/>
    <w:rsid w:val="00BD50A2"/>
    <w:rsid w:val="00BD6016"/>
    <w:rsid w:val="00BD6D89"/>
    <w:rsid w:val="00BD7A7F"/>
    <w:rsid w:val="00BE1887"/>
    <w:rsid w:val="00BE4CD2"/>
    <w:rsid w:val="00BE78DA"/>
    <w:rsid w:val="00BF2455"/>
    <w:rsid w:val="00C04628"/>
    <w:rsid w:val="00C07354"/>
    <w:rsid w:val="00C07EA6"/>
    <w:rsid w:val="00C124E3"/>
    <w:rsid w:val="00C13E86"/>
    <w:rsid w:val="00C15F12"/>
    <w:rsid w:val="00C160DA"/>
    <w:rsid w:val="00C164D8"/>
    <w:rsid w:val="00C173FE"/>
    <w:rsid w:val="00C17D21"/>
    <w:rsid w:val="00C22C7B"/>
    <w:rsid w:val="00C236D4"/>
    <w:rsid w:val="00C257C6"/>
    <w:rsid w:val="00C26E5B"/>
    <w:rsid w:val="00C271BD"/>
    <w:rsid w:val="00C27B22"/>
    <w:rsid w:val="00C30421"/>
    <w:rsid w:val="00C32365"/>
    <w:rsid w:val="00C324D8"/>
    <w:rsid w:val="00C3258C"/>
    <w:rsid w:val="00C329E9"/>
    <w:rsid w:val="00C337FD"/>
    <w:rsid w:val="00C34796"/>
    <w:rsid w:val="00C35208"/>
    <w:rsid w:val="00C361D9"/>
    <w:rsid w:val="00C41A26"/>
    <w:rsid w:val="00C45EEC"/>
    <w:rsid w:val="00C51D95"/>
    <w:rsid w:val="00C52DD7"/>
    <w:rsid w:val="00C53B8C"/>
    <w:rsid w:val="00C542FA"/>
    <w:rsid w:val="00C54B56"/>
    <w:rsid w:val="00C556D5"/>
    <w:rsid w:val="00C57011"/>
    <w:rsid w:val="00C621B0"/>
    <w:rsid w:val="00C624E5"/>
    <w:rsid w:val="00C63125"/>
    <w:rsid w:val="00C6419A"/>
    <w:rsid w:val="00C65268"/>
    <w:rsid w:val="00C654E2"/>
    <w:rsid w:val="00C654E3"/>
    <w:rsid w:val="00C718C8"/>
    <w:rsid w:val="00C7240D"/>
    <w:rsid w:val="00C72A64"/>
    <w:rsid w:val="00C72B20"/>
    <w:rsid w:val="00C75661"/>
    <w:rsid w:val="00C757AE"/>
    <w:rsid w:val="00C763B6"/>
    <w:rsid w:val="00C80889"/>
    <w:rsid w:val="00C81F9C"/>
    <w:rsid w:val="00C82288"/>
    <w:rsid w:val="00C83A5D"/>
    <w:rsid w:val="00C86BC1"/>
    <w:rsid w:val="00C86D29"/>
    <w:rsid w:val="00C90444"/>
    <w:rsid w:val="00C930FC"/>
    <w:rsid w:val="00C94EA4"/>
    <w:rsid w:val="00C95C6A"/>
    <w:rsid w:val="00C96AB0"/>
    <w:rsid w:val="00C96F84"/>
    <w:rsid w:val="00CA00C4"/>
    <w:rsid w:val="00CA00D9"/>
    <w:rsid w:val="00CA1B1B"/>
    <w:rsid w:val="00CA2741"/>
    <w:rsid w:val="00CA2794"/>
    <w:rsid w:val="00CA3198"/>
    <w:rsid w:val="00CB160F"/>
    <w:rsid w:val="00CB1676"/>
    <w:rsid w:val="00CB536C"/>
    <w:rsid w:val="00CC04D0"/>
    <w:rsid w:val="00CC1A43"/>
    <w:rsid w:val="00CC4846"/>
    <w:rsid w:val="00CD2BE8"/>
    <w:rsid w:val="00CD386D"/>
    <w:rsid w:val="00CD3C01"/>
    <w:rsid w:val="00CE20BE"/>
    <w:rsid w:val="00CE27AA"/>
    <w:rsid w:val="00CE3D8A"/>
    <w:rsid w:val="00CE50EF"/>
    <w:rsid w:val="00CF02B2"/>
    <w:rsid w:val="00CF1609"/>
    <w:rsid w:val="00CF32BA"/>
    <w:rsid w:val="00CF6571"/>
    <w:rsid w:val="00D001FC"/>
    <w:rsid w:val="00D02FEB"/>
    <w:rsid w:val="00D03588"/>
    <w:rsid w:val="00D036A2"/>
    <w:rsid w:val="00D03944"/>
    <w:rsid w:val="00D05302"/>
    <w:rsid w:val="00D05DBE"/>
    <w:rsid w:val="00D0694A"/>
    <w:rsid w:val="00D07233"/>
    <w:rsid w:val="00D1056C"/>
    <w:rsid w:val="00D108EB"/>
    <w:rsid w:val="00D10E8A"/>
    <w:rsid w:val="00D10EC3"/>
    <w:rsid w:val="00D10F49"/>
    <w:rsid w:val="00D11639"/>
    <w:rsid w:val="00D1634A"/>
    <w:rsid w:val="00D17C06"/>
    <w:rsid w:val="00D211CF"/>
    <w:rsid w:val="00D2441C"/>
    <w:rsid w:val="00D24527"/>
    <w:rsid w:val="00D25C0B"/>
    <w:rsid w:val="00D26EA0"/>
    <w:rsid w:val="00D274B6"/>
    <w:rsid w:val="00D2785A"/>
    <w:rsid w:val="00D30D7E"/>
    <w:rsid w:val="00D315DC"/>
    <w:rsid w:val="00D328BD"/>
    <w:rsid w:val="00D3312D"/>
    <w:rsid w:val="00D36C84"/>
    <w:rsid w:val="00D404D8"/>
    <w:rsid w:val="00D41B46"/>
    <w:rsid w:val="00D4384C"/>
    <w:rsid w:val="00D45164"/>
    <w:rsid w:val="00D45BC6"/>
    <w:rsid w:val="00D45F8A"/>
    <w:rsid w:val="00D509D1"/>
    <w:rsid w:val="00D5175A"/>
    <w:rsid w:val="00D51BCF"/>
    <w:rsid w:val="00D546B3"/>
    <w:rsid w:val="00D601F8"/>
    <w:rsid w:val="00D6020B"/>
    <w:rsid w:val="00D60FFE"/>
    <w:rsid w:val="00D65CDF"/>
    <w:rsid w:val="00D675E8"/>
    <w:rsid w:val="00D6786E"/>
    <w:rsid w:val="00D715B8"/>
    <w:rsid w:val="00D7628C"/>
    <w:rsid w:val="00D77690"/>
    <w:rsid w:val="00D80F0A"/>
    <w:rsid w:val="00D84110"/>
    <w:rsid w:val="00D8526B"/>
    <w:rsid w:val="00D8789F"/>
    <w:rsid w:val="00D90376"/>
    <w:rsid w:val="00D93C1B"/>
    <w:rsid w:val="00D94FA5"/>
    <w:rsid w:val="00D97709"/>
    <w:rsid w:val="00DA18C5"/>
    <w:rsid w:val="00DA4F9B"/>
    <w:rsid w:val="00DA5DD4"/>
    <w:rsid w:val="00DB36D5"/>
    <w:rsid w:val="00DB37E9"/>
    <w:rsid w:val="00DB57DE"/>
    <w:rsid w:val="00DB6BDF"/>
    <w:rsid w:val="00DB6F42"/>
    <w:rsid w:val="00DB7BFC"/>
    <w:rsid w:val="00DC098C"/>
    <w:rsid w:val="00DC0DED"/>
    <w:rsid w:val="00DC2295"/>
    <w:rsid w:val="00DC41DB"/>
    <w:rsid w:val="00DC48A2"/>
    <w:rsid w:val="00DC5096"/>
    <w:rsid w:val="00DC6D79"/>
    <w:rsid w:val="00DC735D"/>
    <w:rsid w:val="00DC75A2"/>
    <w:rsid w:val="00DD0AD8"/>
    <w:rsid w:val="00DD668A"/>
    <w:rsid w:val="00DD6EC8"/>
    <w:rsid w:val="00DE10F5"/>
    <w:rsid w:val="00DE1F86"/>
    <w:rsid w:val="00DE6A60"/>
    <w:rsid w:val="00DF0E55"/>
    <w:rsid w:val="00DF2BD5"/>
    <w:rsid w:val="00DF2BE5"/>
    <w:rsid w:val="00DF5649"/>
    <w:rsid w:val="00DF62E7"/>
    <w:rsid w:val="00DF6444"/>
    <w:rsid w:val="00DF6887"/>
    <w:rsid w:val="00DF7585"/>
    <w:rsid w:val="00E016FA"/>
    <w:rsid w:val="00E018CE"/>
    <w:rsid w:val="00E032AD"/>
    <w:rsid w:val="00E035B3"/>
    <w:rsid w:val="00E04E43"/>
    <w:rsid w:val="00E06626"/>
    <w:rsid w:val="00E12DAC"/>
    <w:rsid w:val="00E14F46"/>
    <w:rsid w:val="00E17250"/>
    <w:rsid w:val="00E17D60"/>
    <w:rsid w:val="00E21485"/>
    <w:rsid w:val="00E21D87"/>
    <w:rsid w:val="00E2280E"/>
    <w:rsid w:val="00E2320D"/>
    <w:rsid w:val="00E236CA"/>
    <w:rsid w:val="00E23EF1"/>
    <w:rsid w:val="00E24932"/>
    <w:rsid w:val="00E26223"/>
    <w:rsid w:val="00E27CDE"/>
    <w:rsid w:val="00E35B67"/>
    <w:rsid w:val="00E37966"/>
    <w:rsid w:val="00E528FD"/>
    <w:rsid w:val="00E56FE0"/>
    <w:rsid w:val="00E57446"/>
    <w:rsid w:val="00E57B0B"/>
    <w:rsid w:val="00E60E45"/>
    <w:rsid w:val="00E61D0F"/>
    <w:rsid w:val="00E622BA"/>
    <w:rsid w:val="00E649CF"/>
    <w:rsid w:val="00E6562C"/>
    <w:rsid w:val="00E66C44"/>
    <w:rsid w:val="00E700A8"/>
    <w:rsid w:val="00E70136"/>
    <w:rsid w:val="00E71EF6"/>
    <w:rsid w:val="00E7398E"/>
    <w:rsid w:val="00E766E8"/>
    <w:rsid w:val="00E80425"/>
    <w:rsid w:val="00E80E5F"/>
    <w:rsid w:val="00E81456"/>
    <w:rsid w:val="00E8369F"/>
    <w:rsid w:val="00E8406E"/>
    <w:rsid w:val="00E8776B"/>
    <w:rsid w:val="00E90F13"/>
    <w:rsid w:val="00E96337"/>
    <w:rsid w:val="00EA088B"/>
    <w:rsid w:val="00EA1634"/>
    <w:rsid w:val="00EA1DBC"/>
    <w:rsid w:val="00EA25DD"/>
    <w:rsid w:val="00EA261A"/>
    <w:rsid w:val="00EA2996"/>
    <w:rsid w:val="00EA33D5"/>
    <w:rsid w:val="00EB16EE"/>
    <w:rsid w:val="00EB32CB"/>
    <w:rsid w:val="00EB4A6C"/>
    <w:rsid w:val="00EB66F4"/>
    <w:rsid w:val="00EC04CC"/>
    <w:rsid w:val="00EC08E1"/>
    <w:rsid w:val="00EC09F1"/>
    <w:rsid w:val="00EC2DA2"/>
    <w:rsid w:val="00EC360E"/>
    <w:rsid w:val="00EC4592"/>
    <w:rsid w:val="00EC48B4"/>
    <w:rsid w:val="00EC7A98"/>
    <w:rsid w:val="00ED027C"/>
    <w:rsid w:val="00ED6BCE"/>
    <w:rsid w:val="00EE12F3"/>
    <w:rsid w:val="00EE1641"/>
    <w:rsid w:val="00EE1E53"/>
    <w:rsid w:val="00EE2154"/>
    <w:rsid w:val="00EE2DEA"/>
    <w:rsid w:val="00EE6540"/>
    <w:rsid w:val="00EE7A87"/>
    <w:rsid w:val="00EF03BE"/>
    <w:rsid w:val="00EF3583"/>
    <w:rsid w:val="00EF4D29"/>
    <w:rsid w:val="00EF5A38"/>
    <w:rsid w:val="00EF63DD"/>
    <w:rsid w:val="00EF653F"/>
    <w:rsid w:val="00EF7AD7"/>
    <w:rsid w:val="00F031CE"/>
    <w:rsid w:val="00F0780E"/>
    <w:rsid w:val="00F0783E"/>
    <w:rsid w:val="00F10F93"/>
    <w:rsid w:val="00F11870"/>
    <w:rsid w:val="00F11FC8"/>
    <w:rsid w:val="00F120FB"/>
    <w:rsid w:val="00F12B1F"/>
    <w:rsid w:val="00F13222"/>
    <w:rsid w:val="00F136F0"/>
    <w:rsid w:val="00F14618"/>
    <w:rsid w:val="00F15065"/>
    <w:rsid w:val="00F15BF9"/>
    <w:rsid w:val="00F17620"/>
    <w:rsid w:val="00F20523"/>
    <w:rsid w:val="00F212E7"/>
    <w:rsid w:val="00F225D7"/>
    <w:rsid w:val="00F24440"/>
    <w:rsid w:val="00F308D7"/>
    <w:rsid w:val="00F3252E"/>
    <w:rsid w:val="00F32C17"/>
    <w:rsid w:val="00F346E8"/>
    <w:rsid w:val="00F354DC"/>
    <w:rsid w:val="00F35A5E"/>
    <w:rsid w:val="00F373EF"/>
    <w:rsid w:val="00F40B09"/>
    <w:rsid w:val="00F424B7"/>
    <w:rsid w:val="00F42735"/>
    <w:rsid w:val="00F42B3C"/>
    <w:rsid w:val="00F432B4"/>
    <w:rsid w:val="00F44F6F"/>
    <w:rsid w:val="00F4519C"/>
    <w:rsid w:val="00F456E4"/>
    <w:rsid w:val="00F51330"/>
    <w:rsid w:val="00F522A6"/>
    <w:rsid w:val="00F549BD"/>
    <w:rsid w:val="00F56766"/>
    <w:rsid w:val="00F56E07"/>
    <w:rsid w:val="00F57308"/>
    <w:rsid w:val="00F62188"/>
    <w:rsid w:val="00F64A2D"/>
    <w:rsid w:val="00F64C18"/>
    <w:rsid w:val="00F65D8F"/>
    <w:rsid w:val="00F66B1D"/>
    <w:rsid w:val="00F7106D"/>
    <w:rsid w:val="00F72552"/>
    <w:rsid w:val="00F72DF4"/>
    <w:rsid w:val="00F74515"/>
    <w:rsid w:val="00F74E71"/>
    <w:rsid w:val="00F75E63"/>
    <w:rsid w:val="00F761AB"/>
    <w:rsid w:val="00F761F9"/>
    <w:rsid w:val="00F76545"/>
    <w:rsid w:val="00F76B19"/>
    <w:rsid w:val="00F77A60"/>
    <w:rsid w:val="00F83153"/>
    <w:rsid w:val="00F85891"/>
    <w:rsid w:val="00F90415"/>
    <w:rsid w:val="00F90A53"/>
    <w:rsid w:val="00F9179E"/>
    <w:rsid w:val="00F91F15"/>
    <w:rsid w:val="00F92CA5"/>
    <w:rsid w:val="00F93703"/>
    <w:rsid w:val="00F94DDC"/>
    <w:rsid w:val="00F979CF"/>
    <w:rsid w:val="00FA0D65"/>
    <w:rsid w:val="00FA7883"/>
    <w:rsid w:val="00FB066F"/>
    <w:rsid w:val="00FB13FE"/>
    <w:rsid w:val="00FB38C2"/>
    <w:rsid w:val="00FB42B6"/>
    <w:rsid w:val="00FB4590"/>
    <w:rsid w:val="00FB46F1"/>
    <w:rsid w:val="00FB4B1D"/>
    <w:rsid w:val="00FB51CA"/>
    <w:rsid w:val="00FB658C"/>
    <w:rsid w:val="00FC0D41"/>
    <w:rsid w:val="00FC1824"/>
    <w:rsid w:val="00FC6F55"/>
    <w:rsid w:val="00FC7AAB"/>
    <w:rsid w:val="00FD2F56"/>
    <w:rsid w:val="00FD6140"/>
    <w:rsid w:val="00FD7E0A"/>
    <w:rsid w:val="00FE016D"/>
    <w:rsid w:val="00FE035C"/>
    <w:rsid w:val="00FE2399"/>
    <w:rsid w:val="00FE3D35"/>
    <w:rsid w:val="00FE721D"/>
    <w:rsid w:val="00FE755F"/>
    <w:rsid w:val="00FE7D1C"/>
    <w:rsid w:val="00FF4A9D"/>
    <w:rsid w:val="00FF4C12"/>
    <w:rsid w:val="00FF5953"/>
    <w:rsid w:val="00FF68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8A12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667CEA"/>
    <w:pPr>
      <w:spacing w:after="0" w:line="240" w:lineRule="auto"/>
    </w:pPr>
    <w:rPr>
      <w:rFonts w:ascii="Calibri" w:eastAsiaTheme="minorEastAsia" w:hAnsi="Calibri" w:cs="Calibri"/>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667CEA"/>
    <w:pPr>
      <w:spacing w:after="0" w:line="220" w:lineRule="exact"/>
      <w:jc w:val="both"/>
    </w:pPr>
    <w:rPr>
      <w:rFonts w:ascii="Times New Roman" w:hAnsi="Times New Roman" w:cs="Times New Roman"/>
      <w:color w:val="000000"/>
      <w:sz w:val="20"/>
      <w:szCs w:val="20"/>
      <w:lang w:eastAsia="de-DE"/>
    </w:rPr>
  </w:style>
  <w:style w:type="paragraph" w:customStyle="1" w:styleId="01Undefiniert">
    <w:name w:val="01_Undefiniert"/>
    <w:basedOn w:val="00LegStandard"/>
    <w:semiHidden/>
    <w:locked/>
    <w:rsid w:val="00667CEA"/>
  </w:style>
  <w:style w:type="paragraph" w:customStyle="1" w:styleId="02BDGesBlatt">
    <w:name w:val="02_BDGesBlatt"/>
    <w:basedOn w:val="00LegStandard"/>
    <w:next w:val="03RepOesterr"/>
    <w:rsid w:val="00667CE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67CE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667CE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667CEA"/>
    <w:pPr>
      <w:suppressAutoHyphens/>
      <w:spacing w:before="480"/>
    </w:pPr>
    <w:rPr>
      <w:b/>
      <w:sz w:val="22"/>
    </w:rPr>
  </w:style>
  <w:style w:type="paragraph" w:customStyle="1" w:styleId="05Kurztitel">
    <w:name w:val="05_Kurztitel"/>
    <w:basedOn w:val="11Titel"/>
    <w:rsid w:val="00667CE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667CEA"/>
    <w:pPr>
      <w:spacing w:line="200" w:lineRule="exact"/>
      <w:jc w:val="left"/>
    </w:pPr>
  </w:style>
  <w:style w:type="paragraph" w:customStyle="1" w:styleId="10Entwurf">
    <w:name w:val="10_Entwurf"/>
    <w:basedOn w:val="00LegStandard"/>
    <w:next w:val="11Titel"/>
    <w:rsid w:val="00667CEA"/>
    <w:pPr>
      <w:spacing w:before="1600" w:after="1570"/>
      <w:jc w:val="center"/>
    </w:pPr>
    <w:rPr>
      <w:spacing w:val="26"/>
    </w:rPr>
  </w:style>
  <w:style w:type="paragraph" w:customStyle="1" w:styleId="12PromKlEinlSatz">
    <w:name w:val="12_PromKl_EinlSatz"/>
    <w:basedOn w:val="00LegStandard"/>
    <w:next w:val="41UeberschrG1"/>
    <w:rsid w:val="00667CEA"/>
    <w:pPr>
      <w:keepNext/>
      <w:spacing w:before="160"/>
      <w:ind w:firstLine="397"/>
    </w:pPr>
  </w:style>
  <w:style w:type="paragraph" w:customStyle="1" w:styleId="18AbbildungoderObjekt">
    <w:name w:val="18_Abbildung_oder_Objekt"/>
    <w:basedOn w:val="00LegStandard"/>
    <w:next w:val="51Abs"/>
    <w:rsid w:val="00667CEA"/>
    <w:pPr>
      <w:spacing w:before="120" w:after="120" w:line="240" w:lineRule="auto"/>
      <w:jc w:val="left"/>
    </w:pPr>
  </w:style>
  <w:style w:type="paragraph" w:customStyle="1" w:styleId="19Beschriftung">
    <w:name w:val="19_Beschriftung"/>
    <w:basedOn w:val="00LegStandard"/>
    <w:next w:val="51Abs"/>
    <w:rsid w:val="00667CEA"/>
    <w:pPr>
      <w:spacing w:after="120"/>
      <w:jc w:val="left"/>
    </w:pPr>
  </w:style>
  <w:style w:type="paragraph" w:customStyle="1" w:styleId="21NovAo1">
    <w:name w:val="21_NovAo1"/>
    <w:basedOn w:val="00LegStandard"/>
    <w:next w:val="23SatznachNovao"/>
    <w:qFormat/>
    <w:rsid w:val="00667CEA"/>
    <w:pPr>
      <w:keepNext/>
      <w:spacing w:before="160"/>
      <w:outlineLvl w:val="2"/>
    </w:pPr>
    <w:rPr>
      <w:i/>
    </w:rPr>
  </w:style>
  <w:style w:type="paragraph" w:customStyle="1" w:styleId="22NovAo2">
    <w:name w:val="22_NovAo2"/>
    <w:basedOn w:val="21NovAo1"/>
    <w:qFormat/>
    <w:rsid w:val="00667CEA"/>
    <w:pPr>
      <w:keepNext w:val="0"/>
    </w:pPr>
  </w:style>
  <w:style w:type="paragraph" w:customStyle="1" w:styleId="23SatznachNovao">
    <w:name w:val="23_Satz_(nach_Novao)"/>
    <w:basedOn w:val="00LegStandard"/>
    <w:next w:val="21NovAo1"/>
    <w:qFormat/>
    <w:rsid w:val="00667CEA"/>
    <w:pPr>
      <w:spacing w:before="80"/>
    </w:pPr>
  </w:style>
  <w:style w:type="paragraph" w:customStyle="1" w:styleId="30InhaltUeberschrift">
    <w:name w:val="30_InhaltUeberschrift"/>
    <w:basedOn w:val="00LegStandard"/>
    <w:next w:val="31InhaltSpalte"/>
    <w:rsid w:val="00667CEA"/>
    <w:pPr>
      <w:keepNext/>
      <w:spacing w:before="320" w:after="160"/>
      <w:jc w:val="center"/>
      <w:outlineLvl w:val="0"/>
    </w:pPr>
    <w:rPr>
      <w:b/>
    </w:rPr>
  </w:style>
  <w:style w:type="paragraph" w:customStyle="1" w:styleId="31InhaltSpalte">
    <w:name w:val="31_InhaltSpalte"/>
    <w:basedOn w:val="00LegStandard"/>
    <w:next w:val="32InhaltEintrag"/>
    <w:rsid w:val="00667CE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67CEA"/>
    <w:pPr>
      <w:jc w:val="left"/>
    </w:pPr>
  </w:style>
  <w:style w:type="paragraph" w:customStyle="1" w:styleId="41UeberschrG1">
    <w:name w:val="41_UeberschrG1"/>
    <w:basedOn w:val="00LegStandard"/>
    <w:next w:val="43UeberschrG2"/>
    <w:rsid w:val="00667CEA"/>
    <w:pPr>
      <w:keepNext/>
      <w:spacing w:before="320"/>
      <w:jc w:val="center"/>
      <w:outlineLvl w:val="0"/>
    </w:pPr>
    <w:rPr>
      <w:b/>
      <w:sz w:val="22"/>
    </w:rPr>
  </w:style>
  <w:style w:type="paragraph" w:customStyle="1" w:styleId="42UeberschrG1-">
    <w:name w:val="42_UeberschrG1-"/>
    <w:basedOn w:val="00LegStandard"/>
    <w:next w:val="43UeberschrG2"/>
    <w:rsid w:val="00667CEA"/>
    <w:pPr>
      <w:keepNext/>
      <w:spacing w:before="160"/>
      <w:jc w:val="center"/>
      <w:outlineLvl w:val="0"/>
    </w:pPr>
    <w:rPr>
      <w:b/>
      <w:sz w:val="22"/>
    </w:rPr>
  </w:style>
  <w:style w:type="paragraph" w:customStyle="1" w:styleId="43UeberschrG2">
    <w:name w:val="43_UeberschrG2"/>
    <w:basedOn w:val="00LegStandard"/>
    <w:next w:val="45UeberschrPara"/>
    <w:rsid w:val="00667CEA"/>
    <w:pPr>
      <w:keepNext/>
      <w:spacing w:before="80" w:after="160"/>
      <w:jc w:val="center"/>
      <w:outlineLvl w:val="1"/>
    </w:pPr>
    <w:rPr>
      <w:b/>
      <w:sz w:val="22"/>
    </w:rPr>
  </w:style>
  <w:style w:type="paragraph" w:customStyle="1" w:styleId="44UeberschrArt">
    <w:name w:val="44_UeberschrArt+"/>
    <w:basedOn w:val="00LegStandard"/>
    <w:next w:val="51Abs"/>
    <w:rsid w:val="00667CEA"/>
    <w:pPr>
      <w:keepNext/>
      <w:spacing w:before="160"/>
      <w:jc w:val="center"/>
      <w:outlineLvl w:val="2"/>
    </w:pPr>
    <w:rPr>
      <w:b/>
    </w:rPr>
  </w:style>
  <w:style w:type="paragraph" w:customStyle="1" w:styleId="45UeberschrPara">
    <w:name w:val="45_UeberschrPara"/>
    <w:basedOn w:val="00LegStandard"/>
    <w:next w:val="51Abs"/>
    <w:qFormat/>
    <w:rsid w:val="00667CEA"/>
    <w:pPr>
      <w:keepNext/>
      <w:spacing w:before="80"/>
      <w:jc w:val="center"/>
    </w:pPr>
    <w:rPr>
      <w:b/>
    </w:rPr>
  </w:style>
  <w:style w:type="paragraph" w:customStyle="1" w:styleId="51Abs">
    <w:name w:val="51_Abs"/>
    <w:basedOn w:val="00LegStandard"/>
    <w:link w:val="51AbsZchn"/>
    <w:qFormat/>
    <w:rsid w:val="00667CEA"/>
    <w:pPr>
      <w:spacing w:before="80"/>
      <w:ind w:firstLine="397"/>
    </w:pPr>
  </w:style>
  <w:style w:type="paragraph" w:customStyle="1" w:styleId="52Ziffere1">
    <w:name w:val="52_Ziffer_e1"/>
    <w:basedOn w:val="00LegStandard"/>
    <w:qFormat/>
    <w:rsid w:val="00667CEA"/>
    <w:pPr>
      <w:tabs>
        <w:tab w:val="right" w:pos="624"/>
        <w:tab w:val="left" w:pos="680"/>
      </w:tabs>
      <w:spacing w:before="40"/>
      <w:ind w:left="680" w:hanging="680"/>
    </w:pPr>
  </w:style>
  <w:style w:type="paragraph" w:customStyle="1" w:styleId="52Ziffere2">
    <w:name w:val="52_Ziffer_e2"/>
    <w:basedOn w:val="00LegStandard"/>
    <w:semiHidden/>
    <w:rsid w:val="00667CEA"/>
    <w:pPr>
      <w:tabs>
        <w:tab w:val="right" w:pos="851"/>
        <w:tab w:val="left" w:pos="907"/>
      </w:tabs>
      <w:spacing w:before="40"/>
      <w:ind w:left="907" w:hanging="907"/>
    </w:pPr>
  </w:style>
  <w:style w:type="paragraph" w:customStyle="1" w:styleId="52Ziffere3">
    <w:name w:val="52_Ziffer_e3"/>
    <w:basedOn w:val="00LegStandard"/>
    <w:semiHidden/>
    <w:rsid w:val="00667CEA"/>
    <w:pPr>
      <w:tabs>
        <w:tab w:val="right" w:pos="1191"/>
        <w:tab w:val="left" w:pos="1247"/>
      </w:tabs>
      <w:spacing w:before="40"/>
      <w:ind w:left="1247" w:hanging="1247"/>
    </w:pPr>
  </w:style>
  <w:style w:type="paragraph" w:customStyle="1" w:styleId="52Ziffere4">
    <w:name w:val="52_Ziffer_e4"/>
    <w:basedOn w:val="00LegStandard"/>
    <w:semiHidden/>
    <w:rsid w:val="00667CEA"/>
    <w:pPr>
      <w:tabs>
        <w:tab w:val="right" w:pos="1588"/>
        <w:tab w:val="left" w:pos="1644"/>
      </w:tabs>
      <w:spacing w:before="40"/>
      <w:ind w:left="1644" w:hanging="1644"/>
    </w:pPr>
  </w:style>
  <w:style w:type="paragraph" w:customStyle="1" w:styleId="52Ziffere5">
    <w:name w:val="52_Ziffer_e5"/>
    <w:basedOn w:val="00LegStandard"/>
    <w:semiHidden/>
    <w:rsid w:val="00667CEA"/>
    <w:pPr>
      <w:tabs>
        <w:tab w:val="right" w:pos="1928"/>
        <w:tab w:val="left" w:pos="1985"/>
      </w:tabs>
      <w:spacing w:before="40"/>
      <w:ind w:left="1985" w:hanging="1985"/>
    </w:pPr>
  </w:style>
  <w:style w:type="paragraph" w:customStyle="1" w:styleId="52ZiffermitBetrag">
    <w:name w:val="52_Ziffer_mit_Betrag"/>
    <w:basedOn w:val="00LegStandard"/>
    <w:semiHidden/>
    <w:rsid w:val="00667CE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667CEA"/>
    <w:pPr>
      <w:tabs>
        <w:tab w:val="clear" w:pos="6663"/>
        <w:tab w:val="clear" w:pos="8505"/>
        <w:tab w:val="right" w:leader="dot" w:pos="4678"/>
        <w:tab w:val="right" w:leader="dot" w:pos="6521"/>
      </w:tabs>
    </w:pPr>
  </w:style>
  <w:style w:type="paragraph" w:customStyle="1" w:styleId="53Literae1">
    <w:name w:val="53_Litera_e1"/>
    <w:basedOn w:val="00LegStandard"/>
    <w:semiHidden/>
    <w:rsid w:val="00667CEA"/>
    <w:pPr>
      <w:tabs>
        <w:tab w:val="right" w:pos="624"/>
        <w:tab w:val="left" w:pos="680"/>
      </w:tabs>
      <w:spacing w:before="40"/>
      <w:ind w:left="680" w:hanging="680"/>
    </w:pPr>
  </w:style>
  <w:style w:type="paragraph" w:customStyle="1" w:styleId="53Literae2">
    <w:name w:val="53_Litera_e2"/>
    <w:basedOn w:val="00LegStandard"/>
    <w:qFormat/>
    <w:rsid w:val="00667CEA"/>
    <w:pPr>
      <w:tabs>
        <w:tab w:val="right" w:pos="851"/>
        <w:tab w:val="left" w:pos="907"/>
      </w:tabs>
      <w:spacing w:before="40"/>
      <w:ind w:left="907" w:hanging="907"/>
    </w:pPr>
  </w:style>
  <w:style w:type="paragraph" w:customStyle="1" w:styleId="53Literae3">
    <w:name w:val="53_Litera_e3"/>
    <w:basedOn w:val="00LegStandard"/>
    <w:semiHidden/>
    <w:rsid w:val="00667CEA"/>
    <w:pPr>
      <w:tabs>
        <w:tab w:val="right" w:pos="1191"/>
        <w:tab w:val="left" w:pos="1247"/>
      </w:tabs>
      <w:spacing w:before="40"/>
      <w:ind w:left="1247" w:hanging="1247"/>
    </w:pPr>
  </w:style>
  <w:style w:type="paragraph" w:customStyle="1" w:styleId="53Literae4">
    <w:name w:val="53_Litera_e4"/>
    <w:basedOn w:val="00LegStandard"/>
    <w:semiHidden/>
    <w:rsid w:val="00667CEA"/>
    <w:pPr>
      <w:tabs>
        <w:tab w:val="right" w:pos="1588"/>
        <w:tab w:val="left" w:pos="1644"/>
      </w:tabs>
      <w:spacing w:before="40"/>
      <w:ind w:left="1644" w:hanging="1644"/>
    </w:pPr>
  </w:style>
  <w:style w:type="paragraph" w:customStyle="1" w:styleId="53Literae5">
    <w:name w:val="53_Litera_e5"/>
    <w:basedOn w:val="00LegStandard"/>
    <w:semiHidden/>
    <w:rsid w:val="00667CEA"/>
    <w:pPr>
      <w:tabs>
        <w:tab w:val="right" w:pos="1928"/>
        <w:tab w:val="left" w:pos="1985"/>
      </w:tabs>
      <w:spacing w:before="40"/>
      <w:ind w:left="1985" w:hanging="1985"/>
    </w:pPr>
  </w:style>
  <w:style w:type="paragraph" w:customStyle="1" w:styleId="53LiteramitBetrag">
    <w:name w:val="53_Litera_mit_Betrag"/>
    <w:basedOn w:val="52ZiffermitBetrag"/>
    <w:semiHidden/>
    <w:rsid w:val="00667CE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667CE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667CEA"/>
    <w:pPr>
      <w:tabs>
        <w:tab w:val="right" w:pos="624"/>
        <w:tab w:val="left" w:pos="680"/>
      </w:tabs>
      <w:spacing w:before="40"/>
      <w:ind w:left="680" w:hanging="680"/>
    </w:pPr>
  </w:style>
  <w:style w:type="paragraph" w:customStyle="1" w:styleId="54Subliterae2">
    <w:name w:val="54_Sublitera_e2"/>
    <w:basedOn w:val="00LegStandard"/>
    <w:semiHidden/>
    <w:rsid w:val="00667CEA"/>
    <w:pPr>
      <w:tabs>
        <w:tab w:val="right" w:pos="851"/>
        <w:tab w:val="left" w:pos="907"/>
      </w:tabs>
      <w:spacing w:before="40"/>
      <w:ind w:left="907" w:hanging="907"/>
    </w:pPr>
  </w:style>
  <w:style w:type="paragraph" w:customStyle="1" w:styleId="54Subliterae3">
    <w:name w:val="54_Sublitera_e3"/>
    <w:basedOn w:val="00LegStandard"/>
    <w:semiHidden/>
    <w:rsid w:val="00667CEA"/>
    <w:pPr>
      <w:tabs>
        <w:tab w:val="right" w:pos="1191"/>
        <w:tab w:val="left" w:pos="1247"/>
      </w:tabs>
      <w:spacing w:before="40"/>
      <w:ind w:left="1247" w:hanging="1247"/>
    </w:pPr>
  </w:style>
  <w:style w:type="paragraph" w:customStyle="1" w:styleId="54Subliterae4">
    <w:name w:val="54_Sublitera_e4"/>
    <w:basedOn w:val="00LegStandard"/>
    <w:semiHidden/>
    <w:rsid w:val="00667CEA"/>
    <w:pPr>
      <w:tabs>
        <w:tab w:val="right" w:pos="1588"/>
        <w:tab w:val="left" w:pos="1644"/>
      </w:tabs>
      <w:spacing w:before="40"/>
      <w:ind w:left="1644" w:hanging="1644"/>
    </w:pPr>
  </w:style>
  <w:style w:type="paragraph" w:customStyle="1" w:styleId="54Subliterae5">
    <w:name w:val="54_Sublitera_e5"/>
    <w:basedOn w:val="00LegStandard"/>
    <w:semiHidden/>
    <w:rsid w:val="00667CEA"/>
    <w:pPr>
      <w:tabs>
        <w:tab w:val="right" w:pos="1928"/>
        <w:tab w:val="left" w:pos="1985"/>
      </w:tabs>
      <w:spacing w:before="40"/>
      <w:ind w:left="1985" w:hanging="1985"/>
    </w:pPr>
  </w:style>
  <w:style w:type="paragraph" w:customStyle="1" w:styleId="54SubliteramitBetrag">
    <w:name w:val="54_Sublitera_mit_Betrag"/>
    <w:basedOn w:val="52ZiffermitBetrag"/>
    <w:semiHidden/>
    <w:rsid w:val="00667CE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667CEA"/>
    <w:pPr>
      <w:tabs>
        <w:tab w:val="right" w:pos="624"/>
        <w:tab w:val="left" w:pos="680"/>
      </w:tabs>
      <w:spacing w:before="40"/>
      <w:ind w:left="680" w:hanging="680"/>
    </w:pPr>
  </w:style>
  <w:style w:type="paragraph" w:customStyle="1" w:styleId="54aStriche2">
    <w:name w:val="54a_Strich_e2"/>
    <w:basedOn w:val="00LegStandard"/>
    <w:semiHidden/>
    <w:rsid w:val="00667CEA"/>
    <w:pPr>
      <w:tabs>
        <w:tab w:val="right" w:pos="851"/>
        <w:tab w:val="left" w:pos="907"/>
      </w:tabs>
      <w:spacing w:before="40"/>
      <w:ind w:left="907" w:hanging="907"/>
    </w:pPr>
  </w:style>
  <w:style w:type="paragraph" w:customStyle="1" w:styleId="54aStriche3">
    <w:name w:val="54a_Strich_e3"/>
    <w:basedOn w:val="00LegStandard"/>
    <w:semiHidden/>
    <w:qFormat/>
    <w:rsid w:val="00667CEA"/>
    <w:pPr>
      <w:tabs>
        <w:tab w:val="right" w:pos="1191"/>
        <w:tab w:val="left" w:pos="1247"/>
      </w:tabs>
      <w:spacing w:before="40"/>
      <w:ind w:left="1247" w:hanging="1247"/>
    </w:pPr>
  </w:style>
  <w:style w:type="paragraph" w:customStyle="1" w:styleId="54aStriche4">
    <w:name w:val="54a_Strich_e4"/>
    <w:basedOn w:val="00LegStandard"/>
    <w:semiHidden/>
    <w:rsid w:val="00667CEA"/>
    <w:pPr>
      <w:tabs>
        <w:tab w:val="right" w:pos="1588"/>
        <w:tab w:val="left" w:pos="1644"/>
      </w:tabs>
      <w:spacing w:before="40"/>
      <w:ind w:left="1644" w:hanging="1644"/>
    </w:pPr>
  </w:style>
  <w:style w:type="paragraph" w:customStyle="1" w:styleId="54aStriche5">
    <w:name w:val="54a_Strich_e5"/>
    <w:basedOn w:val="00LegStandard"/>
    <w:semiHidden/>
    <w:rsid w:val="00667CEA"/>
    <w:pPr>
      <w:tabs>
        <w:tab w:val="right" w:pos="1928"/>
        <w:tab w:val="left" w:pos="1985"/>
      </w:tabs>
      <w:spacing w:before="40"/>
      <w:ind w:left="1985" w:hanging="1985"/>
    </w:pPr>
  </w:style>
  <w:style w:type="paragraph" w:customStyle="1" w:styleId="54aStriche6">
    <w:name w:val="54a_Strich_e6"/>
    <w:basedOn w:val="00LegStandard"/>
    <w:semiHidden/>
    <w:rsid w:val="00667CEA"/>
    <w:pPr>
      <w:tabs>
        <w:tab w:val="right" w:pos="2268"/>
        <w:tab w:val="left" w:pos="2325"/>
      </w:tabs>
      <w:spacing w:before="40"/>
      <w:ind w:left="2325" w:hanging="2325"/>
    </w:pPr>
  </w:style>
  <w:style w:type="paragraph" w:customStyle="1" w:styleId="54aStriche7">
    <w:name w:val="54a_Strich_e7"/>
    <w:basedOn w:val="00LegStandard"/>
    <w:semiHidden/>
    <w:rsid w:val="00667CE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667CE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67CEA"/>
    <w:pPr>
      <w:spacing w:before="40"/>
    </w:pPr>
  </w:style>
  <w:style w:type="paragraph" w:customStyle="1" w:styleId="56SchlussteilZiff">
    <w:name w:val="56_SchlussteilZiff"/>
    <w:basedOn w:val="00LegStandard"/>
    <w:next w:val="51Abs"/>
    <w:semiHidden/>
    <w:rsid w:val="00667CEA"/>
    <w:pPr>
      <w:spacing w:before="40"/>
      <w:ind w:left="680"/>
    </w:pPr>
  </w:style>
  <w:style w:type="paragraph" w:customStyle="1" w:styleId="57SchlussteilLit">
    <w:name w:val="57_SchlussteilLit"/>
    <w:basedOn w:val="00LegStandard"/>
    <w:next w:val="51Abs"/>
    <w:semiHidden/>
    <w:rsid w:val="00667CEA"/>
    <w:pPr>
      <w:spacing w:before="40"/>
      <w:ind w:left="907"/>
    </w:pPr>
  </w:style>
  <w:style w:type="paragraph" w:customStyle="1" w:styleId="61TabText">
    <w:name w:val="61_TabText"/>
    <w:basedOn w:val="00LegStandard"/>
    <w:rsid w:val="00667CEA"/>
    <w:pPr>
      <w:jc w:val="left"/>
    </w:pPr>
  </w:style>
  <w:style w:type="paragraph" w:customStyle="1" w:styleId="61aTabTextRechtsb">
    <w:name w:val="61a_TabTextRechtsb"/>
    <w:basedOn w:val="61TabText"/>
    <w:rsid w:val="00667CEA"/>
    <w:pPr>
      <w:jc w:val="right"/>
    </w:pPr>
  </w:style>
  <w:style w:type="paragraph" w:customStyle="1" w:styleId="61bTabTextZentriert">
    <w:name w:val="61b_TabTextZentriert"/>
    <w:basedOn w:val="61TabText"/>
    <w:rsid w:val="00667CEA"/>
    <w:pPr>
      <w:jc w:val="center"/>
    </w:pPr>
  </w:style>
  <w:style w:type="paragraph" w:customStyle="1" w:styleId="61cTabTextBlock">
    <w:name w:val="61c_TabTextBlock"/>
    <w:basedOn w:val="61TabText"/>
    <w:rsid w:val="00667CEA"/>
    <w:pPr>
      <w:jc w:val="both"/>
    </w:pPr>
  </w:style>
  <w:style w:type="paragraph" w:customStyle="1" w:styleId="62Kopfzeile">
    <w:name w:val="62_Kopfzeile"/>
    <w:basedOn w:val="51Abs"/>
    <w:rsid w:val="00667CEA"/>
    <w:pPr>
      <w:tabs>
        <w:tab w:val="center" w:pos="4253"/>
        <w:tab w:val="right" w:pos="8505"/>
      </w:tabs>
      <w:ind w:firstLine="0"/>
    </w:pPr>
  </w:style>
  <w:style w:type="paragraph" w:customStyle="1" w:styleId="65FNText">
    <w:name w:val="65_FN_Text"/>
    <w:basedOn w:val="00LegStandard"/>
    <w:rsid w:val="00667CEA"/>
    <w:rPr>
      <w:sz w:val="18"/>
    </w:rPr>
  </w:style>
  <w:style w:type="paragraph" w:customStyle="1" w:styleId="63Fuzeile">
    <w:name w:val="63_Fußzeile"/>
    <w:basedOn w:val="65FNText"/>
    <w:rsid w:val="00667CEA"/>
    <w:pPr>
      <w:tabs>
        <w:tab w:val="center" w:pos="4253"/>
        <w:tab w:val="right" w:pos="8505"/>
      </w:tabs>
    </w:pPr>
  </w:style>
  <w:style w:type="character" w:customStyle="1" w:styleId="66FNZeichen">
    <w:name w:val="66_FN_Zeichen"/>
    <w:rsid w:val="00667CEA"/>
    <w:rPr>
      <w:sz w:val="20"/>
      <w:vertAlign w:val="superscript"/>
    </w:rPr>
  </w:style>
  <w:style w:type="paragraph" w:customStyle="1" w:styleId="68UnterschrL">
    <w:name w:val="68_UnterschrL"/>
    <w:basedOn w:val="00LegStandard"/>
    <w:rsid w:val="00667CEA"/>
    <w:pPr>
      <w:spacing w:before="160"/>
      <w:jc w:val="left"/>
    </w:pPr>
    <w:rPr>
      <w:b/>
    </w:rPr>
  </w:style>
  <w:style w:type="paragraph" w:customStyle="1" w:styleId="69UnterschrM">
    <w:name w:val="69_UnterschrM"/>
    <w:basedOn w:val="68UnterschrL"/>
    <w:rsid w:val="00667CEA"/>
    <w:pPr>
      <w:jc w:val="center"/>
    </w:pPr>
  </w:style>
  <w:style w:type="paragraph" w:customStyle="1" w:styleId="71Anlagenbez">
    <w:name w:val="71_Anlagenbez"/>
    <w:basedOn w:val="00LegStandard"/>
    <w:rsid w:val="00667CEA"/>
    <w:pPr>
      <w:spacing w:before="160"/>
      <w:jc w:val="right"/>
      <w:outlineLvl w:val="0"/>
    </w:pPr>
    <w:rPr>
      <w:b/>
      <w:sz w:val="22"/>
    </w:rPr>
  </w:style>
  <w:style w:type="paragraph" w:customStyle="1" w:styleId="81ErlUeberschrZ">
    <w:name w:val="81_ErlUeberschrZ"/>
    <w:basedOn w:val="00LegStandard"/>
    <w:next w:val="83ErlText"/>
    <w:rsid w:val="00667CEA"/>
    <w:pPr>
      <w:keepNext/>
      <w:spacing w:before="320"/>
      <w:jc w:val="center"/>
      <w:outlineLvl w:val="0"/>
    </w:pPr>
    <w:rPr>
      <w:b/>
      <w:sz w:val="22"/>
    </w:rPr>
  </w:style>
  <w:style w:type="paragraph" w:customStyle="1" w:styleId="82ErlUeberschrL">
    <w:name w:val="82_ErlUeberschrL"/>
    <w:basedOn w:val="00LegStandard"/>
    <w:next w:val="83ErlText"/>
    <w:rsid w:val="00667CEA"/>
    <w:pPr>
      <w:keepNext/>
      <w:spacing w:before="80"/>
      <w:outlineLvl w:val="1"/>
    </w:pPr>
    <w:rPr>
      <w:b/>
    </w:rPr>
  </w:style>
  <w:style w:type="paragraph" w:customStyle="1" w:styleId="83ErlText">
    <w:name w:val="83_ErlText"/>
    <w:basedOn w:val="00LegStandard"/>
    <w:link w:val="83ErlTextZchn"/>
    <w:rsid w:val="00667CEA"/>
    <w:pPr>
      <w:spacing w:before="80"/>
    </w:pPr>
  </w:style>
  <w:style w:type="paragraph" w:customStyle="1" w:styleId="85ErlAufzaehlg">
    <w:name w:val="85_ErlAufzaehlg"/>
    <w:basedOn w:val="83ErlText"/>
    <w:rsid w:val="00667CEA"/>
    <w:pPr>
      <w:tabs>
        <w:tab w:val="left" w:pos="397"/>
      </w:tabs>
      <w:ind w:left="397" w:hanging="397"/>
    </w:pPr>
  </w:style>
  <w:style w:type="paragraph" w:customStyle="1" w:styleId="89TGUEUeberschrSpalte">
    <w:name w:val="89_TGUE_UeberschrSpalte"/>
    <w:basedOn w:val="00LegStandard"/>
    <w:rsid w:val="00667CEA"/>
    <w:pPr>
      <w:keepNext/>
      <w:spacing w:before="80"/>
      <w:jc w:val="center"/>
    </w:pPr>
    <w:rPr>
      <w:b/>
    </w:rPr>
  </w:style>
  <w:style w:type="character" w:customStyle="1" w:styleId="990Fehler">
    <w:name w:val="990_Fehler"/>
    <w:basedOn w:val="DefaultParagraphFont"/>
    <w:semiHidden/>
    <w:locked/>
    <w:rsid w:val="00667CEA"/>
    <w:rPr>
      <w:rFonts w:cs="Times New Roman"/>
      <w:color w:val="FF0000"/>
    </w:rPr>
  </w:style>
  <w:style w:type="character" w:customStyle="1" w:styleId="991GldSymbol">
    <w:name w:val="991_GldSymbol"/>
    <w:rsid w:val="00667CEA"/>
    <w:rPr>
      <w:b/>
      <w:color w:val="000000"/>
    </w:rPr>
  </w:style>
  <w:style w:type="character" w:customStyle="1" w:styleId="992Normal">
    <w:name w:val="992_Normal"/>
    <w:rsid w:val="00667CEA"/>
    <w:rPr>
      <w:vertAlign w:val="baseline"/>
    </w:rPr>
  </w:style>
  <w:style w:type="character" w:customStyle="1" w:styleId="992bNormalundFett">
    <w:name w:val="992b_Normal_und_Fett"/>
    <w:basedOn w:val="992Normal"/>
    <w:rsid w:val="00667CEA"/>
    <w:rPr>
      <w:rFonts w:cs="Times New Roman"/>
      <w:b/>
      <w:vertAlign w:val="baseline"/>
    </w:rPr>
  </w:style>
  <w:style w:type="character" w:customStyle="1" w:styleId="993Fett">
    <w:name w:val="993_Fett"/>
    <w:rsid w:val="00667CEA"/>
    <w:rPr>
      <w:b/>
    </w:rPr>
  </w:style>
  <w:style w:type="character" w:customStyle="1" w:styleId="994Kursiv">
    <w:name w:val="994_Kursiv"/>
    <w:rsid w:val="00667CEA"/>
    <w:rPr>
      <w:i/>
    </w:rPr>
  </w:style>
  <w:style w:type="character" w:customStyle="1" w:styleId="995Unterstrichen">
    <w:name w:val="995_Unterstrichen"/>
    <w:rsid w:val="00667CEA"/>
    <w:rPr>
      <w:u w:val="single"/>
    </w:rPr>
  </w:style>
  <w:style w:type="character" w:customStyle="1" w:styleId="996Gesperrt">
    <w:name w:val="996_Gesperrt"/>
    <w:rsid w:val="00667CEA"/>
    <w:rPr>
      <w:spacing w:val="26"/>
    </w:rPr>
  </w:style>
  <w:style w:type="character" w:customStyle="1" w:styleId="997Hoch">
    <w:name w:val="997_Hoch"/>
    <w:rsid w:val="00667CEA"/>
    <w:rPr>
      <w:vertAlign w:val="superscript"/>
    </w:rPr>
  </w:style>
  <w:style w:type="character" w:customStyle="1" w:styleId="998Tief">
    <w:name w:val="998_Tief"/>
    <w:rsid w:val="00667CEA"/>
    <w:rPr>
      <w:vertAlign w:val="subscript"/>
    </w:rPr>
  </w:style>
  <w:style w:type="character" w:customStyle="1" w:styleId="999FettundKursiv">
    <w:name w:val="999_Fett_und_Kursiv"/>
    <w:basedOn w:val="DefaultParagraphFont"/>
    <w:rsid w:val="00667CEA"/>
    <w:rPr>
      <w:rFonts w:cs="Times New Roman"/>
      <w:b/>
      <w:i/>
    </w:rPr>
  </w:style>
  <w:style w:type="character" w:styleId="EndnoteReference">
    <w:name w:val="endnote reference"/>
    <w:basedOn w:val="DefaultParagraphFont"/>
    <w:uiPriority w:val="99"/>
    <w:rsid w:val="00667CEA"/>
    <w:rPr>
      <w:rFonts w:cs="Times New Roman"/>
      <w:sz w:val="20"/>
      <w:vertAlign w:val="baseline"/>
    </w:rPr>
  </w:style>
  <w:style w:type="character" w:styleId="FootnoteReference">
    <w:name w:val="footnote reference"/>
    <w:basedOn w:val="DefaultParagraphFont"/>
    <w:uiPriority w:val="99"/>
    <w:rsid w:val="00667CEA"/>
    <w:rPr>
      <w:rFonts w:cs="Times New Roman"/>
      <w:sz w:val="20"/>
      <w:vertAlign w:val="baseline"/>
    </w:rPr>
  </w:style>
  <w:style w:type="character" w:styleId="CommentReference">
    <w:name w:val="annotation reference"/>
    <w:basedOn w:val="DefaultParagraphFont"/>
    <w:uiPriority w:val="99"/>
    <w:semiHidden/>
    <w:locked/>
    <w:rsid w:val="00667CEA"/>
    <w:rPr>
      <w:rFonts w:cs="Times New Roman"/>
      <w:color w:val="FF0000"/>
      <w:sz w:val="16"/>
      <w:szCs w:val="16"/>
    </w:rPr>
  </w:style>
  <w:style w:type="paragraph" w:customStyle="1" w:styleId="PDAntragsformel">
    <w:name w:val="PD_Antragsformel"/>
    <w:basedOn w:val="Normal"/>
    <w:rsid w:val="00667CEA"/>
    <w:pPr>
      <w:spacing w:before="280" w:line="220" w:lineRule="exact"/>
      <w:jc w:val="both"/>
    </w:pPr>
    <w:rPr>
      <w:rFonts w:eastAsia="Times New Roman"/>
      <w:lang w:eastAsia="en-US"/>
    </w:rPr>
  </w:style>
  <w:style w:type="paragraph" w:customStyle="1" w:styleId="PDAllonge">
    <w:name w:val="PD_Allonge"/>
    <w:basedOn w:val="PDAntragsformel"/>
    <w:rsid w:val="00667CEA"/>
    <w:pPr>
      <w:spacing w:after="200" w:line="240" w:lineRule="auto"/>
      <w:jc w:val="center"/>
    </w:pPr>
    <w:rPr>
      <w:sz w:val="28"/>
    </w:rPr>
  </w:style>
  <w:style w:type="paragraph" w:customStyle="1" w:styleId="PDAllongeB">
    <w:name w:val="PD_Allonge_B"/>
    <w:basedOn w:val="PDAllonge"/>
    <w:rsid w:val="00667CEA"/>
    <w:pPr>
      <w:jc w:val="both"/>
    </w:pPr>
  </w:style>
  <w:style w:type="paragraph" w:customStyle="1" w:styleId="PDAllongeL">
    <w:name w:val="PD_Allonge_L"/>
    <w:basedOn w:val="PDAllonge"/>
    <w:rsid w:val="00667CEA"/>
    <w:pPr>
      <w:jc w:val="left"/>
    </w:pPr>
  </w:style>
  <w:style w:type="paragraph" w:customStyle="1" w:styleId="PDBrief">
    <w:name w:val="PD_Brief"/>
    <w:basedOn w:val="00LegStandard"/>
    <w:rsid w:val="00667CEA"/>
    <w:pPr>
      <w:spacing w:before="80" w:line="240" w:lineRule="auto"/>
    </w:pPr>
    <w:rPr>
      <w:sz w:val="22"/>
    </w:rPr>
  </w:style>
  <w:style w:type="paragraph" w:customStyle="1" w:styleId="PDDatum">
    <w:name w:val="PD_Datum"/>
    <w:basedOn w:val="PDAntragsformel"/>
    <w:next w:val="Normal"/>
    <w:rsid w:val="00667CEA"/>
  </w:style>
  <w:style w:type="paragraph" w:customStyle="1" w:styleId="PDEntschliessung">
    <w:name w:val="PD_Entschliessung"/>
    <w:basedOn w:val="00LegStandard"/>
    <w:rsid w:val="00667CEA"/>
    <w:pPr>
      <w:spacing w:before="160"/>
    </w:pPr>
    <w:rPr>
      <w:b/>
      <w:sz w:val="22"/>
      <w:lang w:eastAsia="en-US"/>
    </w:rPr>
  </w:style>
  <w:style w:type="paragraph" w:customStyle="1" w:styleId="PDK1">
    <w:name w:val="PD_K1"/>
    <w:next w:val="PDK1Ausg"/>
    <w:rsid w:val="00667CEA"/>
    <w:pPr>
      <w:pBdr>
        <w:bottom w:val="single" w:sz="12" w:space="1" w:color="auto"/>
      </w:pBdr>
      <w:spacing w:after="0" w:line="240" w:lineRule="auto"/>
      <w:jc w:val="center"/>
    </w:pPr>
    <w:rPr>
      <w:rFonts w:ascii="Times New Roman" w:hAnsi="Times New Roman" w:cs="Times New Roman"/>
      <w:b/>
      <w:noProof/>
      <w:color w:val="000000" w:themeColor="text1"/>
      <w:spacing w:val="-8"/>
      <w:sz w:val="24"/>
      <w:szCs w:val="20"/>
    </w:rPr>
  </w:style>
  <w:style w:type="paragraph" w:customStyle="1" w:styleId="PDK1Anlage">
    <w:name w:val="PD_K1Anlage"/>
    <w:basedOn w:val="PDK1"/>
    <w:next w:val="PDK1Ausg"/>
    <w:rsid w:val="00667CEA"/>
    <w:pPr>
      <w:pBdr>
        <w:bottom w:val="none" w:sz="0" w:space="0" w:color="auto"/>
      </w:pBdr>
      <w:jc w:val="right"/>
    </w:pPr>
  </w:style>
  <w:style w:type="paragraph" w:customStyle="1" w:styleId="PDK1Ausg">
    <w:name w:val="PD_K1Ausg"/>
    <w:next w:val="Normal"/>
    <w:rsid w:val="00667CEA"/>
    <w:pPr>
      <w:spacing w:before="1285" w:after="540" w:line="240" w:lineRule="auto"/>
    </w:pPr>
    <w:rPr>
      <w:rFonts w:ascii="Times New Roman" w:hAnsi="Times New Roman" w:cs="Times New Roman"/>
      <w:b/>
      <w:noProof/>
      <w:color w:val="000000" w:themeColor="text1"/>
      <w:szCs w:val="20"/>
    </w:rPr>
  </w:style>
  <w:style w:type="paragraph" w:customStyle="1" w:styleId="PDK2">
    <w:name w:val="PD_K2"/>
    <w:basedOn w:val="PDK1"/>
    <w:next w:val="Normal"/>
    <w:rsid w:val="00667CEA"/>
    <w:pPr>
      <w:pBdr>
        <w:bottom w:val="none" w:sz="0" w:space="0" w:color="auto"/>
      </w:pBdr>
      <w:spacing w:after="227"/>
      <w:jc w:val="left"/>
    </w:pPr>
    <w:rPr>
      <w:spacing w:val="0"/>
      <w:sz w:val="44"/>
    </w:rPr>
  </w:style>
  <w:style w:type="paragraph" w:customStyle="1" w:styleId="PDK3">
    <w:name w:val="PD_K3"/>
    <w:basedOn w:val="PDK2"/>
    <w:next w:val="PDVorlage"/>
    <w:rsid w:val="00667CEA"/>
    <w:pPr>
      <w:spacing w:after="400"/>
    </w:pPr>
    <w:rPr>
      <w:sz w:val="36"/>
    </w:rPr>
  </w:style>
  <w:style w:type="paragraph" w:customStyle="1" w:styleId="PDK4">
    <w:name w:val="PD_K4"/>
    <w:basedOn w:val="PDK3"/>
    <w:rsid w:val="00667CEA"/>
    <w:pPr>
      <w:spacing w:after="120"/>
    </w:pPr>
    <w:rPr>
      <w:sz w:val="26"/>
    </w:rPr>
  </w:style>
  <w:style w:type="paragraph" w:customStyle="1" w:styleId="PDKopfzeile">
    <w:name w:val="PD_Kopfzeile"/>
    <w:basedOn w:val="51Abs"/>
    <w:rsid w:val="00667CEA"/>
    <w:pPr>
      <w:tabs>
        <w:tab w:val="center" w:pos="4253"/>
        <w:tab w:val="right" w:pos="8505"/>
      </w:tabs>
    </w:pPr>
  </w:style>
  <w:style w:type="paragraph" w:customStyle="1" w:styleId="PDU1">
    <w:name w:val="PD_U1"/>
    <w:basedOn w:val="00LegStandard"/>
    <w:next w:val="Normal"/>
    <w:rsid w:val="00667CEA"/>
    <w:pPr>
      <w:tabs>
        <w:tab w:val="center" w:pos="2126"/>
        <w:tab w:val="center" w:pos="6379"/>
      </w:tabs>
      <w:spacing w:before="440"/>
    </w:pPr>
    <w:rPr>
      <w:b/>
    </w:rPr>
  </w:style>
  <w:style w:type="paragraph" w:customStyle="1" w:styleId="PDU2">
    <w:name w:val="PD_U2"/>
    <w:basedOn w:val="PDU1"/>
    <w:rsid w:val="00667CEA"/>
    <w:pPr>
      <w:spacing w:before="100"/>
    </w:pPr>
    <w:rPr>
      <w:b w:val="0"/>
      <w:sz w:val="18"/>
    </w:rPr>
  </w:style>
  <w:style w:type="paragraph" w:customStyle="1" w:styleId="PDU3">
    <w:name w:val="PD_U3"/>
    <w:basedOn w:val="PDU2"/>
    <w:rsid w:val="00667CEA"/>
    <w:pPr>
      <w:tabs>
        <w:tab w:val="clear" w:pos="2126"/>
        <w:tab w:val="clear" w:pos="6379"/>
        <w:tab w:val="center" w:pos="4536"/>
      </w:tabs>
      <w:jc w:val="center"/>
    </w:pPr>
  </w:style>
  <w:style w:type="paragraph" w:customStyle="1" w:styleId="PDVorlage">
    <w:name w:val="PD_Vorlage"/>
    <w:basedOn w:val="11Titel"/>
    <w:next w:val="Normal"/>
    <w:rsid w:val="00667CEA"/>
    <w:pPr>
      <w:spacing w:before="0" w:after="360"/>
    </w:pPr>
    <w:rPr>
      <w:lang w:eastAsia="en-US"/>
    </w:rPr>
  </w:style>
  <w:style w:type="paragraph" w:customStyle="1" w:styleId="62KopfzeileQuer">
    <w:name w:val="62_KopfzeileQuer"/>
    <w:basedOn w:val="51Abs"/>
    <w:rsid w:val="00667CEA"/>
    <w:pPr>
      <w:tabs>
        <w:tab w:val="center" w:pos="6719"/>
        <w:tab w:val="right" w:pos="13438"/>
      </w:tabs>
      <w:ind w:firstLine="0"/>
    </w:pPr>
  </w:style>
  <w:style w:type="paragraph" w:customStyle="1" w:styleId="63FuzeileQuer">
    <w:name w:val="63_FußzeileQuer"/>
    <w:basedOn w:val="65FNText"/>
    <w:rsid w:val="00667CEA"/>
    <w:pPr>
      <w:tabs>
        <w:tab w:val="center" w:pos="6719"/>
        <w:tab w:val="right" w:pos="13438"/>
      </w:tabs>
    </w:pPr>
  </w:style>
  <w:style w:type="paragraph" w:customStyle="1" w:styleId="57Schlussteile1">
    <w:name w:val="57_Schlussteil_e1"/>
    <w:basedOn w:val="00LegStandard"/>
    <w:next w:val="51Abs"/>
    <w:semiHidden/>
    <w:rsid w:val="00667CEA"/>
    <w:pPr>
      <w:spacing w:before="40"/>
      <w:ind w:left="454"/>
    </w:pPr>
  </w:style>
  <w:style w:type="paragraph" w:customStyle="1" w:styleId="57Schlussteile4">
    <w:name w:val="57_Schlussteil_e4"/>
    <w:basedOn w:val="00LegStandard"/>
    <w:next w:val="51Abs"/>
    <w:semiHidden/>
    <w:rsid w:val="00667CEA"/>
    <w:pPr>
      <w:spacing w:before="40"/>
      <w:ind w:left="1247"/>
    </w:pPr>
  </w:style>
  <w:style w:type="paragraph" w:customStyle="1" w:styleId="57Schlussteile5">
    <w:name w:val="57_Schlussteil_e5"/>
    <w:basedOn w:val="00LegStandard"/>
    <w:next w:val="51Abs"/>
    <w:semiHidden/>
    <w:rsid w:val="00667CEA"/>
    <w:pPr>
      <w:spacing w:before="40"/>
      <w:ind w:left="1644"/>
    </w:pPr>
  </w:style>
  <w:style w:type="paragraph" w:customStyle="1" w:styleId="32InhaltEintragEinzug">
    <w:name w:val="32_InhaltEintragEinzug"/>
    <w:basedOn w:val="32InhaltEintrag"/>
    <w:rsid w:val="00667CEA"/>
    <w:pPr>
      <w:tabs>
        <w:tab w:val="right" w:pos="1021"/>
        <w:tab w:val="left" w:pos="1191"/>
      </w:tabs>
      <w:ind w:left="1191" w:hanging="1191"/>
    </w:pPr>
  </w:style>
  <w:style w:type="paragraph" w:customStyle="1" w:styleId="52Aufzaehle1Ziffer">
    <w:name w:val="52_Aufzaehl_e1_Ziffer"/>
    <w:basedOn w:val="00LegStandard"/>
    <w:qFormat/>
    <w:rsid w:val="00667CE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667CE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667CEA"/>
    <w:pPr>
      <w:tabs>
        <w:tab w:val="clear" w:pos="6663"/>
        <w:tab w:val="clear" w:pos="8505"/>
        <w:tab w:val="right" w:leader="dot" w:pos="4678"/>
        <w:tab w:val="right" w:leader="dot" w:pos="6521"/>
      </w:tabs>
    </w:pPr>
  </w:style>
  <w:style w:type="paragraph" w:customStyle="1" w:styleId="52Aufzaehle2Lit">
    <w:name w:val="52_Aufzaehl_e2_Lit"/>
    <w:basedOn w:val="00LegStandard"/>
    <w:rsid w:val="00667CE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667CEA"/>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67CE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67CE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667CEA"/>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67CE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67CE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667CEA"/>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67CE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67CE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667CE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667CE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667CEA"/>
    <w:pPr>
      <w:spacing w:before="40"/>
    </w:pPr>
    <w:rPr>
      <w:lang w:eastAsia="de-AT"/>
    </w:rPr>
  </w:style>
  <w:style w:type="paragraph" w:customStyle="1" w:styleId="58Schlussteile05">
    <w:name w:val="58_Schlussteil_e0.5"/>
    <w:basedOn w:val="00LegStandard"/>
    <w:next w:val="51Abs"/>
    <w:rsid w:val="00667CEA"/>
    <w:pPr>
      <w:spacing w:before="40"/>
      <w:ind w:left="454"/>
    </w:pPr>
  </w:style>
  <w:style w:type="paragraph" w:customStyle="1" w:styleId="58Schlussteile05mitBetrag">
    <w:name w:val="58_Schlussteil_e0.5_mit_Betrag"/>
    <w:basedOn w:val="00LegStandard"/>
    <w:rsid w:val="00667CE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667CE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67CE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667CE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67CEA"/>
    <w:pPr>
      <w:spacing w:before="40"/>
      <w:ind w:left="680"/>
    </w:pPr>
    <w:rPr>
      <w:lang w:eastAsia="de-AT"/>
    </w:rPr>
  </w:style>
  <w:style w:type="paragraph" w:customStyle="1" w:styleId="58Schlussteile1ZiffermitBetrag">
    <w:name w:val="58_Schlussteil_e1_Ziffer_mit_Betrag"/>
    <w:basedOn w:val="00LegStandard"/>
    <w:rsid w:val="00667CE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667CE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67CEA"/>
    <w:pPr>
      <w:spacing w:before="40"/>
      <w:ind w:left="907"/>
    </w:pPr>
    <w:rPr>
      <w:lang w:eastAsia="de-AT"/>
    </w:rPr>
  </w:style>
  <w:style w:type="paragraph" w:customStyle="1" w:styleId="58Schlussteile2LitmitBetrag">
    <w:name w:val="58_Schlussteil_e2_Lit_mit_Betrag"/>
    <w:basedOn w:val="00LegStandard"/>
    <w:rsid w:val="00667CE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667CE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67CEA"/>
    <w:pPr>
      <w:spacing w:before="40"/>
      <w:ind w:left="1247"/>
    </w:pPr>
  </w:style>
  <w:style w:type="paragraph" w:customStyle="1" w:styleId="58Schlussteile3SublitmitBetrag">
    <w:name w:val="58_Schlussteil_e3_Sublit_mit_Betrag"/>
    <w:basedOn w:val="00LegStandard"/>
    <w:rsid w:val="00667CE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667CE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67CEA"/>
    <w:pPr>
      <w:spacing w:before="40"/>
      <w:ind w:left="1644"/>
    </w:pPr>
  </w:style>
  <w:style w:type="paragraph" w:customStyle="1" w:styleId="58Schlussteile4StrichmitBetrag">
    <w:name w:val="58_Schlussteil_e4_Strich_mit_Betrag"/>
    <w:basedOn w:val="00LegStandard"/>
    <w:rsid w:val="00667CE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667CE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67CEA"/>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67CE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67CEA"/>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67CE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67CEA"/>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67CE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67CEA"/>
    <w:pPr>
      <w:spacing w:before="40"/>
      <w:ind w:left="1985"/>
    </w:pPr>
  </w:style>
  <w:style w:type="paragraph" w:customStyle="1" w:styleId="58Schlussteile5StrichmitBetrag">
    <w:name w:val="58_Schlussteil_e5_Strich_mit_Betrag"/>
    <w:basedOn w:val="00LegStandard"/>
    <w:rsid w:val="00667CE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667CE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67CEA"/>
    <w:pPr>
      <w:spacing w:before="40"/>
      <w:ind w:left="2325"/>
    </w:pPr>
  </w:style>
  <w:style w:type="paragraph" w:customStyle="1" w:styleId="58Schlussteile6StrichmitBetrag">
    <w:name w:val="58_Schlussteil_e6_Strich_mit_Betrag"/>
    <w:basedOn w:val="00LegStandard"/>
    <w:rsid w:val="00667CE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667CE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67CEA"/>
    <w:pPr>
      <w:spacing w:before="40"/>
      <w:ind w:left="2665"/>
    </w:pPr>
  </w:style>
  <w:style w:type="paragraph" w:customStyle="1" w:styleId="58Schlussteile7StrichmitBetrag">
    <w:name w:val="58_Schlussteil_e7_Strich_mit_Betrag"/>
    <w:basedOn w:val="00LegStandard"/>
    <w:rsid w:val="00667CE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667CEA"/>
    <w:pPr>
      <w:tabs>
        <w:tab w:val="clear" w:pos="6663"/>
        <w:tab w:val="clear" w:pos="8505"/>
        <w:tab w:val="right" w:leader="dot" w:pos="4678"/>
        <w:tab w:val="right" w:leader="dot" w:pos="6521"/>
      </w:tabs>
    </w:pPr>
  </w:style>
  <w:style w:type="paragraph" w:customStyle="1" w:styleId="PDFuzeile">
    <w:name w:val="PD_Fußzeile"/>
    <w:basedOn w:val="Footer"/>
    <w:rsid w:val="00667CE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667CEA"/>
    <w:pPr>
      <w:tabs>
        <w:tab w:val="center" w:pos="4536"/>
        <w:tab w:val="right" w:pos="9072"/>
      </w:tabs>
    </w:pPr>
  </w:style>
  <w:style w:type="character" w:customStyle="1" w:styleId="FooterChar">
    <w:name w:val="Footer Char"/>
    <w:basedOn w:val="DefaultParagraphFont"/>
    <w:link w:val="Footer"/>
    <w:uiPriority w:val="99"/>
    <w:locked/>
    <w:rsid w:val="00667CEA"/>
    <w:rPr>
      <w:rFonts w:ascii="Times New Roman" w:eastAsiaTheme="minorEastAsia" w:hAnsi="Times New Roman" w:cs="Times New Roman"/>
      <w:color w:val="000000"/>
      <w:sz w:val="20"/>
      <w:szCs w:val="20"/>
      <w:lang w:val="fr-FR" w:eastAsia="de-DE"/>
    </w:rPr>
  </w:style>
  <w:style w:type="paragraph" w:styleId="Header">
    <w:name w:val="header"/>
    <w:basedOn w:val="Normal"/>
    <w:link w:val="HeaderChar"/>
    <w:uiPriority w:val="99"/>
    <w:unhideWhenUsed/>
    <w:locked/>
    <w:rsid w:val="00853EFA"/>
    <w:pPr>
      <w:tabs>
        <w:tab w:val="center" w:pos="4536"/>
        <w:tab w:val="right" w:pos="9072"/>
      </w:tabs>
    </w:pPr>
  </w:style>
  <w:style w:type="character" w:customStyle="1" w:styleId="HeaderChar">
    <w:name w:val="Header Char"/>
    <w:basedOn w:val="DefaultParagraphFont"/>
    <w:link w:val="Header"/>
    <w:uiPriority w:val="99"/>
    <w:locked/>
    <w:rsid w:val="00853EFA"/>
    <w:rPr>
      <w:rFonts w:ascii="Calibri" w:eastAsiaTheme="minorEastAsia" w:hAnsi="Calibri" w:cs="Calibri"/>
      <w:color w:val="000000"/>
      <w:sz w:val="20"/>
      <w:szCs w:val="20"/>
      <w:lang w:val="fr-FR" w:eastAsia="de-DE"/>
    </w:rPr>
  </w:style>
  <w:style w:type="paragraph" w:customStyle="1" w:styleId="Default">
    <w:name w:val="Default"/>
    <w:locked/>
    <w:rsid w:val="00983AA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locked/>
    <w:rsid w:val="00C26E5B"/>
    <w:rPr>
      <w:color w:val="auto"/>
    </w:rPr>
  </w:style>
  <w:style w:type="paragraph" w:customStyle="1" w:styleId="CM3">
    <w:name w:val="CM3"/>
    <w:basedOn w:val="Default"/>
    <w:next w:val="Default"/>
    <w:uiPriority w:val="99"/>
    <w:locked/>
    <w:rsid w:val="00C26E5B"/>
    <w:rPr>
      <w:color w:val="auto"/>
    </w:rPr>
  </w:style>
  <w:style w:type="paragraph" w:styleId="BalloonText">
    <w:name w:val="Balloon Text"/>
    <w:basedOn w:val="Normal"/>
    <w:link w:val="BalloonTextChar"/>
    <w:uiPriority w:val="99"/>
    <w:semiHidden/>
    <w:unhideWhenUsed/>
    <w:locked/>
    <w:rsid w:val="0000270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02706"/>
    <w:rPr>
      <w:rFonts w:ascii="Segoe UI" w:eastAsiaTheme="minorEastAsia" w:hAnsi="Segoe UI" w:cs="Segoe UI"/>
      <w:color w:val="000000"/>
      <w:sz w:val="18"/>
      <w:szCs w:val="18"/>
      <w:lang w:val="fr-FR" w:eastAsia="de-DE"/>
    </w:rPr>
  </w:style>
  <w:style w:type="paragraph" w:customStyle="1" w:styleId="CM4">
    <w:name w:val="CM4"/>
    <w:basedOn w:val="Default"/>
    <w:next w:val="Default"/>
    <w:uiPriority w:val="99"/>
    <w:locked/>
    <w:rsid w:val="00E7398E"/>
    <w:rPr>
      <w:rFonts w:ascii="EU Albertina" w:hAnsi="EU Albertina"/>
      <w:color w:val="auto"/>
    </w:rPr>
  </w:style>
  <w:style w:type="character" w:customStyle="1" w:styleId="51AbsZchn">
    <w:name w:val="51_Abs Zchn"/>
    <w:link w:val="51Abs"/>
    <w:locked/>
    <w:rsid w:val="00D274B6"/>
    <w:rPr>
      <w:rFonts w:ascii="Times New Roman" w:hAnsi="Times New Roman"/>
      <w:color w:val="000000"/>
      <w:sz w:val="20"/>
      <w:lang w:val="fr-FR" w:eastAsia="de-DE"/>
    </w:rPr>
  </w:style>
  <w:style w:type="table" w:styleId="TableGrid">
    <w:name w:val="Table Grid"/>
    <w:basedOn w:val="TableNormal"/>
    <w:uiPriority w:val="39"/>
    <w:locked/>
    <w:rsid w:val="00D41B4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sid w:val="00972D8C"/>
    <w:pPr>
      <w:spacing w:after="0" w:line="240" w:lineRule="auto"/>
    </w:pPr>
    <w:rPr>
      <w:rFonts w:cs="Times New Roman"/>
    </w:rPr>
  </w:style>
  <w:style w:type="character" w:customStyle="1" w:styleId="83ErlTextZchn">
    <w:name w:val="83_ErlText Zchn"/>
    <w:basedOn w:val="DefaultParagraphFont"/>
    <w:link w:val="83ErlText"/>
    <w:locked/>
    <w:rsid w:val="00C124E3"/>
    <w:rPr>
      <w:rFonts w:ascii="Times New Roman" w:hAnsi="Times New Roman" w:cs="Times New Roman"/>
      <w:color w:val="000000"/>
      <w:sz w:val="20"/>
      <w:szCs w:val="20"/>
      <w:lang w:val="fr-FR" w:eastAsia="de-DE"/>
    </w:rPr>
  </w:style>
  <w:style w:type="paragraph" w:styleId="CommentText">
    <w:name w:val="annotation text"/>
    <w:basedOn w:val="Normal"/>
    <w:link w:val="CommentTextChar"/>
    <w:uiPriority w:val="99"/>
    <w:semiHidden/>
    <w:unhideWhenUsed/>
    <w:locked/>
    <w:rsid w:val="00CE20BE"/>
    <w:rPr>
      <w:sz w:val="20"/>
    </w:rPr>
  </w:style>
  <w:style w:type="character" w:customStyle="1" w:styleId="CommentTextChar">
    <w:name w:val="Comment Text Char"/>
    <w:basedOn w:val="DefaultParagraphFont"/>
    <w:link w:val="CommentText"/>
    <w:uiPriority w:val="99"/>
    <w:semiHidden/>
    <w:locked/>
    <w:rsid w:val="00CE20BE"/>
    <w:rPr>
      <w:rFonts w:ascii="Calibri" w:eastAsiaTheme="minorEastAsia" w:hAnsi="Calibri" w:cs="Calibri"/>
      <w:color w:val="000000"/>
      <w:sz w:val="20"/>
      <w:szCs w:val="20"/>
      <w:lang w:val="fr-FR" w:eastAsia="de-DE"/>
    </w:rPr>
  </w:style>
  <w:style w:type="paragraph" w:styleId="CommentSubject">
    <w:name w:val="annotation subject"/>
    <w:basedOn w:val="CommentText"/>
    <w:next w:val="CommentText"/>
    <w:link w:val="CommentSubjectChar"/>
    <w:uiPriority w:val="99"/>
    <w:semiHidden/>
    <w:unhideWhenUsed/>
    <w:locked/>
    <w:rsid w:val="00CE20BE"/>
    <w:rPr>
      <w:b/>
      <w:bCs/>
    </w:rPr>
  </w:style>
  <w:style w:type="character" w:customStyle="1" w:styleId="CommentSubjectChar">
    <w:name w:val="Comment Subject Char"/>
    <w:basedOn w:val="CommentTextChar"/>
    <w:link w:val="CommentSubject"/>
    <w:uiPriority w:val="99"/>
    <w:semiHidden/>
    <w:locked/>
    <w:rsid w:val="00CE20BE"/>
    <w:rPr>
      <w:rFonts w:ascii="Calibri" w:eastAsiaTheme="minorEastAsia" w:hAnsi="Calibri" w:cs="Calibri"/>
      <w:b/>
      <w:bCs/>
      <w:color w:val="000000"/>
      <w:sz w:val="20"/>
      <w:szCs w:val="20"/>
      <w:lang w:val="fr-FR" w:eastAsia="de-DE"/>
    </w:rPr>
  </w:style>
  <w:style w:type="paragraph" w:styleId="Revision">
    <w:name w:val="Revision"/>
    <w:hidden/>
    <w:uiPriority w:val="99"/>
    <w:semiHidden/>
    <w:rsid w:val="00D02FEB"/>
    <w:pPr>
      <w:spacing w:after="0" w:line="240" w:lineRule="auto"/>
    </w:pPr>
    <w:rPr>
      <w:rFonts w:ascii="Calibri" w:eastAsiaTheme="minorEastAsia" w:hAnsi="Calibri" w:cs="Calibri"/>
      <w:color w:val="000000"/>
      <w:szCs w:val="20"/>
      <w:lang w:eastAsia="de-DE"/>
    </w:rPr>
  </w:style>
  <w:style w:type="paragraph" w:customStyle="1" w:styleId="Titreobjet">
    <w:name w:val="Titre objet"/>
    <w:basedOn w:val="Normal"/>
    <w:next w:val="Normal"/>
    <w:locked/>
    <w:rsid w:val="00897126"/>
    <w:pPr>
      <w:spacing w:before="360" w:after="360"/>
      <w:jc w:val="center"/>
    </w:pPr>
    <w:rPr>
      <w:rFonts w:ascii="Times New Roman" w:eastAsia="Times New Roman" w:hAnsi="Times New Roman" w:cs="Times New Roman"/>
      <w:b/>
      <w:color w:val="auto"/>
      <w:sz w:val="24"/>
      <w:szCs w:val="22"/>
      <w:lang w:eastAsia="en-US"/>
    </w:rPr>
  </w:style>
  <w:style w:type="character" w:styleId="FollowedHyperlink">
    <w:name w:val="FollowedHyperlink"/>
    <w:basedOn w:val="DefaultParagraphFont"/>
    <w:uiPriority w:val="99"/>
    <w:semiHidden/>
    <w:unhideWhenUsed/>
    <w:locked/>
    <w:rsid w:val="000B45AD"/>
    <w:rPr>
      <w:rFonts w:cs="Times New Roman"/>
      <w:color w:val="954F72" w:themeColor="followedHyperlink"/>
      <w:u w:val="single"/>
    </w:rPr>
  </w:style>
  <w:style w:type="character" w:styleId="BookTitle">
    <w:name w:val="Book Title"/>
    <w:basedOn w:val="DefaultParagraphFont"/>
    <w:uiPriority w:val="33"/>
    <w:qFormat/>
    <w:locked/>
    <w:rsid w:val="000B45AD"/>
    <w:rPr>
      <w:rFonts w:cs="Times New Roman"/>
      <w:b/>
      <w:bCs/>
      <w:i/>
      <w:iCs/>
      <w:spacing w:val="5"/>
    </w:rPr>
  </w:style>
  <w:style w:type="character" w:styleId="Strong">
    <w:name w:val="Strong"/>
    <w:basedOn w:val="DefaultParagraphFont"/>
    <w:uiPriority w:val="22"/>
    <w:qFormat/>
    <w:locked/>
    <w:rsid w:val="000B45AD"/>
    <w:rPr>
      <w:rFonts w:cs="Times New Roman"/>
      <w:b/>
      <w:bCs/>
    </w:rPr>
  </w:style>
  <w:style w:type="character" w:styleId="Emphasis">
    <w:name w:val="Emphasis"/>
    <w:basedOn w:val="DefaultParagraphFont"/>
    <w:uiPriority w:val="20"/>
    <w:qFormat/>
    <w:locked/>
    <w:rsid w:val="000B45AD"/>
    <w:rPr>
      <w:rFonts w:cs="Times New Roman"/>
      <w:i/>
      <w:iCs/>
    </w:rPr>
  </w:style>
  <w:style w:type="character" w:styleId="HTMLAcronym">
    <w:name w:val="HTML Acronym"/>
    <w:basedOn w:val="DefaultParagraphFont"/>
    <w:uiPriority w:val="99"/>
    <w:semiHidden/>
    <w:unhideWhenUsed/>
    <w:locked/>
    <w:rsid w:val="000B45AD"/>
    <w:rPr>
      <w:rFonts w:cs="Times New Roman"/>
    </w:rPr>
  </w:style>
  <w:style w:type="character" w:styleId="HTMLSample">
    <w:name w:val="HTML Sample"/>
    <w:basedOn w:val="DefaultParagraphFont"/>
    <w:uiPriority w:val="99"/>
    <w:semiHidden/>
    <w:unhideWhenUsed/>
    <w:locked/>
    <w:rsid w:val="000B45AD"/>
    <w:rPr>
      <w:rFonts w:ascii="Consolas" w:hAnsi="Consolas" w:cs="Times New Roman"/>
      <w:sz w:val="24"/>
      <w:szCs w:val="24"/>
    </w:rPr>
  </w:style>
  <w:style w:type="character" w:styleId="HTMLCode">
    <w:name w:val="HTML Code"/>
    <w:basedOn w:val="DefaultParagraphFont"/>
    <w:uiPriority w:val="99"/>
    <w:semiHidden/>
    <w:unhideWhenUsed/>
    <w:locked/>
    <w:rsid w:val="000B45AD"/>
    <w:rPr>
      <w:rFonts w:ascii="Consolas" w:hAnsi="Consolas" w:cs="Times New Roman"/>
      <w:sz w:val="20"/>
      <w:szCs w:val="20"/>
    </w:rPr>
  </w:style>
  <w:style w:type="character" w:styleId="HTMLDefinition">
    <w:name w:val="HTML Definition"/>
    <w:basedOn w:val="DefaultParagraphFont"/>
    <w:uiPriority w:val="99"/>
    <w:semiHidden/>
    <w:unhideWhenUsed/>
    <w:locked/>
    <w:rsid w:val="000B45AD"/>
    <w:rPr>
      <w:rFonts w:cs="Times New Roman"/>
      <w:i/>
      <w:iCs/>
    </w:rPr>
  </w:style>
  <w:style w:type="character" w:styleId="HTMLTypewriter">
    <w:name w:val="HTML Typewriter"/>
    <w:basedOn w:val="DefaultParagraphFont"/>
    <w:uiPriority w:val="99"/>
    <w:semiHidden/>
    <w:unhideWhenUsed/>
    <w:locked/>
    <w:rsid w:val="000B45AD"/>
    <w:rPr>
      <w:rFonts w:ascii="Consolas" w:hAnsi="Consolas" w:cs="Times New Roman"/>
      <w:sz w:val="20"/>
      <w:szCs w:val="20"/>
    </w:rPr>
  </w:style>
  <w:style w:type="character" w:styleId="HTMLKeyboard">
    <w:name w:val="HTML Keyboard"/>
    <w:basedOn w:val="DefaultParagraphFont"/>
    <w:uiPriority w:val="99"/>
    <w:semiHidden/>
    <w:unhideWhenUsed/>
    <w:locked/>
    <w:rsid w:val="000B45AD"/>
    <w:rPr>
      <w:rFonts w:ascii="Consolas" w:hAnsi="Consolas" w:cs="Times New Roman"/>
      <w:sz w:val="20"/>
      <w:szCs w:val="20"/>
    </w:rPr>
  </w:style>
  <w:style w:type="character" w:styleId="HTMLVariable">
    <w:name w:val="HTML Variable"/>
    <w:basedOn w:val="DefaultParagraphFont"/>
    <w:uiPriority w:val="99"/>
    <w:semiHidden/>
    <w:unhideWhenUsed/>
    <w:locked/>
    <w:rsid w:val="000B45AD"/>
    <w:rPr>
      <w:rFonts w:cs="Times New Roman"/>
      <w:i/>
      <w:iCs/>
    </w:rPr>
  </w:style>
  <w:style w:type="character" w:styleId="HTMLCite">
    <w:name w:val="HTML Cite"/>
    <w:basedOn w:val="DefaultParagraphFont"/>
    <w:uiPriority w:val="99"/>
    <w:semiHidden/>
    <w:unhideWhenUsed/>
    <w:locked/>
    <w:rsid w:val="000B45AD"/>
    <w:rPr>
      <w:rFonts w:cs="Times New Roman"/>
      <w:i/>
      <w:iCs/>
    </w:rPr>
  </w:style>
  <w:style w:type="character" w:styleId="Hyperlink">
    <w:name w:val="Hyperlink"/>
    <w:basedOn w:val="DefaultParagraphFont"/>
    <w:uiPriority w:val="99"/>
    <w:semiHidden/>
    <w:unhideWhenUsed/>
    <w:locked/>
    <w:rsid w:val="000B45AD"/>
    <w:rPr>
      <w:rFonts w:cs="Times New Roman"/>
      <w:color w:val="0563C1" w:themeColor="hyperlink"/>
      <w:u w:val="single"/>
    </w:rPr>
  </w:style>
  <w:style w:type="character" w:styleId="IntenseEmphasis">
    <w:name w:val="Intense Emphasis"/>
    <w:basedOn w:val="DefaultParagraphFont"/>
    <w:uiPriority w:val="21"/>
    <w:qFormat/>
    <w:locked/>
    <w:rsid w:val="000B45AD"/>
    <w:rPr>
      <w:rFonts w:cs="Times New Roman"/>
      <w:i/>
      <w:iCs/>
      <w:color w:val="5B9BD5" w:themeColor="accent1"/>
    </w:rPr>
  </w:style>
  <w:style w:type="character" w:styleId="IntenseReference">
    <w:name w:val="Intense Reference"/>
    <w:basedOn w:val="DefaultParagraphFont"/>
    <w:uiPriority w:val="32"/>
    <w:qFormat/>
    <w:locked/>
    <w:rsid w:val="000B45AD"/>
    <w:rPr>
      <w:rFonts w:cs="Times New Roman"/>
      <w:b/>
      <w:bCs/>
      <w:smallCaps/>
      <w:color w:val="5B9BD5" w:themeColor="accent1"/>
      <w:spacing w:val="5"/>
    </w:rPr>
  </w:style>
  <w:style w:type="character" w:styleId="PlaceholderText">
    <w:name w:val="Placeholder Text"/>
    <w:basedOn w:val="DefaultParagraphFont"/>
    <w:uiPriority w:val="99"/>
    <w:semiHidden/>
    <w:locked/>
    <w:rsid w:val="000B45AD"/>
    <w:rPr>
      <w:rFonts w:cs="Times New Roman"/>
      <w:color w:val="808080"/>
    </w:rPr>
  </w:style>
  <w:style w:type="character" w:styleId="SubtleEmphasis">
    <w:name w:val="Subtle Emphasis"/>
    <w:basedOn w:val="DefaultParagraphFont"/>
    <w:uiPriority w:val="19"/>
    <w:qFormat/>
    <w:locked/>
    <w:rsid w:val="000B45AD"/>
    <w:rPr>
      <w:rFonts w:cs="Times New Roman"/>
      <w:i/>
      <w:iCs/>
      <w:color w:val="404040" w:themeColor="text1" w:themeTint="BF"/>
    </w:rPr>
  </w:style>
  <w:style w:type="character" w:styleId="SubtleReference">
    <w:name w:val="Subtle Reference"/>
    <w:basedOn w:val="DefaultParagraphFont"/>
    <w:uiPriority w:val="31"/>
    <w:qFormat/>
    <w:locked/>
    <w:rsid w:val="000B45AD"/>
    <w:rPr>
      <w:rFonts w:cs="Times New Roman"/>
      <w:smallCaps/>
      <w:color w:val="5A5A5A" w:themeColor="text1" w:themeTint="A5"/>
    </w:rPr>
  </w:style>
  <w:style w:type="character" w:styleId="PageNumber">
    <w:name w:val="page number"/>
    <w:basedOn w:val="DefaultParagraphFont"/>
    <w:uiPriority w:val="99"/>
    <w:semiHidden/>
    <w:unhideWhenUsed/>
    <w:locked/>
    <w:rsid w:val="000B45AD"/>
    <w:rPr>
      <w:rFonts w:cs="Times New Roman"/>
    </w:rPr>
  </w:style>
  <w:style w:type="character" w:styleId="LineNumber">
    <w:name w:val="line number"/>
    <w:basedOn w:val="DefaultParagraphFont"/>
    <w:uiPriority w:val="99"/>
    <w:semiHidden/>
    <w:unhideWhenUsed/>
    <w:locked/>
    <w:rsid w:val="000B45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80495">
      <w:marLeft w:val="0"/>
      <w:marRight w:val="0"/>
      <w:marTop w:val="0"/>
      <w:marBottom w:val="0"/>
      <w:divBdr>
        <w:top w:val="none" w:sz="0" w:space="0" w:color="auto"/>
        <w:left w:val="none" w:sz="0" w:space="0" w:color="auto"/>
        <w:bottom w:val="none" w:sz="0" w:space="0" w:color="auto"/>
        <w:right w:val="none" w:sz="0" w:space="0" w:color="auto"/>
      </w:divBdr>
    </w:div>
    <w:div w:id="382680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15901</Words>
  <Characters>83326</Characters>
  <Application>Microsoft Office Word</Application>
  <DocSecurity>0</DocSecurity>
  <Lines>1322</Lines>
  <Paragraphs>675</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80</vt:i4>
      </vt:variant>
    </vt:vector>
  </HeadingPairs>
  <TitlesOfParts>
    <vt:vector size="82" baseType="lpstr">
      <vt:lpstr/>
      <vt:lpstr/>
      <vt:lpstr>BUNDESGESETZBLATT</vt:lpstr>
      <vt:lpstr>        1. Im § 1 werden das Wort „und“ am Ende der Z 1 und der Punkt am Ende der Z 2 du</vt:lpstr>
      <vt:lpstr>        2. § 2 Abs. 3 lautet:</vt:lpstr>
      <vt:lpstr>        3. § 3 Z 4 bis 6 lautet:</vt:lpstr>
      <vt:lpstr>        4. § 3 Z 8 und 9 lautet:</vt:lpstr>
      <vt:lpstr>        5. Im § 3 Z 13 lit. a wird nach der Wortfolge „von verpackten Waren oder Gütern“</vt:lpstr>
      <vt:lpstr>        6. Im § 3 werden die Z 25 und 26 durch folgende Z 25 bis 30 ersetzt:</vt:lpstr>
      <vt:lpstr>        7. Die Überschrift des § 4 lautet:</vt:lpstr>
      <vt:lpstr>        8. Dem § 4 werden folgende Abs. 4 bis 8 angefügt:</vt:lpstr>
      <vt:lpstr>        9. § 5 lautet:</vt:lpstr>
      <vt:lpstr>        10. § 6 samt Überschrift lautet:</vt:lpstr>
      <vt:lpstr>        11. Nach § 6 wird folgender § 6a samt Überschrift eingefügt:</vt:lpstr>
      <vt:lpstr>        12. Im § 7 wird der Ausdruck „dem § 10 Abs. 2, 5 und 7“ durch den Ausdruck „ , d</vt:lpstr>
      <vt:lpstr>        13. Im § 9 wird Abs. 1 durch folgende Abs. 1 bis 1b ersetzt:</vt:lpstr>
      <vt:lpstr>        14. Dem § 9 Abs. 2 Z 2 wird folgender Satz angefügt:</vt:lpstr>
      <vt:lpstr>        15. Nach § 9 Abs. 2 wird folgender Abs. 2a eingefügt:</vt:lpstr>
      <vt:lpstr>        16. Dem § 9 Abs. 3 wird folgender Satz angefügt:</vt:lpstr>
      <vt:lpstr>        17. Im § 9 entfällt Abs. 4 und werden nach dem Abs. 4 folgende Abs. 4a bis 4c ei</vt:lpstr>
      <vt:lpstr>        18. Im § 9 enfällt Abs. 5 und wird nach dem Abs. 5 folgender Abs. 5a eingefügt:</vt:lpstr>
      <vt:lpstr>        19. Im § 9 Abs. 6 wird in Z 1 nach der Wortfolge „jeweils getrennt gesammelten“ </vt:lpstr>
      <vt:lpstr>        20. § 9 Abs. 7 lautet:</vt:lpstr>
      <vt:lpstr>        21. Im § 9 wird nach dem Abs. 7 folgender Abs. 7a eingefügt:</vt:lpstr>
      <vt:lpstr>        22. § 9 Abs. 8 entfällt.</vt:lpstr>
      <vt:lpstr>        23. Die Überschrift des § 10 lautet:</vt:lpstr>
      <vt:lpstr>        24. § 10 Abs. 1 bis 5 lautet:</vt:lpstr>
      <vt:lpstr>        25. § 10 Abs. 6 und 7 entfällt.</vt:lpstr>
      <vt:lpstr>        26. Dem § 10 wird folgender Abs. 8 angefügt:</vt:lpstr>
      <vt:lpstr>        27. § 11 lautet:</vt:lpstr>
      <vt:lpstr>        28. § 12 samt Überschrift entfällt.</vt:lpstr>
      <vt:lpstr>        29. Im § 13 Abs. 2 Z 2 wird die Wortfolge „für Sammlung und“ durch die Wortfolge</vt:lpstr>
      <vt:lpstr>        30. Dem § 13 Abs. 3 wird folgender Satz angefügt:</vt:lpstr>
      <vt:lpstr>        31. Im § 13 wird nach dem Abs. 3 folgender Abs. 3a eingefügt:</vt:lpstr>
      <vt:lpstr>        32. § 13 Abs. 5 lautet:</vt:lpstr>
      <vt:lpstr>        33. Im § 13 Abs. 6 wird nach der Z 1 folgende Z 1a eingefügt:</vt:lpstr>
      <vt:lpstr>        34. § 13 Abs. 7 lautet:</vt:lpstr>
      <vt:lpstr>        35. Im § 13 wird nach dem Abs. 7 folgender Abs. 8 angefügt:</vt:lpstr>
      <vt:lpstr>        36. Die Überschrift des § 14 lautet:</vt:lpstr>
      <vt:lpstr>        37. Der Text des § 14 erhält die Absatzbezeichnung „(1)“; folgender Abs. 2 wird </vt:lpstr>
      <vt:lpstr>        38. Nach § 14 wird folgender § 14a samt Überschrift eingefügt:</vt:lpstr>
      <vt:lpstr>        39. Im § 15 werden die Abs. 2 und 3 durch folgende Abs. 2 bis 5 ersetzt:</vt:lpstr>
      <vt:lpstr>        40. Nach § 16 wird folgender 3a. Abschnitt eingefügt:</vt:lpstr>
      <vt:lpstr>„3a. Abschnitt</vt:lpstr>
      <vt:lpstr>    Bevollmächtigte</vt:lpstr>
      <vt:lpstr>        41. Im § 17 wird Abs. 1 durch folgende Abs. 1 und Abs. 1a ersetzt:</vt:lpstr>
      <vt:lpstr>        42. Dem § 17 wird folgender Abs. 3 angefügt:</vt:lpstr>
      <vt:lpstr>        43. Der 5. Abschnitt lautet:</vt:lpstr>
      <vt:lpstr>„5. Abschnitt</vt:lpstr>
      <vt:lpstr>    Einweggeschirr und -besteck, Einwegkunststoffprodukte und Fanggeräte</vt:lpstr>
      <vt:lpstr>        44. § 20 samt Überschrift lautet:</vt:lpstr>
      <vt:lpstr>        45. Nach § 21 wird folgender § 21a samt Überschrift eingefügt:</vt:lpstr>
      <vt:lpstr>        46. Im § 22 entfällt Abs. 1 und Abs. 2 lautet:</vt:lpstr>
      <vt:lpstr>        47. Dem § 22 werden folgende Abs. 4 und 5 angefügt:</vt:lpstr>
      <vt:lpstr>        48. Nach § 22 werden folgende §§ 22a und 22b samt Überschriften eingefügt:</vt:lpstr>
      <vt:lpstr>        49. Im § 23 entfällt das Wort „und“ am Ende der Z 2, wird der Z 3 ein Beistrich </vt:lpstr>
      <vt:lpstr>        50. Der Text des § 24 erhält die Absatzbezeichnung „(1)“ und folgender Abs. 2 wi</vt:lpstr>
      <vt:lpstr>        51. Dem § 26 werden folgende Abs. 3 bis 6 angefügt:</vt:lpstr>
      <vt:lpstr>        52. Im Anhang 1 Punkt 1 zweiter Spiegelstrich wird nach der Wortfolge „einschlie</vt:lpstr>
      <vt:lpstr>        53. Anhang 1 Punkt 3 lit. c und d lautet:</vt:lpstr>
      <vt:lpstr>        54. Anhang 3 lautet:</vt:lpstr>
      <vt:lpstr>„Anhang 3</vt:lpstr>
      <vt:lpstr>Aufzeichnungen und Meldungen von Betreibern von Großanfallstellen und Eigenimpor</vt:lpstr>
      <vt:lpstr>    1. Allgemeines</vt:lpstr>
      <vt:lpstr>    2. Betreiber einer Großanfallstelle</vt:lpstr>
      <vt:lpstr>    3. Eigenimporteur</vt:lpstr>
      <vt:lpstr>        55. Anhang 5 lautet:</vt:lpstr>
      <vt:lpstr>„Anhang 5</vt:lpstr>
      <vt:lpstr>1. Sammel- und Tarifkategorien für Haushaltsverpackungen</vt:lpstr>
      <vt:lpstr>2. Sammel- und Tarifkategorien für gewerbliche Verpackungen</vt:lpstr>
      <vt:lpstr>3. Kategorien für den Kostenersatz für zusätzliche Einwegkunststoffprodukte (aus</vt:lpstr>
      <vt:lpstr>        56. Der Verordnung wird folgender Anhang 6 angefügt:</vt:lpstr>
      <vt:lpstr>„Anhang 6</vt:lpstr>
      <vt:lpstr>    1. Einwegkunststoffprodukte im Sinne des § 4 Abs. 6 (Produktanforderungen)</vt:lpstr>
      <vt:lpstr>    2. Einwegkunststoffprodukte im Sinne des § 18a (Erweiterte Herstellerverantwortu</vt:lpstr>
      <vt:lpstr>    2.1. Einwegkunststoff-Verpackungen im Sinne des § 18a (Erweiterte Herstellervera</vt:lpstr>
      <vt:lpstr>    2.2. Sonstige Einwegkunststoffprodukte im Sinne des § 18a (Erweiterte Hersteller</vt:lpstr>
      <vt:lpstr>    2.3. Einwegkunststoff-Tabakprodukte im Sinne des § 18a (Erweiterte Herstellerver</vt:lpstr>
      <vt:lpstr>    3. Einwegkunststoffprodukte im Sinne der § 4 Abs. 7 und 8 (Produktanforderungen)</vt:lpstr>
      <vt:lpstr>    4. Einwegkunststoffprodukte im Sinne des § 20 (Sensibilisierung)</vt:lpstr>
      <vt:lpstr>    4.1. Einwegkunststoffprodukte im Sinne des § 20 Abs. 1 (Sensibilisierung)</vt:lpstr>
      <vt:lpstr>    4.2. Einwegkunststoffprodukte für die Damenhygiene (Damenhygieneprodukte) im Sin</vt:lpstr>
    </vt:vector>
  </TitlesOfParts>
  <Company/>
  <LinksUpToDate>false</LinksUpToDate>
  <CharactersWithSpaces>98552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cp:lastPrinted>2021-11-24T09:13:00Z</cp:lastPrinted>
  <dcterms:created xsi:type="dcterms:W3CDTF">2022-05-05T07:03:00Z</dcterms:created>
  <dcterms:modified xsi:type="dcterms:W3CDTF">2022-05-05T07:03:00Z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KALegistikAktiv">
    <vt:bool>false</vt:bool>
  </property>
  <property fmtid="{D5CDD505-2E9C-101B-9397-08002B2CF9AE}" pid="3" name="ParaFormatMigrationDone">
    <vt:bool>true</vt:bool>
  </property>
  <property fmtid="{D5CDD505-2E9C-101B-9397-08002B2CF9AE}" pid="4" name="LegistikVersion">
    <vt:lpwstr>1.7.6.0 (26.02.2021)</vt:lpwstr>
  </property>
</Properties>
</file>