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1. ------IND- 2021 0030 F-- MT- ------ 20210129 --- --- PROJET</w:t>
      </w:r>
    </w:p>
    <w:p w:rsidR="006D1B38" w:rsidRDefault="00BE4644" w:rsidP="009321C0">
      <w:pPr>
        <w:pStyle w:val="LO-Normal"/>
        <w:ind w:left="6372" w:hanging="1269"/>
        <w:jc w:val="right"/>
      </w:pPr>
      <w:r>
        <w:t>Verżjoni tat-</w:t>
      </w:r>
      <w:bookmarkStart w:id="0" w:name="_GoBack"/>
      <w:bookmarkEnd w:id="0"/>
      <w:r>
        <w:t>18 ta’ Novembru 2020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>IR-REPUBBLIKA FRANĊIŻA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>Il-Ministeru għall-Ekonomija, il-Finanzi u l-Irkupru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>Digriet Nru 2020-… ta’ … 2020</w:t>
      </w:r>
    </w:p>
    <w:p w:rsidR="006D1B38" w:rsidRDefault="00BE4644" w:rsidP="00532188">
      <w:pPr>
        <w:pStyle w:val="SNtitre"/>
        <w:widowControl/>
      </w:pPr>
      <w:r>
        <w:t>relatat mal-kundizzjonijiet ta’ użu tat-termini “rikondizzjonat” u “prodott rikondizzjonat”</w:t>
      </w:r>
    </w:p>
    <w:p w:rsidR="006D1B38" w:rsidRDefault="00BE4644" w:rsidP="00532188">
      <w:pPr>
        <w:pStyle w:val="SNNORCentr"/>
      </w:pPr>
      <w:r>
        <w:t>NOR: […]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Pubbliku kkonċernat:</w:t>
      </w:r>
      <w:r>
        <w:rPr>
          <w:rStyle w:val="Policepardfaut"/>
          <w:i/>
        </w:rPr>
        <w:t xml:space="preserve"> Il-bejjiegħa ta’ prodotti mqiegħda fis-suq, inkluż meta jiġu offruti għall-bejgħ minn interfaċċa online;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Għan:</w:t>
      </w:r>
      <w:r>
        <w:rPr>
          <w:rStyle w:val="Policepardfaut"/>
          <w:i/>
        </w:rPr>
        <w:t xml:space="preserve"> Kundizzjonijiet ta’ użu tat-termini “rikondizzjonat” jew “prodott rikondizzjonat”;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Dħul fis-seħħ: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Nota:</w:t>
      </w:r>
      <w:r>
        <w:rPr>
          <w:rStyle w:val="Policepardfaut"/>
          <w:i/>
        </w:rPr>
        <w:t xml:space="preserve"> Dan id-digriet jiddetermina l-kundizzjonijiet ta’ applikazzjoni tal-Artikolu L. 122-21-1 tal-Kodiċi tal-Konsum li jipprevedi qafas legali għall-użu tat-termini “rikondizzjonat” u “prodott rikondizzjonat”. F’dan ir-rigward, huwa jirriżerva l-użu ta’ dawn ir-referenzi għall-prodotti użati u jispeċifika l-kundizzjonijiet li fihom jistgħu jintużaw, fir-rigward ta’ twettiq ta’ testijiet, kif ukoll il-ħtieġa ta’ intervent tekniku wieħed jew aktar, li jippermettu li tiġi garantita s-sigurtà u l-funzjonalitajiet tal-prodott. Dan l-intervent imwettaq jew dawn l-interventi mwettqa fuq il-prodott jikkostitwixxi/u karatteristika essenzjali ta’ dan tal-aħħar. Barra minn hekk, sabiex jiġi evitat li l-konsumatur jiġi mqarraq dwar il-karatteristiċi ta’ prodotti rikondizzjonat, dan id-digriet jipprojbixxi kwalunkwe referenza għal prodott ġdid u jirriżerva l-użu tar-referenza “rikondizzjonat fi Franza” għall-operazzjonijiet ta’ rikondizzjonar li jitwettqu kompletament fit-territorju nazzjonali. Dawn ir-regoli japplikaw ukoll għall-parts tal-bdil;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b/>
          <w:i/>
        </w:rPr>
        <w:t>Referenza:</w:t>
      </w:r>
      <w:r>
        <w:rPr>
          <w:rStyle w:val="Policepardfaut"/>
          <w:i/>
        </w:rPr>
        <w:t xml:space="preserve"> Dan id-digriet se jkun jista’ jiġi kkonsultat fuq is-sit Légifrance (</w:t>
      </w:r>
      <w:hyperlink r:id="rId7" w:tgtFrame="_top">
        <w:r>
          <w:rPr>
            <w:rStyle w:val="Policepardfaut"/>
            <w:b/>
            <w:i/>
          </w:rPr>
          <w:t>http://www.legifrance.gouv.fr</w:t>
        </w:r>
      </w:hyperlink>
      <w:r>
        <w:rPr>
          <w:rStyle w:val="Policepardfaut"/>
          <w:i/>
        </w:rPr>
        <w:t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>Il-Prim Ministru,</w:t>
      </w:r>
    </w:p>
    <w:p w:rsidR="006D1B38" w:rsidRDefault="00BE4644" w:rsidP="00C85968">
      <w:pPr>
        <w:pStyle w:val="SNRapport"/>
      </w:pPr>
      <w:r>
        <w:t>Skont ir-rapport tal-Ministru għall-Ekonomija, il-Finanzi u l-Irkupru,</w:t>
      </w:r>
    </w:p>
    <w:p w:rsidR="006D1B38" w:rsidRDefault="00BE4644" w:rsidP="00C85968">
      <w:pPr>
        <w:pStyle w:val="SNVisa"/>
      </w:pPr>
      <w:r>
        <w:t xml:space="preserve">Wara li kkunsidra r-Regolament (UE) 2016/679 tal-Parlament Ewropew u tal-Kunsill tas-27 ta’ April 2016 dwar il-protezzjoni tal-persuni fiżiċi fir-rigward tal-ipproċessar ta’ </w:t>
      </w:r>
      <w:r>
        <w:rPr>
          <w:i/>
          <w:iCs/>
        </w:rPr>
        <w:t>data</w:t>
      </w:r>
      <w:r>
        <w:t xml:space="preserve"> personali u dwar il-moviment liberu ta’ tali </w:t>
      </w:r>
      <w:r>
        <w:rPr>
          <w:i/>
          <w:iCs/>
        </w:rPr>
        <w:t>data</w:t>
      </w:r>
      <w:r>
        <w:t>, u li jħassar id-Direttiva 95/46/KE (Regolament Ġenerali dwar il-Protezzjoni tad-</w:t>
      </w:r>
      <w:r>
        <w:rPr>
          <w:i/>
          <w:iCs/>
        </w:rPr>
        <w:t>Data</w:t>
      </w:r>
      <w:r>
        <w:t>),</w:t>
      </w:r>
    </w:p>
    <w:p w:rsidR="006D1B38" w:rsidRDefault="00BE4644" w:rsidP="00C85968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Wara li kkunsidra d-Direttiva (UE) 2015/1535 tal-Parlament Ewropew u tal-Kunsill tad-9 ta’ Settembru 2015, li tistabbilixxi proċedura għall-għoti ta’ informazzjoni fil-qasam tar-regolamenti tekniċi u tar-regoli dwar is-servizzi tas-Soċjetà tal-Informatika (kodifikazzjoni), u partikolarment in-Notifika Nru sena/XXX/F”</w:t>
      </w:r>
    </w:p>
    <w:p w:rsidR="006D1B38" w:rsidRDefault="00BE4644" w:rsidP="00C85968">
      <w:pPr>
        <w:pStyle w:val="SNVisa"/>
      </w:pPr>
      <w:r>
        <w:t>Wara li kkunsidra l-Kodiċi tal-Kummerċ, b’mod partikolari l-Artikolu L. 321-1 tiegħu,</w:t>
      </w:r>
    </w:p>
    <w:p w:rsidR="006D1B38" w:rsidRDefault="00BE4644" w:rsidP="00C85968">
      <w:pPr>
        <w:pStyle w:val="SNVisa"/>
      </w:pPr>
      <w:r>
        <w:lastRenderedPageBreak/>
        <w:t>Wara li kkunsidra l-Kodiċi tal-Konsum, b’mod partikolari l-Artikolu L. 122-21-1, fil-verżjoni tiegħu li tirriżulta mill-Artikolu 37 tal-Liġi Nru 2020-105 tal-10 ta’ Frar 2020 relatata mal-ġlieda kontra l-ħela u mal-ekonomija ċirkolari,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>Wara li kkunsidra l-Liġi Nru 78-17 tas-6 ta’ Jannar 1978 kif emendata, dwar l-informatika, il-fajls u l-libertajiet</w:t>
      </w:r>
    </w:p>
    <w:p w:rsidR="006D1B38" w:rsidRDefault="00BE4644" w:rsidP="00C85968">
      <w:pPr>
        <w:pStyle w:val="SNVisa"/>
      </w:pPr>
      <w:r>
        <w:t>Bi qbil mal-Kunsill tal-Istat (it-taqsima tal-finanzi),</w:t>
      </w:r>
    </w:p>
    <w:p w:rsidR="006D1B38" w:rsidRDefault="00BE4644" w:rsidP="00532188">
      <w:pPr>
        <w:pStyle w:val="SNActe"/>
      </w:pPr>
      <w:r>
        <w:t>Jordna:</w:t>
      </w:r>
    </w:p>
    <w:p w:rsidR="006D1B38" w:rsidRDefault="00BE4644" w:rsidP="00532188">
      <w:pPr>
        <w:pStyle w:val="SNArticle"/>
        <w:keepNext/>
        <w:keepLines/>
      </w:pPr>
      <w:r>
        <w:t>Artikolu 1</w:t>
      </w:r>
    </w:p>
    <w:p w:rsidR="006D1B38" w:rsidRDefault="00BE4644" w:rsidP="00532188">
      <w:pPr>
        <w:pStyle w:val="BodyText"/>
      </w:pPr>
      <w:r>
        <w:t>Il-Kapitolu II tat-Titolu II tal-Ktieb I tal-Kodiċi tal-Konsum jiġi emendat kif ġej:</w:t>
      </w:r>
    </w:p>
    <w:p w:rsidR="006D1B38" w:rsidRDefault="00BE4644" w:rsidP="00532188">
      <w:pPr>
        <w:pStyle w:val="BodyText"/>
      </w:pPr>
      <w:r>
        <w:t>1° L-unika Taqsima ssir it-Taqsima 1;</w:t>
      </w:r>
    </w:p>
    <w:p w:rsidR="006D1B38" w:rsidRDefault="00BE4644" w:rsidP="00532188">
      <w:pPr>
        <w:pStyle w:val="BodyText"/>
      </w:pPr>
      <w:r>
        <w:t>2° Din tiġi kompletata minn Taqsima 2 li tgħid hekk:</w:t>
      </w:r>
    </w:p>
    <w:p w:rsidR="006D1B38" w:rsidRDefault="00BE4644" w:rsidP="00532188">
      <w:pPr>
        <w:pStyle w:val="BodyText"/>
        <w:keepNext/>
        <w:keepLines/>
        <w:jc w:val="center"/>
      </w:pPr>
      <w:r>
        <w:t>“Taqsima 2</w:t>
      </w:r>
    </w:p>
    <w:p w:rsidR="006D1B38" w:rsidRDefault="00BE4644" w:rsidP="00532188">
      <w:pPr>
        <w:pStyle w:val="BodyText"/>
        <w:keepNext/>
        <w:keepLines/>
        <w:jc w:val="center"/>
      </w:pPr>
      <w:r>
        <w:t>“Użu tat-termini ‘rikondizzjonat’ jew ‘prodott rikondizzjonat’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“Art. R. 122-4.</w:t>
      </w:r>
      <w:r>
        <w:t xml:space="preserve"> - Prodott jew parti tal-bdil jistgħu jiġu deskritti bħala ‘prodott rikondizzjonat’ jew jiġu akkumpanjati mit-terminu ‘rikondizzjonat’ meta jiġu sodisfatti l-kundizzjonijiet kollha li ġejjin:</w:t>
      </w:r>
    </w:p>
    <w:p w:rsidR="006D1B38" w:rsidRDefault="00BE4644" w:rsidP="00532188">
      <w:pPr>
        <w:pStyle w:val="BodyText"/>
        <w:spacing w:before="100" w:after="100"/>
      </w:pPr>
      <w:r>
        <w:t>“1° Għandu jkun prodott jew parti tal-bdil użati, skont l-Artikolu L. 321-1 tal-Kodiċi tal-Kummerċ, li jkunu ġew soġġetti għal testijiet li japplikaw għall-funzjonalitajiet kollha tagħhom, sabiex jiġi stabbilit jekk jissodisfawx l-obbligi legali ta’ sigurtà u l-użu li l-konsumatur jista’ jistenna minnhom, kif ukoll, jekk meħtieġ, intervent wieħed jew aktar sabiex jerġgħu jiġu stabbiliti l-funzjonalitajiet tagħhom;</w:t>
      </w:r>
    </w:p>
    <w:p w:rsidR="006D1B38" w:rsidRDefault="00BE4644" w:rsidP="00532188">
      <w:pPr>
        <w:pStyle w:val="LO-Normal"/>
        <w:spacing w:before="100" w:after="100"/>
        <w:jc w:val="both"/>
      </w:pPr>
      <w:r>
        <w:t>“2° Kull darba li jkun meħtieġ, l-intervent jew interventi speċifikat/i fis-subparagrafu preċedenti jinkludi/u t-tħassir tad-</w:t>
      </w:r>
      <w:r>
        <w:rPr>
          <w:i/>
          <w:iCs/>
        </w:rPr>
        <w:t>data</w:t>
      </w:r>
      <w:r>
        <w:t xml:space="preserve"> personali kollha rreġistrati jew maħżuna b’rabta ma’ użu preċedenti jew utent preċedenti, f’konformità mar-Regolament (UE) Nru 2016/679 tal-Parlament Ewropew u tal-Kunsill tas-27 ta’ April 2016 dwar il-protezzjoni tal-persuni fiżiċi fir-rigward tal-ipproċessar ta’ </w:t>
      </w:r>
      <w:r>
        <w:rPr>
          <w:i/>
          <w:iCs/>
        </w:rPr>
        <w:t>data</w:t>
      </w:r>
      <w:r>
        <w:t xml:space="preserve"> personali u dwar il-moviment liberu ta’ tali </w:t>
      </w:r>
      <w:r>
        <w:rPr>
          <w:i/>
          <w:iCs/>
        </w:rPr>
        <w:t>data</w:t>
      </w:r>
      <w:r>
        <w:t>, u mal-Liġi Nru 78-17 tas-6 ta’ Jannar 1978 dwar l-informatika, il-fajls u l-libertajiet, b’mod partikolari, fir-rigward tad-dritt għall-irkupru u l-portabbiltà tad-</w:t>
      </w:r>
      <w:r>
        <w:rPr>
          <w:i/>
          <w:iCs/>
        </w:rPr>
        <w:t>data</w:t>
      </w:r>
      <w:r>
        <w:t xml:space="preserve"> personali;</w:t>
      </w:r>
    </w:p>
    <w:p w:rsidR="006D1B38" w:rsidRDefault="00BE4644" w:rsidP="00532188">
      <w:pPr>
        <w:pStyle w:val="LO-Normal"/>
        <w:spacing w:before="100" w:after="100"/>
        <w:jc w:val="both"/>
      </w:pPr>
      <w:r>
        <w:t>Il-professjonist li joffri l-bejgħ ta’ prodott jew parti tal-bdil deskritt/a bħala ‘prodott rikondizzjonat’ jew akkumpanjat/a mit-terminu ‘rikondizzjonat’ huwa inkarigat li jagħti prova li l-operazzjonijiet previsti fis-subparagrafi preċedenti ġew imwettqa.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“Art. R. 122-5.</w:t>
      </w:r>
      <w:r>
        <w:t xml:space="preserve"> - L-intervent imwettaq jew l-interventi mwettqa fuq il-prodott jew il-parti tal-bdil li jiġġustifikaw l-użu tat-termini ‘prodott rikondizzjonat’ jew ‘rikondizzjonat’ jew ‘rikondizzjonat fi Franza’ jikkostitwixxi/u karatteristika essenzjali tiegħu jew tagħha”.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>“Art. R. 122-6.</w:t>
      </w:r>
      <w:r>
        <w:t xml:space="preserve"> - L-espressjonijiet ‘stat ġdid’, ‘qisu ġdid’, ‘rinnovat’ jew kwalunkwe referenza ekwivalenti, ma jistgħux jintużaw għal prodott jew parti tal-bdil deskritt/a bħala ‘prodott rikondizzjonat’ jew akkumpanjat/a mit-terminu ‘rikondizzjonat’.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>“Art. R. 122-7.</w:t>
      </w:r>
      <w:r>
        <w:t xml:space="preserve"> – L-użu tar-referenza ‘rikondizzjonat fi Franza’ huwa riżervat għall-operazzjonijiet imsemmija fl-Artikolu R. 122-4 li jitwettqu kompletament fit-territorju nazzjonali.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>Artikolu 2</w:t>
      </w:r>
    </w:p>
    <w:p w:rsidR="006D1B38" w:rsidRDefault="00BE4644" w:rsidP="00532188">
      <w:pPr>
        <w:pStyle w:val="BodyText"/>
        <w:spacing w:before="100" w:after="100" w:line="244" w:lineRule="auto"/>
      </w:pPr>
      <w:r>
        <w:t>Dan id-digriet għandu jidħol fis-seħħ fl-1 ta’ April 2021.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lastRenderedPageBreak/>
        <w:t>Artikolu 3</w:t>
      </w:r>
    </w:p>
    <w:p w:rsidR="006D1B38" w:rsidRDefault="00BE4644" w:rsidP="00532188">
      <w:pPr>
        <w:pStyle w:val="BodyText"/>
      </w:pPr>
      <w:r>
        <w:t>Il-Ministru għat-Tranżizzjoni Ekoloġika u l-Ministru għall-Ekonomija, il-Finanzi u l-Irkupru huma responsabbli, kull wieħed skont il-kariga tiegħu, għall-eżekuzzjoni ta’ dan id-digriet, li se jiġi ppubblikat fil-Ġurnal Uffiċjali tar-Repubblika Franċiża.</w:t>
      </w:r>
    </w:p>
    <w:p w:rsidR="006D1B38" w:rsidRDefault="006D1B38" w:rsidP="00532188">
      <w:pPr>
        <w:pStyle w:val="BodyText"/>
      </w:pPr>
    </w:p>
    <w:p w:rsidR="006D1B38" w:rsidRDefault="006D1B38" w:rsidP="00532188">
      <w:pPr>
        <w:pStyle w:val="BodyText"/>
      </w:pPr>
    </w:p>
    <w:p w:rsidR="006D1B38" w:rsidRDefault="00BE4644" w:rsidP="00532188">
      <w:pPr>
        <w:pStyle w:val="SNContreseing"/>
      </w:pPr>
      <w:r>
        <w:t>Magħmul fi:</w:t>
      </w:r>
    </w:p>
    <w:p w:rsidR="006D1B38" w:rsidRDefault="00BE4644" w:rsidP="00532188">
      <w:pPr>
        <w:pStyle w:val="SNContreseing"/>
      </w:pPr>
      <w:r>
        <w:t>Mill-Prim Ministru,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>Il-Ministru għat-Tranżizzjoni Ekoloġika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>Il-Ministru għall-Ekonomija, il-Finanzi u l-Irkupru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A7F" w:rsidRDefault="00E16A7F" w:rsidP="00451EFE">
      <w:r>
        <w:separator/>
      </w:r>
    </w:p>
  </w:endnote>
  <w:endnote w:type="continuationSeparator" w:id="0">
    <w:p w:rsidR="00E16A7F" w:rsidRDefault="00E16A7F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A7F" w:rsidRDefault="00E16A7F" w:rsidP="00451EFE">
      <w:r>
        <w:separator/>
      </w:r>
    </w:p>
  </w:footnote>
  <w:footnote w:type="continuationSeparator" w:id="0">
    <w:p w:rsidR="00E16A7F" w:rsidRDefault="00E16A7F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2A4914"/>
    <w:rsid w:val="003114B3"/>
    <w:rsid w:val="00451EFE"/>
    <w:rsid w:val="00532188"/>
    <w:rsid w:val="00617575"/>
    <w:rsid w:val="0063400E"/>
    <w:rsid w:val="006D1B38"/>
    <w:rsid w:val="009321C0"/>
    <w:rsid w:val="00BE4644"/>
    <w:rsid w:val="00C85968"/>
    <w:rsid w:val="00E16A7F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t-MT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mt-MT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mt-MT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mt-MT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Liu, Lei</cp:lastModifiedBy>
  <cp:revision>5</cp:revision>
  <cp:lastPrinted>2011-01-06T11:21:00Z</cp:lastPrinted>
  <dcterms:created xsi:type="dcterms:W3CDTF">2020-10-28T14:37:00Z</dcterms:created>
  <dcterms:modified xsi:type="dcterms:W3CDTF">2021-01-29T09:57:00Z</dcterms:modified>
  <dc:language>fr-FR</dc:language>
</cp:coreProperties>
</file>