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0E" w:rsidRDefault="00A3740E" w:rsidP="00A3740E">
      <w:pPr>
        <w:ind w:right="29"/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0832 F-- ES- ------ 20201230 --- --- PROJET</w:t>
      </w:r>
    </w:p>
    <w:p w:rsidR="00A3740E" w:rsidRDefault="00A3740E"/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B0F74" w:rsidRPr="00282E2D" w:rsidRDefault="00DB0F74" w:rsidP="00DF56E1">
            <w:pPr>
              <w:pStyle w:val="SNREPUBLIQUE"/>
            </w:pPr>
            <w:r>
              <w:t xml:space="preserve">REPÚBLICA FRANCESA</w:t>
            </w:r>
          </w:p>
        </w:tc>
      </w:tr>
      <w:tr w:rsidR="00DB0F74" w:rsidRPr="00282E2D" w:rsidTr="006956AB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Ministerio de Transición Ecológica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Ministerio de Solidaridad y Sanidad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Ministerio de Justicia</w:t>
            </w:r>
          </w:p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</w:tbl>
    <w:p w:rsidR="00294A53" w:rsidRPr="00282E2D" w:rsidRDefault="00294A53" w:rsidP="00294A53">
      <w:pPr>
        <w:pStyle w:val="SNNature"/>
      </w:pPr>
      <w:r>
        <w:t xml:space="preserve">Decreto n.º                           de</w:t>
      </w:r>
    </w:p>
    <w:p w:rsidR="00294A53" w:rsidRPr="00282E2D" w:rsidRDefault="00F17BFA" w:rsidP="00294A53">
      <w:pPr>
        <w:pStyle w:val="SNtitre"/>
      </w:pPr>
      <w:r>
        <w:t xml:space="preserve">sobre el suministro de información que permita identificar los alteradores endocrinos en un producto</w:t>
      </w:r>
    </w:p>
    <w:p w:rsidR="00294A53" w:rsidRPr="00282E2D" w:rsidRDefault="00294A53" w:rsidP="00294A53">
      <w:pPr>
        <w:pStyle w:val="SNNORCentr"/>
      </w:pPr>
      <w:r>
        <w:t xml:space="preserve">NOR:</w:t>
      </w:r>
      <w:r>
        <w:t xml:space="preserve"> </w:t>
      </w:r>
      <w:r>
        <w:t xml:space="preserve">TREP</w:t>
      </w:r>
    </w:p>
    <w:p w:rsidR="00294A53" w:rsidRPr="00282E2D" w:rsidRDefault="00294A53" w:rsidP="00294A53">
      <w:pPr>
        <w:spacing w:before="720"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rFonts w:ascii="Times New Roman" w:hAnsi="Times New Roman"/>
        </w:rPr>
        <w:t xml:space="preserve">Personas a las que afecta: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Cualquier persona que comercialice productos destinados a los consumidores que, al término de su fabricación, contengan sustancias para las cuales la Agencia nacional de seguridad alimentaria, ambiental y de salud ocupacional (ANSES) califica las propiedades de alteración endocrina comprobadas, presuntas o sospechosas.</w:t>
      </w:r>
    </w:p>
    <w:p w:rsidR="00294A53" w:rsidRPr="00282E2D" w:rsidRDefault="00294A53" w:rsidP="00294A53">
      <w:pPr>
        <w:spacing w:before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rFonts w:ascii="Times New Roman" w:hAnsi="Times New Roman"/>
        </w:rPr>
        <w:t xml:space="preserve">Objeto: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Por medio del artículo 1, el presente Decreto crea las disposiciones nacionales necesarias para poner a disposición la información que permita la identificación de alteradores endocrinos en un producto.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</w:p>
    <w:p w:rsidR="00294A53" w:rsidRPr="00282E2D" w:rsidRDefault="00294A53" w:rsidP="00502224">
      <w:pPr>
        <w:pStyle w:val="SNVisa"/>
        <w:ind w:firstLine="708"/>
        <w:rPr>
          <w:i/>
          <w:iCs/>
        </w:rPr>
      </w:pPr>
      <w:r>
        <w:rPr>
          <w:i/>
          <w:b/>
          <w:bCs/>
        </w:rPr>
        <w:t xml:space="preserve">Entrada en vigor:</w:t>
      </w:r>
      <w:r>
        <w:rPr>
          <w:i/>
        </w:rPr>
        <w:t xml:space="preserve"> el Decreto entrará en vigor el 1 de enero de 2022.</w:t>
      </w:r>
    </w:p>
    <w:p w:rsidR="00294A53" w:rsidRPr="00282E2D" w:rsidRDefault="00294A53" w:rsidP="00294A53">
      <w:pPr>
        <w:spacing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Cs/>
          <w:b/>
          <w:rFonts w:ascii="Times New Roman" w:hAnsi="Times New Roman"/>
        </w:rPr>
        <w:t xml:space="preserve">Nota explicativa:</w:t>
      </w:r>
      <w:r>
        <w:rPr>
          <w:i/>
          <w:iCs/>
          <w:sz w:val="24"/>
          <w:szCs w:val="24"/>
          <w:bCs/>
          <w:b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La Ley n.º 2020-105, de 10 de febrero de 2020, relativa a la lucha contra el desperdicio y a la economía circular, denominada «Ley AGEC», prevé en el artículo 13, apartado II, el uso de un Decreto en el Consejo de Estado para establecer las modalidades de aplicación para poner a disposición la información que permita identificar los alteradores endocrinos en un producto comercializado.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El objetivo que se recuerda en la exposición de motivos que apoya este artículo es «facilitar a los ciudadanos información transparente sobre la presencia de sustancias que presentan propiedades de alteración endocrina en los productos.».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Así pues, establece que cualquier persona que comercialice productos que contengan sustancias que presenten propiedades de alteradores endocrinos de conformidad con la ANSES, deberá publicar la lista de estos productos y las sustancias que contienen cada uno de ellos.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Esta publicación se realizará en un formato abierto que permita a las plataformas colaborativas hacer uso de esta información para así informar mejor a los consumidores.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La información que podrá proporcionarse será, por ejemplo: la categoría del producto, la denominación comercial del producto, la referencia del producto, el nombre químico de la sustancia que presenta propiedades de alteración endocrina, la fórmula química, el número CAS y el número CE de la sustancia que presenta propiedades de alteración endocrina, o los nombres habituales y comerciales de la sustancia que presenta propiedades de alteración endocrina.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 </w:t>
      </w:r>
      <w:r>
        <w:rPr>
          <w:i/>
          <w:iCs/>
          <w:sz w:val="24"/>
          <w:szCs w:val="24"/>
          <w:rFonts w:ascii="Times New Roman" w:hAnsi="Times New Roman"/>
        </w:rPr>
        <w:t xml:space="preserve">La segunda Estrategia nacional sobre alteradores endocrinos (SNPE2) tiene por objetivo la mejora de la información a los consumidores.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La ANSES ya se ha movilizado enormemente mediante la creación de listas de sustancias que presentan propiedades de alteración endocrina (acción n.º 3 de la SNPE2).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La presente disposición forma parte de esta dinámica y tiene como objetivo facilitar a los ciudadanos una información transparente sobre la presencia de sustancias que presentan propiedades de alteración endocrina en los productos, en el sentido de sustancias, mezclas, artículos y productos alimenticios.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Asimismo, para la aplicación del artículo, se considerarán productos de conformidad con lo dispuesto en el artículo L. 5232-5 del Código de Salud Pública las sustancias, las mezclas y los artículos definidos en el artículo 3 del Reglamento (UE) n.º 1907/2006 —a excepción de los medicamentos—, los biocidas definidos en el artículo 3 del Reglamento (UE) n.º 528/2012, los productos fitosanitarios de acuerdo con el artículo 2 del Reglamento (CE) n.º 1107/2009, los productos sanitarios definidos en el artículo 2 del Reglamento (UE) n.º 2017/745, los materiales y objetos, incluidos los materiales y objetos activos e inteligentes, destinados a entrar en contacto con los productos alimenticios definidos en el artículo 2 del Reglamento (UE) n.º 1935/2004, los juguetes de acuerdo con el artículo 2 de la Directiva 2009/48/CE, los productos cosméticos definidos en el artículo 2 del Reglamento (CE) n.º 1223/2009 , los productos definidos en el artículo 2 de la Directiva 2001/95/CE y los productos alimenticios definidos en el artículo 2 del Reglamento (CE) n.º 178/2002.</w:t>
      </w:r>
    </w:p>
    <w:p w:rsidR="007D1BA7" w:rsidRPr="00282E2D" w:rsidRDefault="007D1BA7" w:rsidP="008D5DD6">
      <w:pPr>
        <w:spacing w:before="120"/>
        <w:ind w:firstLine="720"/>
        <w:jc w:val="both"/>
        <w:rPr>
          <w:b/>
          <w:bCs/>
          <w:i/>
          <w:iCs/>
          <w:sz w:val="24"/>
          <w:szCs w:val="24"/>
          <w:rFonts w:ascii="Times New Roman" w:hAnsi="Times New Roman" w:cs="Times New Roman"/>
        </w:rPr>
      </w:pPr>
      <w:r>
        <w:rPr>
          <w:bCs/>
          <w:i/>
          <w:iCs/>
          <w:sz w:val="24"/>
          <w:szCs w:val="24"/>
          <w:b/>
          <w:rFonts w:ascii="Times New Roman" w:hAnsi="Times New Roman"/>
        </w:rPr>
        <w:t xml:space="preserve">Referencias:</w:t>
      </w:r>
      <w:r>
        <w:rPr>
          <w:bCs/>
          <w:i/>
          <w:iCs/>
          <w:sz w:val="24"/>
          <w:szCs w:val="24"/>
          <w:b/>
          <w:rFonts w:ascii="Times New Roman" w:hAnsi="Times New Roman"/>
        </w:rPr>
        <w:t xml:space="preserve"> </w:t>
      </w:r>
      <w:r>
        <w:rPr>
          <w:bCs/>
          <w:i/>
          <w:iCs/>
          <w:sz w:val="24"/>
          <w:szCs w:val="24"/>
          <w:rFonts w:ascii="Times New Roman" w:hAnsi="Times New Roman"/>
        </w:rPr>
        <w:t xml:space="preserve">El texto puede consultarse en el sitio web de Légifrance (https://www.legifrance.fr).</w:t>
      </w:r>
    </w:p>
    <w:p w:rsidR="00294A53" w:rsidRPr="00282E2D" w:rsidRDefault="00294A53" w:rsidP="00CB7E5E">
      <w:pPr>
        <w:keepNext/>
        <w:spacing w:before="720" w:after="240"/>
        <w:rPr>
          <w:b/>
          <w:bCs/>
          <w:sz w:val="24"/>
          <w:szCs w:val="24"/>
          <w:rFonts w:ascii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El Primer Ministro,</w:t>
      </w:r>
    </w:p>
    <w:p w:rsidR="00294A53" w:rsidRPr="00282E2D" w:rsidRDefault="00294A53" w:rsidP="00294A53">
      <w:pPr>
        <w:pStyle w:val="SNVisa"/>
        <w:spacing w:before="0" w:after="0"/>
        <w:ind w:firstLine="709"/>
      </w:pPr>
      <w:r>
        <w:t xml:space="preserve">Visto el informe de la Ministra de la Transición Ecológica;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Visto el Reglamento (CE) n.º 178/2002 del Parlamento Europeo y del Consejo, de 28 de enero de 2002, por el que se establecen los principios y los requisitos generales de la legislación alimentaria, se crea la Autoridad Europea de Seguridad Alimentaria y se fijan procedimientos relativos a la seguridad alimentaria;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Visto el Reglamento (CE) n.º 1907/2006 del Parlamento Europeo y del Consejo, de 18 de diciembre de 2006, relativo al registro, la evaluación, la autorización y la restricción de las sustancias y preparados químicos (REACH), por el que se crea la Agencia Europea de Sustancias y Preparados Químicos, se modifica la Directiva 1999/45/CE y se derogan el Reglamento (CEE) n.º 793/93 del Consejo y el Reglamento (CE) n.º 1488/94 de la Comisión, así como la Directiva 76/769/CEE del Consejo y las Directivas 91/155/CEE, 93/67/CEE, 93/105/CE y 2000/21/CE de la Comisión;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Visto el Reglamento (UE) n.º 2017/745 del Parlamento Europeo y del Consejo, de 5 de abril de 2017, sobre los productos sanitarios, por el que se modifican la Directiva 2001/83/CE, el Reglamento (CE) n.º 178/2002 y el Reglamento (CE) n.º 1223/2009 y por el que se derogan las Directivas 90/385/CEE y 93/42/CEE del Consejo;</w:t>
      </w:r>
    </w:p>
    <w:p w:rsidR="006956AB" w:rsidRPr="00282E2D" w:rsidRDefault="006956AB" w:rsidP="006956AB">
      <w:pPr>
        <w:pStyle w:val="SNVisa"/>
      </w:pPr>
      <w:r>
        <w:t xml:space="preserve">Vista la Directiva (UE) 2015/1535 del Parlamento Europeo y del Consejo, de 9 de septiembre de 2015, por la que se establece un procedimiento de información en materia de reglamentaciones técnicas y de reglas relativas a los servicios de la sociedad de la información, en particular la notificación n.º …;</w:t>
      </w:r>
    </w:p>
    <w:p w:rsidR="006956AB" w:rsidRPr="00282E2D" w:rsidRDefault="006956AB" w:rsidP="006956AB">
      <w:pPr>
        <w:pStyle w:val="SNVisa"/>
        <w:spacing w:before="0" w:after="0"/>
        <w:ind w:firstLine="709"/>
      </w:pPr>
      <w:r>
        <w:t xml:space="preserve">Visto el Código de Medio Ambiente, en particular el artículo L. 541-1-1;</w:t>
      </w:r>
    </w:p>
    <w:p w:rsidR="00294A53" w:rsidRPr="00282E2D" w:rsidRDefault="00294A53" w:rsidP="00294A53">
      <w:pPr>
        <w:pStyle w:val="SNVisa"/>
        <w:spacing w:before="0" w:after="0"/>
        <w:ind w:firstLine="709"/>
      </w:pPr>
    </w:p>
    <w:p w:rsidR="00294A53" w:rsidRPr="00282E2D" w:rsidRDefault="00294A53" w:rsidP="00294A53">
      <w:pPr>
        <w:pStyle w:val="SNVisa"/>
        <w:spacing w:before="0" w:after="0"/>
        <w:ind w:firstLine="709"/>
      </w:pPr>
      <w:r>
        <w:t xml:space="preserve">Visto el Código Penal, en particular el artículo R. 610-1;</w:t>
      </w:r>
    </w:p>
    <w:p w:rsidR="00CE41DF" w:rsidRPr="00282E2D" w:rsidRDefault="00CE41DF" w:rsidP="00294A53">
      <w:pPr>
        <w:pStyle w:val="SNVisa"/>
        <w:spacing w:before="0" w:after="0"/>
        <w:ind w:firstLine="709"/>
      </w:pPr>
    </w:p>
    <w:p w:rsidR="006956AB" w:rsidRPr="00282E2D" w:rsidRDefault="006956AB" w:rsidP="006956AB">
      <w:pPr>
        <w:pStyle w:val="SNVisa"/>
        <w:spacing w:before="0" w:after="0"/>
        <w:ind w:firstLine="709"/>
      </w:pPr>
      <w:r>
        <w:t xml:space="preserve">Visto el Código de la Salud Pública, en particular el artículo L. 5232-5 en su redacción resultante del artículo 13 de la Ley n.º 2020-105, de 10 de febrero de 2020, relativa a la lucha contra el desperdicio y a la economía circular;</w:t>
      </w:r>
    </w:p>
    <w:p w:rsidR="00294A53" w:rsidRPr="00282E2D" w:rsidRDefault="00294A53" w:rsidP="00294A53">
      <w:pPr>
        <w:pStyle w:val="SNConsultation"/>
      </w:pPr>
      <w:r>
        <w:t xml:space="preserve">Previa consulta del Consejo de Estado (sección de obras públicas),</w:t>
      </w:r>
    </w:p>
    <w:p w:rsidR="00294A53" w:rsidRPr="00282E2D" w:rsidRDefault="00294A53" w:rsidP="00CB7E5E">
      <w:pPr>
        <w:pStyle w:val="SNActe"/>
        <w:keepNext/>
      </w:pPr>
      <w:r>
        <w:t xml:space="preserve">Decreta:</w:t>
      </w:r>
    </w:p>
    <w:p w:rsidR="00294A53" w:rsidRPr="00282E2D" w:rsidRDefault="00294A53" w:rsidP="00CB7E5E">
      <w:pPr>
        <w:pStyle w:val="SNArticle"/>
        <w:keepNext/>
      </w:pPr>
      <w:r>
        <w:t xml:space="preserve">Artículo 1</w:t>
      </w:r>
    </w:p>
    <w:p w:rsidR="00294A53" w:rsidRPr="00282E2D" w:rsidRDefault="00294A53" w:rsidP="00CB7E5E">
      <w:pPr>
        <w:pStyle w:val="Textbody"/>
        <w:keepNext/>
        <w:tabs>
          <w:tab w:val="left" w:pos="4448"/>
        </w:tabs>
        <w:spacing w:after="0"/>
        <w:ind w:firstLine="709"/>
      </w:pPr>
      <w:r>
        <w:t xml:space="preserve">Después de la parte quinta, libro II, título III, capítulo II, sección 2 del Código de Salud Pública (parte reglamentaria), se crea una sección 3 con la siguiente redacción:</w:t>
      </w:r>
    </w:p>
    <w:p w:rsidR="00294A53" w:rsidRPr="00282E2D" w:rsidRDefault="00294A53" w:rsidP="00CB7E5E">
      <w:pPr>
        <w:pStyle w:val="Textbody"/>
        <w:keepNext/>
        <w:spacing w:after="0"/>
        <w:ind w:firstLine="709"/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i/>
        </w:rPr>
      </w:pPr>
      <w:r>
        <w:rPr>
          <w:i/>
        </w:rPr>
        <w:t xml:space="preserve">«Sección 3:</w:t>
      </w:r>
      <w:r>
        <w:rPr>
          <w:i/>
        </w:rPr>
        <w:t xml:space="preserve"> </w:t>
      </w:r>
      <w:r>
        <w:rPr>
          <w:i/>
        </w:rPr>
        <w:t xml:space="preserve">Información sobre los alteradores endocrinos en los productos</w:t>
      </w: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ind w:firstLine="709"/>
        <w:jc w:val="center"/>
        <w:rPr>
          <w:i/>
        </w:rPr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Subsección 1:</w:t>
      </w:r>
      <w:r>
        <w:rPr>
          <w:i/>
        </w:rPr>
        <w:t xml:space="preserve"> </w:t>
      </w:r>
      <w:r>
        <w:rPr>
          <w:i/>
        </w:rPr>
        <w:t xml:space="preserve">Definición de la lista de sustancias con propiedades de alteración endocrina comprobadas, presuntas o sospechosas</w:t>
      </w:r>
    </w:p>
    <w:p w:rsidR="00294A53" w:rsidRPr="00282E2D" w:rsidRDefault="00294A53" w:rsidP="00CB7E5E">
      <w:pPr>
        <w:pStyle w:val="Textbody"/>
        <w:keepNext/>
        <w:spacing w:after="0"/>
        <w:ind w:firstLine="709"/>
        <w:rPr>
          <w:shd w:val="clear" w:color="auto" w:fill="FFFF00"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 xml:space="preserve">Artículo R.5232-19 - A los efectos de la presente sección, se considerarán productos en virtud del artículo L.</w:t>
      </w:r>
      <w:r>
        <w:t xml:space="preserve"> </w:t>
      </w:r>
      <w:r>
        <w:rPr>
          <w:i/>
        </w:rPr>
        <w:t xml:space="preserve">5232-5, las sustancias, mezclas y artículos definidos en el artículo 3 del Reglamento (UE) n.</w:t>
      </w:r>
      <w:r>
        <w:rPr>
          <w:i/>
          <w:vertAlign w:val="superscript"/>
        </w:rPr>
        <w:t xml:space="preserve">o</w:t>
      </w:r>
      <w:r>
        <w:rPr>
          <w:i/>
        </w:rPr>
        <w:t xml:space="preserve"> 1907/2006, a excepción de los medicamentos, y los productos alimenticios definidos en el artículo 2 del Reglamento (CE) n.</w:t>
      </w:r>
      <w:r>
        <w:rPr>
          <w:i/>
          <w:vertAlign w:val="superscript"/>
        </w:rPr>
        <w:t xml:space="preserve">o</w:t>
      </w:r>
      <w:r>
        <w:rPr>
          <w:i/>
        </w:rPr>
        <w:t xml:space="preserve"> 178/2002.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I.- Una orden conjunta de los ministros responsables de la salud y el medio ambiente establecerá, previa consulta con la Agencia nacional de seguridad alimentaria, ambiental y de salud ocupacional, la lista de sustancias que presentan propiedades de alteración endocrina mencionadas en el artículo L.5232-5, apartado I, divididas en dos categorías, comprobadas y presuntas, según el nivel de prueba científica.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II.</w:t>
      </w:r>
      <w:r>
        <w:rPr>
          <w:i/>
        </w:rPr>
        <w:t xml:space="preserve"> </w:t>
      </w:r>
      <w:r>
        <w:rPr>
          <w:i/>
        </w:rPr>
        <w:t xml:space="preserve">- Una orden conjunta de los ministros responsables de la salud y el medio ambiente establecerá, previa consulta con la Agencia nacional de seguridad alimentaria, ambiental y de salud ocupacional, la lista de sustancias que presentan propiedades de alteración endocrina sospechosas, mencionadas en el artículo L.5232-5, apartado II.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III.</w:t>
      </w:r>
      <w:r>
        <w:rPr>
          <w:i/>
        </w:rPr>
        <w:t xml:space="preserve"> </w:t>
      </w:r>
      <w:r>
        <w:rPr>
          <w:i/>
        </w:rPr>
        <w:t xml:space="preserve">- Una orden conjunta de los ministros responsables de la salud y el medio ambiente establecerá, previa consulta con la Agencia nacional de seguridad alimentaria, ambiental y de salud ocupacional, las categorías de productos que presentan un riesgo de exposición particular mencionadas en el artículo L.5232-5, apartado II, en lo que respecta a las poblaciones expuestas, las condiciones de uso y la eliminación de estos productos, así como otros criterios pertinentes.</w:t>
      </w:r>
    </w:p>
    <w:p w:rsidR="008D5DD6" w:rsidRPr="00282E2D" w:rsidRDefault="008D5DD6" w:rsidP="00294A53">
      <w:pPr>
        <w:pStyle w:val="Textbody"/>
        <w:spacing w:after="0"/>
        <w:rPr>
          <w:i/>
        </w:rPr>
      </w:pPr>
    </w:p>
    <w:p w:rsidR="008D5DD6" w:rsidRPr="00282E2D" w:rsidRDefault="008D5DD6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Subsección 2:</w:t>
      </w:r>
      <w:r>
        <w:rPr>
          <w:i/>
        </w:rPr>
        <w:t xml:space="preserve"> </w:t>
      </w:r>
      <w:r>
        <w:rPr>
          <w:i/>
        </w:rPr>
        <w:t xml:space="preserve">Puesta a disposición de la información al público</w:t>
      </w:r>
    </w:p>
    <w:p w:rsidR="00C41624" w:rsidRPr="00282E2D" w:rsidRDefault="00C41624" w:rsidP="00CB7E5E">
      <w:pPr>
        <w:pStyle w:val="Textbody"/>
        <w:keepNext/>
        <w:spacing w:after="0"/>
        <w:rPr>
          <w:i/>
        </w:rPr>
      </w:pPr>
    </w:p>
    <w:p w:rsidR="00294A53" w:rsidRPr="00282E2D" w:rsidRDefault="008D5DD6" w:rsidP="00294A53">
      <w:pPr>
        <w:pStyle w:val="Textbody"/>
        <w:spacing w:after="0"/>
        <w:rPr>
          <w:i/>
        </w:rPr>
      </w:pPr>
      <w:r>
        <w:rPr>
          <w:i/>
        </w:rPr>
        <w:t xml:space="preserve">Artículo R.5232-20 - I. - La información prevista en el artículo L. 5232-5, apartados I y II, se encuentra disponible en una base de datos pública que dispone de una interfaz de programación accesible a través de internet.</w:t>
      </w:r>
      <w:r>
        <w:rPr>
          <w:i/>
        </w:rPr>
        <w:t xml:space="preserve"> </w:t>
      </w:r>
      <w:r>
        <w:rPr>
          <w:i/>
        </w:rPr>
        <w:t xml:space="preserve">Una orden conjunta de los ministros responsables de la salud y del medio ambiente precisará el contenido y las condiciones de presentación de esta información.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D462DD" w:rsidP="00294A53">
      <w:pPr>
        <w:pStyle w:val="Textbody"/>
        <w:spacing w:after="0"/>
        <w:rPr>
          <w:i/>
        </w:rPr>
      </w:pPr>
      <w:r>
        <w:rPr>
          <w:i/>
        </w:rPr>
        <w:t xml:space="preserve">II.</w:t>
      </w:r>
      <w:r>
        <w:rPr>
          <w:i/>
        </w:rPr>
        <w:t xml:space="preserve"> </w:t>
      </w:r>
      <w:r>
        <w:rPr>
          <w:i/>
        </w:rPr>
        <w:t xml:space="preserve">- La puesta a disposición de la información al público prevista en el artículo L. 5232-5, apartados I y II, se realizará, a más tardar, dieciocho meses después de la publicación de las órdenes mencionadas en el artículo 5232-19.</w:t>
      </w:r>
    </w:p>
    <w:p w:rsidR="00294A53" w:rsidRPr="00282E2D" w:rsidRDefault="00294A53" w:rsidP="00294A53">
      <w:pPr>
        <w:pStyle w:val="Textbody"/>
        <w:spacing w:after="0"/>
        <w:ind w:firstLine="709"/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Subsección 3:</w:t>
      </w:r>
      <w:r>
        <w:rPr>
          <w:i/>
        </w:rPr>
        <w:t xml:space="preserve"> </w:t>
      </w:r>
      <w:r>
        <w:rPr>
          <w:i/>
        </w:rPr>
        <w:t xml:space="preserve">Sanciones penales</w:t>
      </w:r>
    </w:p>
    <w:p w:rsidR="00856C4D" w:rsidRPr="00282E2D" w:rsidRDefault="00856C4D" w:rsidP="00CB7E5E">
      <w:pPr>
        <w:pStyle w:val="Textbody"/>
        <w:keepNext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 xml:space="preserve">Artículo R.5232-21 - </w:t>
      </w:r>
      <w:r>
        <w:rPr>
          <w:i/>
          <w:bCs/>
        </w:rPr>
        <w:t xml:space="preserve">El hecho de no poner a disposición del público en las condiciones definidas en el artículo L. 5232-5 la información que permita identificar la presencia de alteradores endocrinos en los productos definidos en virtud de las condiciones del artículo R. 5232-20, será castigado con la multa prevista para las infracciones de quinta clase.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bCs/>
          <w:i/>
        </w:rPr>
        <w:t xml:space="preserve">El incumplimiento del plazo previsto en el artículo R. 5232-20, apartado II, será castigado con la multa prevista para las infracciones de quinta clase.</w:t>
      </w:r>
    </w:p>
    <w:p w:rsidR="00294A53" w:rsidRPr="00282E2D" w:rsidRDefault="00294A53" w:rsidP="00294A53">
      <w:pPr>
        <w:pStyle w:val="Textbody"/>
        <w:spacing w:after="0"/>
      </w:pPr>
    </w:p>
    <w:p w:rsidR="00294A53" w:rsidRPr="00282E2D" w:rsidRDefault="00856C4D" w:rsidP="00294A53">
      <w:pPr>
        <w:pStyle w:val="Textbody"/>
        <w:spacing w:after="0"/>
      </w:pPr>
      <w:r>
        <w:rPr>
          <w:i/>
        </w:rPr>
        <w:t xml:space="preserve">Artículo </w:t>
      </w:r>
      <w:r>
        <w:rPr>
          <w:i/>
          <w:bCs/>
        </w:rPr>
        <w:t xml:space="preserve">R.5232-22</w:t>
      </w:r>
      <w:r>
        <w:rPr>
          <w:i/>
        </w:rPr>
        <w:t xml:space="preserve"> - La reincidencia en las infracciones previstas en el artículo R. 5232-21 será sancionada de conformidad con los artículos 132-11 y 132-15 del Código Penal.».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  <w:rPr>
          <w:b/>
          <w:bCs/>
        </w:rPr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b/>
          <w:bCs/>
        </w:rPr>
      </w:pPr>
      <w:r>
        <w:rPr>
          <w:b/>
          <w:bCs/>
        </w:rPr>
        <w:t xml:space="preserve">Artículo 2</w:t>
      </w:r>
    </w:p>
    <w:p w:rsidR="00294A53" w:rsidRPr="00282E2D" w:rsidRDefault="00294A53" w:rsidP="00CB7E5E">
      <w:pPr>
        <w:pStyle w:val="Standard"/>
        <w:keepNext/>
        <w:spacing w:after="0"/>
      </w:pP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  <w:r>
        <w:rPr>
          <w:sz w:val="24"/>
          <w:rStyle w:val="StrongEmphasis"/>
          <w:b w:val="0"/>
          <w:szCs w:val="24"/>
          <w:rFonts w:ascii="Times New Roman" w:hAnsi="Times New Roman"/>
        </w:rPr>
        <w:t xml:space="preserve">La Ministra de la Transición Ecológica, el Ministro de Solidaridad y Sanidad y el Ministro de Justicia serán los responsables, dentro de sus respectivas competencias, de la ejecución del presente Decreto, que será publicado en el Boletín Oficial de la República Francesa.</w:t>
      </w: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</w:p>
    <w:p w:rsidR="00294A53" w:rsidRPr="00282E2D" w:rsidRDefault="00294A53" w:rsidP="00294A53">
      <w:pPr>
        <w:pStyle w:val="Textbody"/>
        <w:rPr>
          <w:shd w:val="clear" w:color="auto" w:fill="FFFF00"/>
        </w:rPr>
      </w:pPr>
    </w:p>
    <w:p w:rsidR="00294A53" w:rsidRPr="00282E2D" w:rsidRDefault="00294A53" w:rsidP="00294A53">
      <w:pPr>
        <w:pStyle w:val="SNDate"/>
      </w:pPr>
      <w:r>
        <w:t xml:space="preserve">A</w:t>
      </w:r>
    </w:p>
    <w:p w:rsidR="00294A53" w:rsidRPr="00282E2D" w:rsidRDefault="00294A53" w:rsidP="00294A53">
      <w:pPr>
        <w:pStyle w:val="SNDate"/>
      </w:pPr>
      <w:r>
        <w:t xml:space="preserve">Por el Primer Ministro:</w:t>
      </w:r>
    </w:p>
    <w:p w:rsidR="00294A53" w:rsidRPr="00282E2D" w:rsidRDefault="00294A53" w:rsidP="00294A53">
      <w:pPr>
        <w:pStyle w:val="SNDate"/>
      </w:pPr>
      <w:r>
        <w:t xml:space="preserve">La Ministra de la Transición Ecológica</w:t>
      </w:r>
    </w:p>
    <w:p w:rsidR="00294A53" w:rsidRPr="00282E2D" w:rsidRDefault="00294A53" w:rsidP="00294A53">
      <w:pPr>
        <w:pStyle w:val="SNDate"/>
      </w:pPr>
      <w:r>
        <w:t xml:space="preserve">Barbara POMPILI</w:t>
      </w:r>
    </w:p>
    <w:p w:rsidR="00294A53" w:rsidRPr="00282E2D" w:rsidRDefault="00294A53" w:rsidP="00294A53">
      <w:pPr>
        <w:pStyle w:val="SNDate"/>
      </w:pPr>
      <w:r>
        <w:t xml:space="preserve">El Ministro de Solidaridad y Sanidad</w:t>
      </w:r>
    </w:p>
    <w:p w:rsidR="00294A53" w:rsidRPr="00282E2D" w:rsidRDefault="00294A53" w:rsidP="00294A53">
      <w:pPr>
        <w:pStyle w:val="SNDate"/>
      </w:pPr>
      <w:r>
        <w:t xml:space="preserve">Olivier VERAN</w:t>
      </w:r>
      <w:r>
        <w:t xml:space="preserve"> </w:t>
      </w:r>
    </w:p>
    <w:p w:rsidR="00294A53" w:rsidRPr="00282E2D" w:rsidRDefault="00294A53" w:rsidP="00294A53">
      <w:pPr>
        <w:pStyle w:val="SNDate"/>
      </w:pPr>
      <w:r>
        <w:t xml:space="preserve">El Ministro de Justicia,</w:t>
      </w:r>
    </w:p>
    <w:p w:rsidR="00294A53" w:rsidRPr="00282E2D" w:rsidRDefault="00294A53" w:rsidP="00294A53">
      <w:pPr>
        <w:pStyle w:val="SNDate"/>
      </w:pPr>
      <w:r>
        <w:t xml:space="preserve">Éric DUPONT-MORETTI</w:t>
      </w:r>
    </w:p>
    <w:sectPr w:rsidR="00294A53" w:rsidRPr="00282E2D" w:rsidSect="009D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E7" w:rsidRDefault="000245E7" w:rsidP="006439D9">
      <w:pPr>
        <w:spacing w:after="0" w:line="240" w:lineRule="auto"/>
      </w:pPr>
      <w:r>
        <w:separator/>
      </w:r>
    </w:p>
  </w:endnote>
  <w:endnote w:type="continuationSeparator" w:id="0">
    <w:p w:rsidR="000245E7" w:rsidRDefault="000245E7" w:rsidP="006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E7" w:rsidRDefault="000245E7" w:rsidP="006439D9">
      <w:pPr>
        <w:spacing w:after="0" w:line="240" w:lineRule="auto"/>
      </w:pPr>
      <w:r>
        <w:separator/>
      </w:r>
    </w:p>
  </w:footnote>
  <w:footnote w:type="continuationSeparator" w:id="0">
    <w:p w:rsidR="000245E7" w:rsidRDefault="000245E7" w:rsidP="0064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A53"/>
    <w:rsid w:val="00013A58"/>
    <w:rsid w:val="000165B6"/>
    <w:rsid w:val="000245E7"/>
    <w:rsid w:val="00030F20"/>
    <w:rsid w:val="0004143C"/>
    <w:rsid w:val="000E06A7"/>
    <w:rsid w:val="000F3F3C"/>
    <w:rsid w:val="001B569F"/>
    <w:rsid w:val="001C1799"/>
    <w:rsid w:val="001D1B71"/>
    <w:rsid w:val="001D6FD1"/>
    <w:rsid w:val="001D7575"/>
    <w:rsid w:val="00222F1E"/>
    <w:rsid w:val="00251D1A"/>
    <w:rsid w:val="00282E2D"/>
    <w:rsid w:val="00294A53"/>
    <w:rsid w:val="00335F03"/>
    <w:rsid w:val="00371980"/>
    <w:rsid w:val="00402427"/>
    <w:rsid w:val="00502224"/>
    <w:rsid w:val="00515153"/>
    <w:rsid w:val="00563D13"/>
    <w:rsid w:val="005B558E"/>
    <w:rsid w:val="006439D9"/>
    <w:rsid w:val="006956AB"/>
    <w:rsid w:val="0073037A"/>
    <w:rsid w:val="0077797E"/>
    <w:rsid w:val="007D1BA7"/>
    <w:rsid w:val="00840F72"/>
    <w:rsid w:val="00856C4D"/>
    <w:rsid w:val="00881E97"/>
    <w:rsid w:val="00884D07"/>
    <w:rsid w:val="008A1273"/>
    <w:rsid w:val="008A6D47"/>
    <w:rsid w:val="008C485B"/>
    <w:rsid w:val="008D5DD6"/>
    <w:rsid w:val="009D0F51"/>
    <w:rsid w:val="009D5655"/>
    <w:rsid w:val="00A27370"/>
    <w:rsid w:val="00A3740E"/>
    <w:rsid w:val="00A82D3A"/>
    <w:rsid w:val="00A8799E"/>
    <w:rsid w:val="00A93713"/>
    <w:rsid w:val="00AC0350"/>
    <w:rsid w:val="00AE1254"/>
    <w:rsid w:val="00AE527C"/>
    <w:rsid w:val="00B734F1"/>
    <w:rsid w:val="00B913FD"/>
    <w:rsid w:val="00BB11B6"/>
    <w:rsid w:val="00BC2C42"/>
    <w:rsid w:val="00BF3118"/>
    <w:rsid w:val="00C35B22"/>
    <w:rsid w:val="00C41624"/>
    <w:rsid w:val="00C627FE"/>
    <w:rsid w:val="00C66084"/>
    <w:rsid w:val="00CA2A93"/>
    <w:rsid w:val="00CB7E5E"/>
    <w:rsid w:val="00CC2BF2"/>
    <w:rsid w:val="00CE41DF"/>
    <w:rsid w:val="00D45656"/>
    <w:rsid w:val="00D462DD"/>
    <w:rsid w:val="00D61627"/>
    <w:rsid w:val="00DB0F74"/>
    <w:rsid w:val="00DC7261"/>
    <w:rsid w:val="00DD53E9"/>
    <w:rsid w:val="00DF56E1"/>
    <w:rsid w:val="00E55C23"/>
    <w:rsid w:val="00EF79C2"/>
    <w:rsid w:val="00F17BFA"/>
    <w:rsid w:val="00FA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CF926-CE68-49D5-B446-6935836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9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A53"/>
    <w:rPr>
      <w:sz w:val="20"/>
      <w:szCs w:val="20"/>
    </w:rPr>
  </w:style>
  <w:style w:type="paragraph" w:customStyle="1" w:styleId="SNDate">
    <w:name w:val="SNDate"/>
    <w:basedOn w:val="Normal"/>
    <w:next w:val="Normal"/>
    <w:link w:val="SNDateCar"/>
    <w:autoRedefine/>
    <w:qFormat/>
    <w:rsid w:val="00294A53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rsid w:val="00294A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uiPriority w:val="99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294A53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qFormat/>
    <w:rsid w:val="00294A53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next w:val="SNNORCentr"/>
    <w:autoRedefine/>
    <w:qFormat/>
    <w:rsid w:val="00294A53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next w:val="Normal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Timbre">
    <w:name w:val="SNTimbre"/>
    <w:basedOn w:val="Normal"/>
    <w:link w:val="SNTimbreCar"/>
    <w:autoRedefine/>
    <w:uiPriority w:val="99"/>
    <w:qFormat/>
    <w:rsid w:val="00294A53"/>
    <w:pPr>
      <w:widowControl w:val="0"/>
      <w:suppressAutoHyphens/>
      <w:snapToGrid w:val="0"/>
      <w:spacing w:before="120" w:after="0" w:line="240" w:lineRule="auto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rsid w:val="00294A53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uiPriority w:val="99"/>
    <w:qFormat/>
    <w:rsid w:val="00294A53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qFormat/>
    <w:rsid w:val="00294A53"/>
    <w:pPr>
      <w:spacing w:before="480" w:after="36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NArticle">
    <w:name w:val="SNArticle"/>
    <w:basedOn w:val="Normal"/>
    <w:autoRedefine/>
    <w:qFormat/>
    <w:rsid w:val="00294A53"/>
    <w:pPr>
      <w:spacing w:before="240" w:after="24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tandard">
    <w:name w:val="Standard"/>
    <w:rsid w:val="00294A53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94A5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rongEmphasis">
    <w:name w:val="Strong Emphasis"/>
    <w:rsid w:val="00294A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5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D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D1BA7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D9"/>
  </w:style>
  <w:style w:type="paragraph" w:styleId="Footer">
    <w:name w:val="footer"/>
    <w:basedOn w:val="Normal"/>
    <w:link w:val="Foot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91D4-79E2-4EE5-977A-730526D3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Liu, Lei</cp:lastModifiedBy>
  <cp:revision>6</cp:revision>
  <dcterms:created xsi:type="dcterms:W3CDTF">2020-12-01T11:31:00Z</dcterms:created>
  <dcterms:modified xsi:type="dcterms:W3CDTF">2020-12-22T02:35:00Z</dcterms:modified>
</cp:coreProperties>
</file>