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8EB1" w14:textId="7642D454" w:rsidR="00D8319D" w:rsidRPr="00D8319D" w:rsidRDefault="00D8319D" w:rsidP="00D8319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Διάταγμα αριθ. 2021-1110 της 23ης Αυγούστου 2021 σχετικά με τη διάθεση πληροφοριών που επιτρέπουν τον εντοπισμό ενδοκρινικών διαταρακτών σε ένα προϊόν</w:t>
      </w:r>
    </w:p>
    <w:p w14:paraId="04AB011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Ενδιαφερόμενοι: Οποιοδήποτε πρόσωπο διαθέτει στην αγορά προϊόντα προοριζόμενα για τους καταναλωτές, μετά την ολοκλήρωση της κατασκευής τους, που περιέχουν ουσίες για τις οποίες η εθνική υπηρεσία για την υγειονομική ασφάλεια των τροφίμων, του περιβάλλοντος και της εργασίας (ANSES) χαρακτηρίζει τις ιδιότητες που προκαλούν ενδοκρινική διαταραχή ως αποδεδειγμένες, εικαζόμενες ή ύποπτες.</w:t>
      </w:r>
      <w:r>
        <w:rPr>
          <w:rFonts w:ascii="Times New Roman" w:hAnsi="Times New Roman"/>
          <w:color w:val="000000"/>
          <w:sz w:val="27"/>
        </w:rPr>
        <w:br/>
        <w:t>Αντικείμενο: Με το άρθρο 1, το παρόν διάταγμα δημιουργεί τις απαραίτητες εθνικές απαιτήσεις προκειμένου να διατίθενται οι πληροφορίες που επιτρέπουν την ταυτοποίηση των ενδοκρινικών διαταρακτών σε ένα προϊόν.</w:t>
      </w:r>
      <w:r>
        <w:rPr>
          <w:rFonts w:ascii="Times New Roman" w:hAnsi="Times New Roman"/>
          <w:color w:val="000000"/>
          <w:sz w:val="27"/>
        </w:rPr>
        <w:br/>
        <w:t>Θέση σε ισχύ: το κείμενο τίθεται σε ισχύ την 1η Ιανουαρίου 2022.</w:t>
      </w:r>
      <w:r>
        <w:rPr>
          <w:rFonts w:ascii="Times New Roman" w:hAnsi="Times New Roman"/>
          <w:color w:val="000000"/>
          <w:sz w:val="27"/>
        </w:rPr>
        <w:br/>
        <w:t>Σημείωση: Ο νόμος αριθ. 2020-105 της 10ης Φεβρουαρίου 2020 σχετικά με την καταπολέμηση της σπατάλης και την κυκλική οικονομία (επονομαζόμενος νόμος AGEC) προβλέπει στο άρθρο 13-II την προσφυγή για ένα διάταγμα στο Συμβούλιο της Επικρατείας για τον καθορισμό των λεπτομερειών εφαρμογής σχετικά με τη διάθεση πληροφοριών που επιτρέπουν την ταυτοποίηση των ενδοκρινικών διαταρακτών σε ένα προϊόν που κυκλοφορεί στην αγορά. Ο στόχος ο οποίος υπενθυμίζεται στην αιτιολογική έκθεση προς στήριξη του εν λόγω άρθρου είναι «να διασφαλιστεί στους πολίτες διαφανής ενημέρωση για την παρουσία στα προϊόντα ουσιών με ιδιότητες πρόκλησης ενδοκρινικών διαταραχών. Τοιουτοτρόπως, προβλέπεται ότι κάθε πρόσωπο που θέτει σε κυκλοφορία προϊόντα που περιέχουν ουσίες με ιδιότητες πρόκλησης ενδοκρινικών διαταραχών, σύμφωνα με την ANSES δημοσιεύει τον κατάλογο αυτών των προϊόντων και των ουσιών που περιέχει το καθένα από αυτά. Αυτή η δημοσίευση θα έχει ελεύθερη διάρθρωση και θα επιτρέπει στις πλατφόρμες συνεργασίας να αντλούν πληροφορίες και έτσι να ενημερώνουν καλύτερα τον καταναλωτή.</w:t>
      </w:r>
      <w:r>
        <w:rPr>
          <w:rFonts w:ascii="Times New Roman" w:hAnsi="Times New Roman"/>
          <w:color w:val="000000"/>
          <w:sz w:val="27"/>
        </w:rPr>
        <w:br/>
        <w:t xml:space="preserve">«Η δεύτερη εθνική στρατηγική για τους ενδοκρινικούς διαταράκτες (SNPE2), περιλαμβάνει ένα άξονα για τη βελτίωση των πληροφοριών που παρέχονται στους καταναλωτές. H Anses έχει ήδη κινητοποιηθεί έντονα με την κατάρτιση καταλόγων ουσιών με ιδιότητες πρόκλησης ενδοκρινικών διαταραχών (δράση αριθ. 3 της SNPE2). Η παρούσα διάταξη εντάσσεται στη δυναμική αυτή και έχει ως στόχο να διασφαλίσει στους πολίτες διαφανή ενημέρωση για την παρουσία στα προϊόντα ουσιών με ιδιότητες πρόκλησης ενδοκρινικών διαταραχών, υπό την έννοια των ουσιών, μειγμάτων, αντικειμένων και τροφίμων. Τοιουτοτρόπως, για την εφαρμογή του άρθρου, θεωρούνται ως προϊόντα σύμφωνα με το άρθρο L. 5232-5 του κώδικα δημόσιας υγείας, οι ουσίες, τα μείγματα και τα αντικείμενα όπως ορίζονται στο άρθρο 3 του κανονισμού (ΕΕ) αριθ. 1907/2006, εκτός από τα φάρμακα, τα βιοκτόνα όπως ορίζονται στο άρθρο 3 του κανονισμού (ΕΕ) αριθ. 528/2012, τα φυτοπροστατευτικά προϊόντα κατά την έννοια του άρθρου 2 του κανονισμού (ΕΕ) αριθ. 1107/2009, τα ιατροτεχνολογικά προϊόντα όπως ορίζονται </w:t>
      </w:r>
      <w:r>
        <w:rPr>
          <w:rFonts w:ascii="Times New Roman" w:hAnsi="Times New Roman"/>
          <w:color w:val="000000"/>
          <w:sz w:val="27"/>
        </w:rPr>
        <w:lastRenderedPageBreak/>
        <w:t>στο άρθρο 2 του κανονισμού (ΕΕ) αριθ. 2017/745, τα υλικά και αντικείμενα, περιλαμβανομένων των ενεργών και των νοημόνων υλικών και αντικειμένων, που προορίζονται να έρθουν σε επαφή με τρόφιμα όπως ορίζονται στο άρθρο 2 του κανονισμού (ΕΕ) αριθ. 1935/2004, τα παιχνίδια σύμφωνα με το άρθρο 2 της οδηγίας 2009/48/ΕΚ, τα καλλυντικά προϊόντα όπως ορίζονται στο άρθρο 2 του κανονισμού (ΕΕ) αριθ. 1223/2009 και τα προϊόντα όπως ορίζονται στο άρθρο 2 της οδηγίας 2001/95/ΕΚ και τα τρόφιμα όπως ορίζονται στο άρθρο 2 του κανονισμού (ΕΕ) αριθ. 178/2002.</w:t>
      </w:r>
      <w:r>
        <w:rPr>
          <w:rFonts w:ascii="Times New Roman" w:hAnsi="Times New Roman"/>
          <w:color w:val="000000"/>
          <w:sz w:val="27"/>
        </w:rPr>
        <w:br/>
        <w:t>Η υποχρέωση υποβολής των διαθέσιμων πληροφοριών που επιτρέπουν τον προσδιορισμό των ενδοκρινικών διαταρακτών σε προϊόν που διατίθεται στην αγορά ισχύει το αργότερο έξι μήνες μετά τη δημοσίευση της απόφασης για τον καθορισμό του καταλόγου των ουσιών με προσδιορισμένες ιδιότητες ενδοκρινικής διαταραχής, ανάλογα με το επίπεδο επιστημονικών στοιχείων, αποδεδειγμένες, εικαζόμενες ή ύποπτες και του καταλόγου των κατηγοριών προϊόντων που παρουσιάζουν ιδιαίτερο κίνδυνο έκθεσης. Η υποχρέωση παροχής πληροφοριών σχετικά με την παρουσία ουσιών ενδοκρινικής διαταραχής που ταξινομούνται ως ύποπτες ισχύει μόνο για τις κατηγορίες προϊόντων που παρουσιάζουν ιδιαίτερο κίνδυνο έκθεσης που ορίζονται στην εν λόγω απόφαση.</w:t>
      </w:r>
      <w:r>
        <w:rPr>
          <w:rFonts w:ascii="Times New Roman" w:hAnsi="Times New Roman"/>
          <w:color w:val="000000"/>
          <w:sz w:val="27"/>
        </w:rPr>
        <w:br/>
        <w:t>Παραπομπές: ο κώδικας δημόσιας υγείας, όπως τροποποιείται με το παρόν διάταγμα, διατίθεται, με τη διατύπωση που προκύπτει από την παρούσα τροποποίηση, στον δικτυακό τόπο Légifrance (https://www.legifrance.fr).</w:t>
      </w:r>
    </w:p>
    <w:p w14:paraId="2F5541DF"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Ο πρωθυπουργός,</w:t>
      </w:r>
      <w:r>
        <w:rPr>
          <w:rFonts w:ascii="Times New Roman" w:hAnsi="Times New Roman"/>
          <w:color w:val="000000"/>
          <w:sz w:val="27"/>
        </w:rPr>
        <w:br/>
        <w:t>Βάσει της έκθεσης της υπουργού Οικολογικής Μετάβασης,</w:t>
      </w:r>
      <w:r>
        <w:rPr>
          <w:rFonts w:ascii="Times New Roman" w:hAnsi="Times New Roman"/>
          <w:color w:val="000000"/>
          <w:sz w:val="27"/>
        </w:rPr>
        <w:br/>
        <w:t>Έχοντας υπόψη τον κανονισμό (ΕΚ) αριθ. 178/2002 του Ευρωπαϊκού Κοινοβουλίου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των τροφίμων·</w:t>
      </w:r>
      <w:r>
        <w:rPr>
          <w:rFonts w:ascii="Times New Roman" w:hAnsi="Times New Roman"/>
          <w:color w:val="000000"/>
          <w:sz w:val="27"/>
        </w:rPr>
        <w:br/>
        <w:t>Έχοντας υπόψη τον κανονισμό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1999/45/EΚ και για την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91/155/ΕΟΚ, 93/67/ΕΟΚ, 93/105/ΕΚ και 2000/21/ΕΚ της Επιτροπής·</w:t>
      </w:r>
      <w:r>
        <w:rPr>
          <w:rFonts w:ascii="Times New Roman" w:hAnsi="Times New Roman"/>
          <w:color w:val="000000"/>
          <w:sz w:val="27"/>
        </w:rPr>
        <w:br/>
        <w:t>Έχοντας υπόψη τον κανονισμό (ΕΕ) 2017/745 του Ευρωπαϊκού Κοινοβουλίου και του Συμβουλίου, της 5ης Απριλίου 2017, για τα ιατροτεχνολογικά προϊόντα, για την τροποποίηση της οδηγίας 2001/83/EΚ, του κανονισμού (EΚ) αριθ. 178/2002 και του κανονισμού (EΚ) αριθ. 1223/2009 και για την κατάργηση των οδηγιών του Συμβουλίου 90/385/ΕΟΚ και 93/42/ΕΟΚ·</w:t>
      </w:r>
      <w:r>
        <w:rPr>
          <w:rFonts w:ascii="Times New Roman" w:hAnsi="Times New Roman"/>
          <w:color w:val="000000"/>
          <w:sz w:val="27"/>
        </w:rPr>
        <w:br/>
        <w:t xml:space="preserve">Έχοντας υπόψη την οδηγία (ΕΕ) 2015/1535 του Ευρωπαϊκού Κοινοβουλίου και </w:t>
      </w:r>
      <w:r>
        <w:rPr>
          <w:rFonts w:ascii="Times New Roman" w:hAnsi="Times New Roman"/>
          <w:color w:val="000000"/>
          <w:sz w:val="27"/>
        </w:rPr>
        <w:lastRenderedPageBreak/>
        <w:t>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και ιδίως την κοινοποίηση αριθ. 2020/832/F·</w:t>
      </w:r>
      <w:r>
        <w:rPr>
          <w:rFonts w:ascii="Times New Roman" w:hAnsi="Times New Roman"/>
          <w:color w:val="000000"/>
          <w:sz w:val="27"/>
        </w:rPr>
        <w:br/>
        <w:t>Έχοντας υπόψη τον περιβαλλοντικό κώδικα και κυρίως το άρθρο του L. 541-9-1·</w:t>
      </w:r>
      <w:r>
        <w:rPr>
          <w:rFonts w:ascii="Times New Roman" w:hAnsi="Times New Roman"/>
          <w:color w:val="000000"/>
          <w:sz w:val="27"/>
        </w:rPr>
        <w:br/>
        <w:t>Έχοντας υπόψη τον ποινικό κώδικα, ιδίως το άρθρο R. 610-1·</w:t>
      </w:r>
      <w:r>
        <w:rPr>
          <w:rFonts w:ascii="Times New Roman" w:hAnsi="Times New Roman"/>
          <w:color w:val="000000"/>
          <w:sz w:val="27"/>
        </w:rPr>
        <w:br/>
        <w:t>Έχοντας υπόψη τον κώδικα δημόσιας υγείας και ιδίως το άρθρο L. 5232-5·</w:t>
      </w:r>
      <w:r>
        <w:rPr>
          <w:rFonts w:ascii="Times New Roman" w:hAnsi="Times New Roman"/>
          <w:color w:val="000000"/>
          <w:sz w:val="27"/>
        </w:rPr>
        <w:br/>
        <w:t>Έχοντας υπόψη τον νόμο αριθ. 2020-105, της 10ης Φεβρουαρίου 2020, σχετικά με την καταπολέμηση της σπατάλης και την κυκλική οικονομία και ειδικότερα τα άρθρα 13 και 130·</w:t>
      </w:r>
      <w:r>
        <w:rPr>
          <w:rFonts w:ascii="Times New Roman" w:hAnsi="Times New Roman"/>
          <w:color w:val="000000"/>
          <w:sz w:val="27"/>
        </w:rPr>
        <w:br/>
        <w:t>Έχοντας υπόψη την κοινοποίηση αριθ. 2020/0832/F που εστάλη στην Ευρωπαϊκή Επιτροπή στις 21 Δεκεμβρίου 2020 και τις απαντήσεις της 25ης Ιανουαρίου και της 22ας Μαρτίου 2021·</w:t>
      </w:r>
      <w:r>
        <w:rPr>
          <w:rFonts w:ascii="Times New Roman" w:hAnsi="Times New Roman"/>
          <w:color w:val="000000"/>
          <w:sz w:val="27"/>
        </w:rPr>
        <w:br/>
        <w:t>Κατόπιν γνωμοδότησης του Συμβουλίου της Επικρατείας (κοινωνικό τμήμα),</w:t>
      </w:r>
      <w:r>
        <w:rPr>
          <w:rFonts w:ascii="Times New Roman" w:hAnsi="Times New Roman"/>
          <w:color w:val="000000"/>
          <w:sz w:val="27"/>
        </w:rPr>
        <w:br/>
        <w:t>Αποφασίζει:</w:t>
      </w:r>
    </w:p>
    <w:p w14:paraId="74CCC72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Άρθρο 1</w:t>
      </w:r>
    </w:p>
    <w:p w14:paraId="6F01E7E8"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Μετά από το τμήμα 2 του κεφαλαίου ΙΙ του τίτλου ΙΙΙ του βιβλίου ΙΙ του μέρους 5 του κώδικα δημόσιας υγείας, προστίθεται το τμήμα 3 το οποίο συντάσσεται ως εξής:</w:t>
      </w:r>
    </w:p>
    <w:p w14:paraId="372A921D"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«Τμήμα 3</w:t>
      </w:r>
      <w:r>
        <w:rPr>
          <w:rFonts w:ascii="Times New Roman" w:hAnsi="Times New Roman"/>
          <w:color w:val="000000"/>
          <w:sz w:val="27"/>
        </w:rPr>
        <w:br/>
        <w:t>«Πληροφορίες σχετικά με τους ενδοκρινικούς διαταράκτες στα προϊόντα</w:t>
      </w:r>
    </w:p>
    <w:p w14:paraId="77342C7D"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«Υποτμήμα 1</w:t>
      </w:r>
      <w:r>
        <w:rPr>
          <w:rFonts w:ascii="Times New Roman" w:hAnsi="Times New Roman"/>
          <w:color w:val="000000"/>
          <w:sz w:val="27"/>
        </w:rPr>
        <w:br/>
        <w:t>«Ορισμός του καταλόγου των ουσιών που παρουσιάζουν ιδιότητες ενδοκρινικής διαταραχής αποδεδειγμένες, εικαζόμενες ή ύποπτες και των κατηγοριών προϊόντων που παρουσιάζουν ιδιαίτερο κίνδυνο έκθεσης.</w:t>
      </w:r>
    </w:p>
    <w:p w14:paraId="279B9BF7"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«Άρθρο R.5232-19.-Για την εφαρμογή του παρόντος τμήματος, τα τρόφιμα όπως ορίζονται στο άρθρο 2 του κανονισμού (ΕΚ) αριθ. 178/2002 και οι ουσίες, τα μείγματα και τα αντικείμενα όπως ορίζονται στο άρθρο 3 του κανονισμού (ΕΕ) αριθ. 1907/2006, εκτός από τα φάρμακα και τα τρόφιμα, θεωρούνται ως προϊόντα σύμφωνα με το άρθρο L. 5232-5.</w:t>
      </w:r>
      <w:r>
        <w:rPr>
          <w:rFonts w:ascii="Times New Roman" w:hAnsi="Times New Roman"/>
          <w:color w:val="000000"/>
          <w:sz w:val="27"/>
        </w:rPr>
        <w:br/>
        <w:t>«Με κοινή απόφαση των υπουργών Υγείας και Περιβάλλοντος, μετά από διαβούλευση με τον γαλλικό οργανισμό για την υγεία των τροφίμων, το περιβάλλον και την εργασία και την ασφάλεια, καθορίζονται:</w:t>
      </w:r>
      <w:r>
        <w:rPr>
          <w:rFonts w:ascii="Times New Roman" w:hAnsi="Times New Roman"/>
          <w:color w:val="000000"/>
          <w:sz w:val="27"/>
        </w:rPr>
        <w:br/>
        <w:t xml:space="preserve">«1. Ο κατάλογος των ουσιών που διαθέτουν ιδιότητες πρόκλησης ενδοκρινικής διαταραχής, οι οποίες αναφέρονται στην παράγραφο I του άρθρου L. 5232-5, διαιρούμενες σε δύο κατηγορίες, αποδεδειγμένες και εικαζόμενες, ανάλογα με </w:t>
      </w:r>
      <w:r>
        <w:rPr>
          <w:rFonts w:ascii="Times New Roman" w:hAnsi="Times New Roman"/>
          <w:color w:val="000000"/>
          <w:sz w:val="27"/>
        </w:rPr>
        <w:lastRenderedPageBreak/>
        <w:t>το επίπεδο των επιστημονικών στοιχείων.</w:t>
      </w:r>
      <w:r>
        <w:rPr>
          <w:rFonts w:ascii="Times New Roman" w:hAnsi="Times New Roman"/>
          <w:color w:val="000000"/>
          <w:sz w:val="27"/>
        </w:rPr>
        <w:br/>
        <w:t>«2. Ο κατάλογος των ουσιών που διαθέτουν ιδιότητες που είναι ύποπτες για πρόκληση ενδοκρινικής διαταραχής, οι οποίες αναφέρονται στην παράγραφο IΙ του άρθρου L.5232-5.</w:t>
      </w:r>
      <w:r>
        <w:rPr>
          <w:rFonts w:ascii="Times New Roman" w:hAnsi="Times New Roman"/>
          <w:color w:val="000000"/>
          <w:sz w:val="27"/>
        </w:rPr>
        <w:br/>
        <w:t>«3. Οι κατηγορίες των προϊόντων που παρουσιάζουν ειδικό κίνδυνο έκθεσης, που αναφέρονται στην παράγραφο II του άρθρου L. 5232-5, όσον αφορά τους εκτεθειμένους πληθυσμούς, τις συνθήκες χρήσης και την απόρριψη αυτών των προϊόντων καθώς και άλλα ειδικά κριτήρια.</w:t>
      </w:r>
    </w:p>
    <w:p w14:paraId="17BB2395"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«Υποτμήμα 2</w:t>
      </w:r>
      <w:r>
        <w:rPr>
          <w:rFonts w:ascii="Times New Roman" w:hAnsi="Times New Roman"/>
          <w:color w:val="000000"/>
          <w:sz w:val="27"/>
        </w:rPr>
        <w:br/>
        <w:t>«Διάθεση των πληροφοριών στο κοινό</w:t>
      </w:r>
    </w:p>
    <w:p w14:paraId="0150BE3C" w14:textId="091252B1"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«Άρθρο R.5232-20 - I. –Οι πληροφορίες που προβλέπονται στην παράγραφο I και II του άρθρου L. 5232-5 διατίθενται σε ηλεκτρονική μορφή, προσβάσιμη δωρεάν και επαναχρησιμοποιήσιμη κατά τρόπο ώστε να επιτρέπει την ομαδοποίηση Για τον σκοπό αυτό, κάθε πρόσωπο που διαθέτει στην αγορά προϊόντα κατά την έννοια του άρθρου L. 5232-5 καθιστά διαθέσιμες τις πληροφορίες είτε σε ειδική ιστοσελίδα μέσω διεπαφών προγραμματισμού εφαρμογών είτε μέσω αίτησης που ορίζεται με κοινή απόφαση των αρμόδιων για την υγεία και το περιβάλλον υπουργών.</w:t>
      </w:r>
      <w:r>
        <w:rPr>
          <w:rFonts w:ascii="Times New Roman" w:hAnsi="Times New Roman"/>
          <w:color w:val="000000"/>
          <w:sz w:val="27"/>
        </w:rPr>
        <w:br/>
        <w:t>«Εάν το οικείο προϊόν υπόκειται επίσης σε υποχρέωση ενημέρωσης των καταναλωτών δυνάμει του άρθρου L. 541-9-1 του κώδικα περιβάλλοντος, οι πληροφορίες που προβλέπονται στο άρθρο L. 5332-5 του παρόντος κώδικα, παράγραφος I και II, πρέπει να διατίθενται στα ίδια υποθέματα με εκείνα που προβλέπονται για την παροχή πληροφοριών σχετικά με τις περιβαλλοντικές ιδιότητες και τα χαρακτηριστικά των εν λόγω προϊόντων ή κατηγοριών προϊόντων που ορίζονται σύμφωνα με το άρθρο L. 541-9-1 του κώδικα περιβάλλοντος.</w:t>
      </w:r>
      <w:r>
        <w:rPr>
          <w:rFonts w:ascii="Times New Roman" w:hAnsi="Times New Roman"/>
          <w:color w:val="000000"/>
          <w:sz w:val="27"/>
        </w:rPr>
        <w:br/>
        <w:t>«Ένα κοινό διάταγμα του υπουργού που είναι αρμόδιος για την Υγεία και του υπουργού Περιβάλλοντος διασαφηνίζει τις λεπτομέρειες του περιεχόμενου και τους όρους παρουσίασης των πληροφοριών που προβλέπονται στην παράγραφο Ι και ΙΙ του άρθρου L. 5232-5 του εν λόγω κώδικα.</w:t>
      </w:r>
      <w:r>
        <w:rPr>
          <w:rFonts w:ascii="Times New Roman" w:hAnsi="Times New Roman"/>
          <w:color w:val="000000"/>
          <w:sz w:val="27"/>
        </w:rPr>
        <w:br/>
        <w:t>«Η διάθεση στο κοινό των πληροφοριών που προβλέπονται στην παράγραφο I και II του άρθρου L. 5232-5, πραγματοποιείται για κάθε προϊόν το αργότερο έξι μήνες μετά τη δημοσίευση του διατάγματος που αναφέρεται στο άρθρο R. 5232-19 σύμφωνα με το οποίο εγγράφεται στον κατάλογο.»</w:t>
      </w:r>
    </w:p>
    <w:p w14:paraId="119EB2A1"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«Υποτμήμα 3</w:t>
      </w:r>
      <w:r>
        <w:rPr>
          <w:rFonts w:ascii="Times New Roman" w:hAnsi="Times New Roman"/>
          <w:color w:val="000000"/>
          <w:sz w:val="27"/>
        </w:rPr>
        <w:br/>
        <w:t>«Ποινικές κυρώσεις</w:t>
      </w:r>
    </w:p>
    <w:p w14:paraId="10379220"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«Άρθρο R. 5232-21. - Η μη διάθεση στο κοινό των πληροφοριών που </w:t>
      </w:r>
      <w:r>
        <w:rPr>
          <w:rFonts w:ascii="Times New Roman" w:hAnsi="Times New Roman"/>
          <w:color w:val="000000"/>
          <w:sz w:val="27"/>
        </w:rPr>
        <w:lastRenderedPageBreak/>
        <w:t>ορίζονται στην παράγραφο Ι και ΙΙ του άρθρου L. 5232-5 σύμφωνα με τους όρους του άρθρου R. 5232-20, τιμωρείται με το πρόστιμο που προβλέπεται για τις παραβάσεις πέμπτης κατηγορίας.</w:t>
      </w:r>
      <w:r>
        <w:rPr>
          <w:rFonts w:ascii="Times New Roman" w:hAnsi="Times New Roman"/>
          <w:color w:val="000000"/>
          <w:sz w:val="27"/>
        </w:rPr>
        <w:br/>
        <w:t>«Η μη τήρηση της προθεσμίας που προβλέπεται στο άρθρο R. 5232-20 τιμωρείται με το πρόστιμο που προβλέπεται για τις παραβάσεις της πέμπτης κατηγορίας.</w:t>
      </w:r>
    </w:p>
    <w:p w14:paraId="3EED871E" w14:textId="1EFB061A"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«Άρθρο R.5232-22 - Για την υποτροπή των παραβάσεων που προβλέπονται στο άρθρο R.5232-21 καθορίζονται κυρώσεις σύμφωνα με τα άρθρα 132-11 και 132-15 του ποινικού κώδικα.»</w:t>
      </w:r>
    </w:p>
    <w:p w14:paraId="39654F8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Άρθρο 2</w:t>
      </w:r>
    </w:p>
    <w:p w14:paraId="7EA96E25"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Το παρόν διάταγμα τίθεται σε ισχύ την 1η Ιανουαρίου 2022.</w:t>
      </w:r>
    </w:p>
    <w:p w14:paraId="44F37BCD"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Άρθρο 3</w:t>
      </w:r>
    </w:p>
    <w:p w14:paraId="4BE132C6"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Η υπουργός Οικολογικής Μετάβασης, ο σφραγιδοφύλακας, υπουργός Δικαιοσύνης, ο υπουργός Αλληλεγγύης και Υγείας είναι επιφορτισμένοι, ο καθένας στον τομέα της αρμοδιότητάς του, με την εκτέλεση του παρόντος διατάγματος, το οποίο θα δημοσιευθεί στην Επίσημη Εφημερίδα της Γαλλικής Δημοκρατίας.</w:t>
      </w:r>
    </w:p>
    <w:p w14:paraId="1965C4D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Συντάχθηκε στις 23 Αυγούστου 2021.</w:t>
      </w:r>
    </w:p>
    <w:p w14:paraId="703CA5E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Jean Castex</w:t>
      </w:r>
      <w:r>
        <w:rPr>
          <w:rFonts w:ascii="Times New Roman" w:hAnsi="Times New Roman"/>
          <w:color w:val="000000"/>
          <w:sz w:val="27"/>
        </w:rPr>
        <w:br/>
        <w:t>Για τον πρωθυπουργό και κατ’ εντολή του:</w:t>
      </w:r>
    </w:p>
    <w:p w14:paraId="61B53AD3"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Η υπουργός Οικολογικής Μετάβασης,</w:t>
      </w:r>
      <w:r>
        <w:rPr>
          <w:rFonts w:ascii="Times New Roman" w:hAnsi="Times New Roman"/>
          <w:color w:val="000000"/>
          <w:sz w:val="27"/>
        </w:rPr>
        <w:br/>
        <w:t>Barbara POMPILI</w:t>
      </w:r>
    </w:p>
    <w:p w14:paraId="009E9B9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Ο σφραγιδοφύλακας, υπουργός Δικαιοσύνης,</w:t>
      </w:r>
      <w:r>
        <w:rPr>
          <w:rFonts w:ascii="Times New Roman" w:hAnsi="Times New Roman"/>
          <w:color w:val="000000"/>
          <w:sz w:val="27"/>
        </w:rPr>
        <w:br/>
        <w:t>Éric Dupond-Moretti</w:t>
      </w:r>
    </w:p>
    <w:p w14:paraId="5FC337F5" w14:textId="1F25D6F5"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Ο υπουργός Αλληλεγγύης και Υγείας</w:t>
      </w:r>
      <w:r w:rsidR="001F3625">
        <w:rPr>
          <w:rFonts w:ascii="Times New Roman" w:hAnsi="Times New Roman"/>
          <w:color w:val="000000"/>
          <w:sz w:val="27"/>
          <w:lang w:val="hr-HR"/>
        </w:rPr>
        <w:t>,</w:t>
      </w:r>
      <w:r>
        <w:rPr>
          <w:rFonts w:ascii="Times New Roman" w:hAnsi="Times New Roman"/>
          <w:color w:val="000000"/>
          <w:sz w:val="27"/>
        </w:rPr>
        <w:br/>
        <w:t>Olivier VERAN</w:t>
      </w:r>
    </w:p>
    <w:p w14:paraId="5F469EE0" w14:textId="77777777" w:rsidR="00B026BB" w:rsidRDefault="00B026BB"/>
    <w:sectPr w:rsidR="00B02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9D"/>
    <w:rsid w:val="001F3625"/>
    <w:rsid w:val="00840AF1"/>
    <w:rsid w:val="00B026BB"/>
    <w:rsid w:val="00D831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ADE9"/>
  <w15:chartTrackingRefBased/>
  <w15:docId w15:val="{43535567-19CF-442F-AF98-2A79B775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1623</Words>
  <Characters>9561</Characters>
  <Application>Microsoft Office Word</Application>
  <DocSecurity>0</DocSecurity>
  <Lines>203</Lines>
  <Paragraphs>25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2022-02-11T12:02:00Z</dcterms:created>
  <dcterms:modified xsi:type="dcterms:W3CDTF">2022-02-11T12:02:00Z</dcterms:modified>
</cp:coreProperties>
</file>