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8EB1" w14:textId="7642D454"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Decreto n. 2021-1110 del 23 agosto 2021 relativo alla messa a disposizione delle informazioni che permettono di identificare gli interferenti endocrini in un prodotto</w:t>
      </w:r>
    </w:p>
    <w:p w14:paraId="04AB011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Categorie di persone interessate: chiunque immetta sul mercato prodotti destinati ai consumatori che, al termine della relativa fabbricazione, contengono sostanze le cui proprietà sono qualificate dall'Agenzia nazionale per la sicurezza sanitaria dell'alimentazione, dell'ambiente e del lavoro (ANSES) quali proprietà dannose (di interferenza) per il sistema endocrino accertate, presunte o sospette Oggetto: mediante l'articolo 1, il presente decreto istituisce le disposizioni nazionali necessarie per rendere disponibili le informazioni che permettono l'identificazione degli interferenti endocrini in un prodotto. </w:t>
      </w:r>
      <w:r>
        <w:rPr>
          <w:rFonts w:ascii="Times New Roman" w:hAnsi="Times New Roman"/>
          <w:color w:val="000000"/>
          <w:sz w:val="27"/>
        </w:rPr>
        <w:br/>
        <w:t xml:space="preserve">Entrata in vigore: il decreto entra in vigore </w:t>
      </w:r>
      <w:proofErr w:type="gramStart"/>
      <w:r>
        <w:rPr>
          <w:rFonts w:ascii="Times New Roman" w:hAnsi="Times New Roman"/>
          <w:color w:val="000000"/>
          <w:sz w:val="27"/>
        </w:rPr>
        <w:t>l'1 gennaio</w:t>
      </w:r>
      <w:proofErr w:type="gramEnd"/>
      <w:r>
        <w:rPr>
          <w:rFonts w:ascii="Times New Roman" w:hAnsi="Times New Roman"/>
          <w:color w:val="000000"/>
          <w:sz w:val="27"/>
        </w:rPr>
        <w:t xml:space="preserve"> 2022. </w:t>
      </w:r>
      <w:r>
        <w:rPr>
          <w:rFonts w:ascii="Times New Roman" w:hAnsi="Times New Roman"/>
          <w:color w:val="000000"/>
          <w:sz w:val="27"/>
        </w:rPr>
        <w:br/>
        <w:t>Nota informativa: la legge n. 2020-105 del 10 febbraio 2020 relativa alla lotta agli sprechi e all'economia circolare, "legge AGEC", prevede all’articolo 13-II il ricorso ad un decreto in seno al Consiglio di Stato per fissare le modalità di applicazione della messa a disposizione delle informazioni che permettono di identificare gli interferenti endocrini in un prodotto immesso sul mercato.  L'obiettivo ricordato nella relazione di motivazione a sostegno di questo articolo è "garantire ai cittadini un'informazione trasparente sulla presenza di sostanze con proprietà dannose per il sistema endocrino nei prodotti. Pertanto, prevede che chiunque immetta sul mercato prodotti contenenti sostanze con proprietà dannose per il sistema endocrino, secondo l'ANSES, pubblichi l'elenco di tali prodotti e delle sostanze contenute in ciascuno di essi. Tale pubblicazione avverrà in un formato aperto che consenta a delle piattaforme collaborative di utilizzare tali informazioni e di informare meglio il consumatore.</w:t>
      </w:r>
      <w:r>
        <w:rPr>
          <w:rFonts w:ascii="Times New Roman" w:hAnsi="Times New Roman"/>
          <w:color w:val="000000"/>
          <w:sz w:val="27"/>
        </w:rPr>
        <w:br/>
        <w:t xml:space="preserve">"La seconda strategia nazionale sugli interferenti endocrini (SNPE2) include un focus sul miglioramento delle informazioni dei consumatori. L'ANSES è già fortemente mobilitata attraverso la creazione di elenchi di sostanze con proprietà dannose per il sistema endocrino (azione n. 3 della SNPE2). La presente disposizione si inserisce in tale dinamica e mira a garantire ai cittadini un'informazione trasparente sulla presenza di sostanze con proprietà dannose per il sistema endocrino nei prodotti, in termini di sostanze, miscele, articoli e prodotti alimentari. Pertanto, ai fini dell’applicazione dell’articolo, sono considerati prodotti ai sensi dell'articolo L. 5232-5 del codice della sanità pubblica le sostanze, le miscele e gli articoli definiti all’articolo 3 del regolamento (UE) n. 1907/2006 - ad eccezione dei medicinali - i biocidi quali definiti all’articolo 3 del regolamento (UE) n. 528/2012, i prodotti fitosanitari quali definiti all’articolo 2 del regolamento (CE) n. 1107/2009, i dispositivi medici quali definiti all’articolo 2 del regolamento (UE) n. 2017/745, i materiali e gli oggetti, compresi i materiali e gli oggetti attivi e intelligenti destinati a venire a contatto con i prodotti alimentari quali definiti all’articolo 2 del regolamento (UE) n. 1935/2004, i giocattoli quali definiti all’articolo 2 della direttiva 2009/48/CE, i prodotti cosmetici quali definiti </w:t>
      </w:r>
      <w:r>
        <w:rPr>
          <w:rFonts w:ascii="Times New Roman" w:hAnsi="Times New Roman"/>
          <w:color w:val="000000"/>
          <w:sz w:val="27"/>
        </w:rPr>
        <w:lastRenderedPageBreak/>
        <w:t>all’articolo 2 del regolamento (CE) n. 1223/2009 e i prodotti quali definiti all’articolo 2 della direttiva 2001/95/CE e i prodotti alimentari quali definiti all’articolo 2 del regolamento (CE) n. 178/2002.</w:t>
      </w:r>
      <w:r>
        <w:rPr>
          <w:rFonts w:ascii="Times New Roman" w:hAnsi="Times New Roman"/>
          <w:color w:val="000000"/>
          <w:sz w:val="27"/>
        </w:rPr>
        <w:br/>
        <w:t>L'obbligo di rendere disponibili le informazioni che identificano gli interferenti endocrini in un prodotto immesso sul mercato si applica entro sei mesi dalla pubblicazione dell'ordinanza che elenca le sostanze con proprietà qualificate di interferenza endocrina, secondo il livello di evidenza scientifica delle persone verificate, presunte o sospette e l'elenco delle categorie di prodotti che presentano un particolare rischio di esposizione. L'obbligo di fornire informazioni sulla presenza di sostanze che alterano il sistema endocrino classificate come sospette si applica solo alle categorie di prodotti con un particolare rischio di esposizione stabilite in tale ordinanza.</w:t>
      </w:r>
      <w:r>
        <w:rPr>
          <w:rFonts w:ascii="Times New Roman" w:hAnsi="Times New Roman"/>
          <w:color w:val="000000"/>
          <w:sz w:val="27"/>
        </w:rPr>
        <w:br/>
        <w:t xml:space="preserve">Riferimenti: il codice di salute pubblica modificato per decreto questo può essere consultato nella sua versione emendata sul sito </w:t>
      </w:r>
      <w:proofErr w:type="spellStart"/>
      <w:r>
        <w:rPr>
          <w:rFonts w:ascii="Times New Roman" w:hAnsi="Times New Roman"/>
          <w:color w:val="000000"/>
          <w:sz w:val="27"/>
        </w:rPr>
        <w:t>Légifrance</w:t>
      </w:r>
      <w:proofErr w:type="spellEnd"/>
      <w:r>
        <w:rPr>
          <w:rFonts w:ascii="Times New Roman" w:hAnsi="Times New Roman"/>
          <w:color w:val="000000"/>
          <w:sz w:val="27"/>
        </w:rPr>
        <w:t xml:space="preserve"> (http://www.legifrance.gouv.fr).</w:t>
      </w:r>
    </w:p>
    <w:p w14:paraId="2F5541DF"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Il primo ministro,</w:t>
      </w:r>
      <w:r>
        <w:rPr>
          <w:rFonts w:ascii="Times New Roman" w:hAnsi="Times New Roman"/>
          <w:color w:val="000000"/>
          <w:sz w:val="27"/>
        </w:rPr>
        <w:br/>
        <w:t>in base alla relazione della ministra della Transizione ecologica,</w:t>
      </w:r>
      <w:r>
        <w:rPr>
          <w:rFonts w:ascii="Times New Roman" w:hAnsi="Times New Roman"/>
          <w:color w:val="000000"/>
          <w:sz w:val="27"/>
        </w:rPr>
        <w:br/>
        <w:t>visto il regolamento (CE) n. 178/2002 del Parlamento europeo e del Consiglio del 28 gennaio 2002 che stabilisce i principi e i requisiti generali della legislazione alimentare, istituisce l'Autorità europea per la sicurezza alimentare e fissa procedure nel campo della sicurezza alimentare;</w:t>
      </w:r>
      <w:r>
        <w:rPr>
          <w:rFonts w:ascii="Times New Roman" w:hAnsi="Times New Roman"/>
          <w:color w:val="000000"/>
          <w:sz w:val="27"/>
        </w:rPr>
        <w:br/>
        <w:t>visto il regolamento (CE) n. 1907/2006 del Parlamento europeo e del Consiglio, del 18 dicembre 2006, concernente la registrazione, la valutazione, l'autorizzazione e la restrizione delle sostanze chimiche (REACH), che istituisce un'Agenzia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w:t>
      </w:r>
      <w:r>
        <w:rPr>
          <w:rFonts w:ascii="Times New Roman" w:hAnsi="Times New Roman"/>
          <w:color w:val="000000"/>
          <w:sz w:val="27"/>
        </w:rPr>
        <w:br/>
        <w:t>visto il regolamento (UE) n. 2017/745 del Parlamento europeo e del Consiglio, del 5 aprile 2017, relativo ai dispositivi medici, che modifica la direttiva 2001/83/CE, il regolamento (CE) n. 178/2002 e il regolamento (CE) n. 1223/2009 e che abroga le direttive 90/385/CEE e 93/42/CEE del Consiglio;</w:t>
      </w:r>
      <w:r>
        <w:rPr>
          <w:rFonts w:ascii="Times New Roman" w:hAnsi="Times New Roman"/>
          <w:color w:val="000000"/>
          <w:sz w:val="27"/>
        </w:rPr>
        <w:br/>
        <w:t>vista la direttiva (UE) 2015/1535 del Parlamento europeo e del Consiglio, del 9 settembre 2015, che prevede una procedura d'informazione nel settore delle regolamentazioni tecniche e delle regole relative ai servizi della società dell'informazione e, in particolare, la notifica n. 2020/832/F;</w:t>
      </w:r>
      <w:r>
        <w:rPr>
          <w:rFonts w:ascii="Times New Roman" w:hAnsi="Times New Roman"/>
          <w:color w:val="000000"/>
          <w:sz w:val="27"/>
        </w:rPr>
        <w:br/>
        <w:t>visto il codice ambientale, in particolare l'articolo L. 541-9-1 dello stesso;</w:t>
      </w:r>
      <w:r>
        <w:rPr>
          <w:rFonts w:ascii="Times New Roman" w:hAnsi="Times New Roman"/>
          <w:color w:val="000000"/>
          <w:sz w:val="27"/>
        </w:rPr>
        <w:br/>
        <w:t>visto il codice penale, in particolare l'articolo R. 610-1 dello stesso;</w:t>
      </w:r>
      <w:r>
        <w:rPr>
          <w:rFonts w:ascii="Times New Roman" w:hAnsi="Times New Roman"/>
          <w:color w:val="000000"/>
          <w:sz w:val="27"/>
        </w:rPr>
        <w:br/>
        <w:t>visto il codice della sanità pubblica, in particolare l'articolo L. 5232-5;</w:t>
      </w:r>
      <w:r>
        <w:rPr>
          <w:rFonts w:ascii="Times New Roman" w:hAnsi="Times New Roman"/>
          <w:color w:val="000000"/>
          <w:sz w:val="27"/>
        </w:rPr>
        <w:br/>
        <w:t>vista la legge n. 2020-105, del 10 febbraio 2020, relativa alla lotta agli sprechi e all'economia circolare, in particolare gli articoli 13 e 130;</w:t>
      </w:r>
      <w:r>
        <w:rPr>
          <w:rFonts w:ascii="Times New Roman" w:hAnsi="Times New Roman"/>
          <w:color w:val="000000"/>
          <w:sz w:val="27"/>
        </w:rPr>
        <w:br/>
        <w:t xml:space="preserve">vista la notifica n. 2020/0832/F inviata alla Commissione europea il 21 dicembre </w:t>
      </w:r>
      <w:r>
        <w:rPr>
          <w:rFonts w:ascii="Times New Roman" w:hAnsi="Times New Roman"/>
          <w:color w:val="000000"/>
          <w:sz w:val="27"/>
        </w:rPr>
        <w:lastRenderedPageBreak/>
        <w:t>2020 e le sue risposte del 25 gennaio e del 22 marzo 2021;</w:t>
      </w:r>
      <w:r>
        <w:rPr>
          <w:rFonts w:ascii="Times New Roman" w:hAnsi="Times New Roman"/>
          <w:color w:val="000000"/>
          <w:sz w:val="27"/>
        </w:rPr>
        <w:br/>
        <w:t>sentito il Consiglio di Stato (sezione sociale),</w:t>
      </w:r>
      <w:r>
        <w:rPr>
          <w:rFonts w:ascii="Times New Roman" w:hAnsi="Times New Roman"/>
          <w:color w:val="000000"/>
          <w:sz w:val="27"/>
        </w:rPr>
        <w:br/>
        <w:t>con la presente decreta:</w:t>
      </w:r>
    </w:p>
    <w:p w14:paraId="74CCC72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Articolo 1</w:t>
      </w:r>
    </w:p>
    <w:p w14:paraId="6F01E7E8"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Dopo la sezione 2 del capitolo II del titolo III del libro II della parte 5 del codice di sanità pubblica viene inserita una sezione 3, che recita come segue:</w:t>
      </w:r>
    </w:p>
    <w:p w14:paraId="372A921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"Sezione 3</w:t>
      </w:r>
      <w:r>
        <w:rPr>
          <w:rFonts w:ascii="Times New Roman" w:hAnsi="Times New Roman"/>
          <w:color w:val="000000"/>
          <w:sz w:val="27"/>
        </w:rPr>
        <w:br/>
        <w:t>"Informazioni sugli interferenti endocrini nei prodotti</w:t>
      </w:r>
    </w:p>
    <w:p w14:paraId="77342C7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"Sottosezione 1</w:t>
      </w:r>
      <w:r>
        <w:rPr>
          <w:rFonts w:ascii="Times New Roman" w:hAnsi="Times New Roman"/>
          <w:color w:val="000000"/>
          <w:sz w:val="27"/>
        </w:rPr>
        <w:br/>
        <w:t>"Definizione dell'elenco delle sostanze che presentano proprietà dannose per il sistema endocrino accertate, presunte o sospette</w:t>
      </w:r>
    </w:p>
    <w:p w14:paraId="279B9BF7"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"Articolo R. 5232-19.- Ai fini della presente sezione, i prodotti alimentari come definiti all'articolo 2 del regolamento (CE) n. 178/2002 e le sostanze, le miscele e gli oggetti come definiti all'articolo 3 del regolamento (UE) n. 1907/2006, ad eccezione dei medicinali, sono considerati prodotti ai sensi dell'articolo L. 5232-5.</w:t>
      </w:r>
      <w:r>
        <w:rPr>
          <w:rFonts w:ascii="Times New Roman" w:hAnsi="Times New Roman"/>
          <w:color w:val="000000"/>
          <w:sz w:val="27"/>
        </w:rPr>
        <w:br/>
        <w:t>"L'ordinanza comune dei ministri della Sanità e dell'Ambiente, previa consultazione dell'Agenzia francese per la sicurezza alimentare, ambientale e occupazionale, stabilisce:</w:t>
      </w:r>
      <w:r>
        <w:rPr>
          <w:rFonts w:ascii="Times New Roman" w:hAnsi="Times New Roman"/>
          <w:color w:val="000000"/>
          <w:sz w:val="27"/>
        </w:rPr>
        <w:br/>
        <w:t>"1. L'elenco delle sostanze con proprietà dannose per il sistema endocrino di cui al paragrafo I dell'articolo L. 5232-5, è suddiviso in due categorie, accertate e presunte, a seconda del livello di prova scientifica;</w:t>
      </w:r>
      <w:r>
        <w:rPr>
          <w:rFonts w:ascii="Times New Roman" w:hAnsi="Times New Roman"/>
          <w:color w:val="000000"/>
          <w:sz w:val="27"/>
        </w:rPr>
        <w:br/>
        <w:t>"2. L'elenco delle sostanze con proprietà dannose per il sistema endocrino sospette, di cui al paragrafo II dell'articolo L. 5232-5;</w:t>
      </w:r>
      <w:r>
        <w:rPr>
          <w:rFonts w:ascii="Times New Roman" w:hAnsi="Times New Roman"/>
          <w:color w:val="000000"/>
          <w:sz w:val="27"/>
        </w:rPr>
        <w:br/>
        <w:t>"3. Le categorie di prodotti che presentano un rischio di esposizione particolare di cui al paragrafo II dell'articolo L. 5232-5, per quanto riguarda le popolazioni esposte, le condizioni di utilizzo e di smaltimento di tali prodotti e altri criteri pertinenti.</w:t>
      </w:r>
    </w:p>
    <w:p w14:paraId="17BB239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"Sottosezione 2</w:t>
      </w:r>
      <w:r>
        <w:rPr>
          <w:rFonts w:ascii="Times New Roman" w:hAnsi="Times New Roman"/>
          <w:color w:val="000000"/>
          <w:sz w:val="27"/>
        </w:rPr>
        <w:br/>
        <w:t>"Messa a disposizione del pubblico delle informazioni</w:t>
      </w:r>
    </w:p>
    <w:p w14:paraId="0150BE3C"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"Articolo R. 5232-20 - I. - Le informazioni di cui ai punti I e II dell'articolo L. 5232-5 devono essere disponibili in formato non cartaceo accessibile </w:t>
      </w:r>
      <w:r>
        <w:rPr>
          <w:rFonts w:ascii="Times New Roman" w:hAnsi="Times New Roman"/>
          <w:color w:val="000000"/>
          <w:sz w:val="27"/>
        </w:rPr>
        <w:lastRenderedPageBreak/>
        <w:t>gratuitamente al pubblico e riutilizzabile in modo da permettere l'aggregazione. A tal fine, chiunque immetta prodotti sul mercato ai sensi dell'articolo L. 5232-5 mette a disposizione le informazioni su una pagina web dedicata contenente un'interfaccia per la programmazione di applicazioni o tramite un'applicazione designata per ordine congiunto dei ministri responsabili per la salute e l'ambiente.</w:t>
      </w:r>
      <w:r>
        <w:rPr>
          <w:rFonts w:ascii="Times New Roman" w:hAnsi="Times New Roman"/>
          <w:color w:val="000000"/>
          <w:sz w:val="27"/>
        </w:rPr>
        <w:br/>
        <w:t>"Se il prodotto in questione è anche oggetto di un obbligo di informazione dei consumatori ai sensi dell'articolo L. 541-9-1 del codice dell'ambiente, le informazioni di cui ai punti I e II dell'articolo L. 5332-5 del presente codice sono rese disponibili sullo stesso supporto previsto per la fornitura di informazioni sulle qualità e le caratteristiche ambientali di tali prodotti o categorie di prodotti definite ai sensi dell'articolo L. 541-9-1 del codice dell'ambiente.</w:t>
      </w:r>
      <w:r>
        <w:rPr>
          <w:rFonts w:ascii="Times New Roman" w:hAnsi="Times New Roman"/>
          <w:color w:val="000000"/>
          <w:sz w:val="27"/>
        </w:rPr>
        <w:br/>
        <w:t>"Un decreto congiunto del ministro della Salute e del ministro dell'Ambiente deve specificare le procedure relative al contenuto e alle condizioni di presentazione di tali informazioni ai sensi dei punti I e II dell'articolo L. 5232-5 del presente codice.</w:t>
      </w:r>
      <w:r>
        <w:rPr>
          <w:rFonts w:ascii="Times New Roman" w:hAnsi="Times New Roman"/>
          <w:color w:val="000000"/>
          <w:sz w:val="27"/>
        </w:rPr>
        <w:br/>
        <w:t>"La messa a disposizione del pubblico delle informazioni previste ai paragrafi I e II dell'articolo L. 5232-5, paragrafi I e II, deve essere effettuata entro sei mesi dalla pubblicazione del decreto di cui all'articolo R. 5232-19.</w:t>
      </w:r>
    </w:p>
    <w:p w14:paraId="119EB2A1"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"Sottosezione 3</w:t>
      </w:r>
      <w:r>
        <w:rPr>
          <w:rFonts w:ascii="Times New Roman" w:hAnsi="Times New Roman"/>
          <w:color w:val="000000"/>
          <w:sz w:val="27"/>
        </w:rPr>
        <w:br/>
        <w:t>"Sanzioni penali</w:t>
      </w:r>
    </w:p>
    <w:p w14:paraId="10379220"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"Articolo R. 5232-21. - La mancata messa a disposizione del pubblico delle informazioni previste ai punti I e II dell'articolo L. 5232-5 nei termini definiti dall'articolo R. 5232-20 è punita con l'ammenda prevista per i reati di cinque categorie.</w:t>
      </w:r>
      <w:r>
        <w:rPr>
          <w:rFonts w:ascii="Times New Roman" w:hAnsi="Times New Roman"/>
          <w:color w:val="000000"/>
          <w:sz w:val="27"/>
        </w:rPr>
        <w:br/>
        <w:t>"Il mancato rispetto del termine previsto al paragrafo II dell'articolo R. 5232-20 è punito con l'ammenda prevista per le contravvenzioni della quinta categoria.</w:t>
      </w:r>
    </w:p>
    <w:p w14:paraId="3EED871E" w14:textId="5E0F5033"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F371BC" w:rsidRPr="00F371BC">
        <w:rPr>
          <w:rFonts w:ascii="Times New Roman" w:hAnsi="Times New Roman"/>
          <w:color w:val="000000"/>
          <w:sz w:val="27"/>
        </w:rPr>
        <w:t>"</w:t>
      </w:r>
      <w:r>
        <w:rPr>
          <w:rFonts w:ascii="Times New Roman" w:hAnsi="Times New Roman"/>
          <w:color w:val="000000"/>
          <w:sz w:val="27"/>
        </w:rPr>
        <w:t xml:space="preserve">Articolo R. 5232-22 - La recidiva delle infrazioni previste all'articolo R. 5232-21 è punita conformemente agli articoli 132-11 e 132-15 del </w:t>
      </w:r>
      <w:proofErr w:type="gramStart"/>
      <w:r>
        <w:rPr>
          <w:rFonts w:ascii="Times New Roman" w:hAnsi="Times New Roman"/>
          <w:color w:val="000000"/>
          <w:sz w:val="27"/>
        </w:rPr>
        <w:t>codice penale</w:t>
      </w:r>
      <w:proofErr w:type="gramEnd"/>
      <w:r>
        <w:rPr>
          <w:rFonts w:ascii="Times New Roman" w:hAnsi="Times New Roman"/>
          <w:color w:val="000000"/>
          <w:sz w:val="27"/>
        </w:rPr>
        <w:t>. "</w:t>
      </w:r>
    </w:p>
    <w:p w14:paraId="39654F8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Articolo 2</w:t>
      </w:r>
    </w:p>
    <w:p w14:paraId="7EA96E25" w14:textId="0C849F27" w:rsidR="00D8319D" w:rsidRDefault="00D8319D" w:rsidP="00D8319D">
      <w:pPr>
        <w:spacing w:before="100" w:beforeAutospacing="1" w:after="100" w:afterAutospacing="1" w:line="240" w:lineRule="auto"/>
        <w:ind w:left="450"/>
        <w:rPr>
          <w:rFonts w:ascii="Times New Roman" w:hAnsi="Times New Roman"/>
          <w:color w:val="000000"/>
          <w:sz w:val="27"/>
        </w:rPr>
      </w:pPr>
      <w:r>
        <w:rPr>
          <w:rFonts w:ascii="Times New Roman" w:hAnsi="Times New Roman"/>
          <w:color w:val="000000"/>
          <w:sz w:val="27"/>
        </w:rPr>
        <w:br/>
        <w:t xml:space="preserve">Il presente decreto entra in vigore il </w:t>
      </w:r>
      <w:proofErr w:type="gramStart"/>
      <w:r>
        <w:rPr>
          <w:rFonts w:ascii="Times New Roman" w:hAnsi="Times New Roman"/>
          <w:color w:val="000000"/>
          <w:sz w:val="27"/>
        </w:rPr>
        <w:t>1 gennaio</w:t>
      </w:r>
      <w:proofErr w:type="gramEnd"/>
      <w:r>
        <w:rPr>
          <w:rFonts w:ascii="Times New Roman" w:hAnsi="Times New Roman"/>
          <w:color w:val="000000"/>
          <w:sz w:val="27"/>
        </w:rPr>
        <w:t xml:space="preserve"> 2022.</w:t>
      </w:r>
    </w:p>
    <w:p w14:paraId="56DA60DA" w14:textId="12C26231" w:rsidR="00F371BC" w:rsidRDefault="00F371BC" w:rsidP="00D8319D">
      <w:pPr>
        <w:spacing w:before="100" w:beforeAutospacing="1" w:after="100" w:afterAutospacing="1" w:line="240" w:lineRule="auto"/>
        <w:ind w:left="450"/>
        <w:rPr>
          <w:rFonts w:ascii="Times New Roman" w:hAnsi="Times New Roman"/>
          <w:color w:val="000000"/>
          <w:sz w:val="27"/>
        </w:rPr>
      </w:pPr>
    </w:p>
    <w:p w14:paraId="463DA0DB" w14:textId="77777777" w:rsidR="00F371BC" w:rsidRPr="00D8319D" w:rsidRDefault="00F371BC"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p>
    <w:p w14:paraId="44F37BCD"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Articolo 3</w:t>
      </w:r>
    </w:p>
    <w:p w14:paraId="4BE132C6"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La ministra della Transizione ecologica, il guardasigilli, il ministro della Giustizia e il ministro della Solidarietà e della Salute sono incaricati, ciascuno per la propria sfera di competenze, di dare esecuzione al presente decreto, che sarà pubblicato nella Gazzetta ufficiale della Repubblica francese.</w:t>
      </w:r>
    </w:p>
    <w:p w14:paraId="1965C4D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Redatto il 23 agosto 2021.</w:t>
      </w:r>
    </w:p>
    <w:p w14:paraId="703CA5E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Jean </w:t>
      </w:r>
      <w:proofErr w:type="spellStart"/>
      <w:r>
        <w:rPr>
          <w:rFonts w:ascii="Times New Roman" w:hAnsi="Times New Roman"/>
          <w:color w:val="000000"/>
          <w:sz w:val="27"/>
        </w:rPr>
        <w:t>Castex</w:t>
      </w:r>
      <w:proofErr w:type="spellEnd"/>
      <w:r>
        <w:rPr>
          <w:rFonts w:ascii="Times New Roman" w:hAnsi="Times New Roman"/>
          <w:color w:val="000000"/>
          <w:sz w:val="27"/>
        </w:rPr>
        <w:br/>
        <w:t>Dal primo ministro:</w:t>
      </w:r>
    </w:p>
    <w:p w14:paraId="61B53AD3"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La ministra della Transizione ecologica,</w:t>
      </w:r>
      <w:r>
        <w:rPr>
          <w:rFonts w:ascii="Times New Roman" w:hAnsi="Times New Roman"/>
          <w:color w:val="000000"/>
          <w:sz w:val="27"/>
        </w:rPr>
        <w:br/>
        <w:t>Barbara POMPILI</w:t>
      </w:r>
    </w:p>
    <w:p w14:paraId="009E9B94" w14:textId="4550CE18"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Il Guardasigilli, ministro della Giustizia</w:t>
      </w:r>
      <w:r w:rsidR="00F371BC">
        <w:rPr>
          <w:rFonts w:ascii="Times New Roman" w:hAnsi="Times New Roman"/>
          <w:color w:val="000000"/>
          <w:sz w:val="27"/>
        </w:rPr>
        <w:t>,</w:t>
      </w:r>
      <w:r>
        <w:rPr>
          <w:rFonts w:ascii="Times New Roman" w:hAnsi="Times New Roman"/>
          <w:color w:val="000000"/>
          <w:sz w:val="27"/>
        </w:rPr>
        <w:br/>
        <w:t xml:space="preserve">Éric </w:t>
      </w:r>
      <w:proofErr w:type="spellStart"/>
      <w:r>
        <w:rPr>
          <w:rFonts w:ascii="Times New Roman" w:hAnsi="Times New Roman"/>
          <w:color w:val="000000"/>
          <w:sz w:val="27"/>
        </w:rPr>
        <w:t>Dupond</w:t>
      </w:r>
      <w:proofErr w:type="spellEnd"/>
      <w:r>
        <w:rPr>
          <w:rFonts w:ascii="Times New Roman" w:hAnsi="Times New Roman"/>
          <w:color w:val="000000"/>
          <w:sz w:val="27"/>
        </w:rPr>
        <w:t>-Moretti</w:t>
      </w:r>
    </w:p>
    <w:p w14:paraId="5FC337F5" w14:textId="47FF5512"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Il ministro delle Solidarietà e della salute</w:t>
      </w:r>
      <w:r w:rsidR="00F371BC">
        <w:rPr>
          <w:rFonts w:ascii="Times New Roman" w:hAnsi="Times New Roman"/>
          <w:color w:val="000000"/>
          <w:sz w:val="27"/>
        </w:rPr>
        <w:t>,</w:t>
      </w:r>
      <w:r>
        <w:rPr>
          <w:rFonts w:ascii="Times New Roman" w:hAnsi="Times New Roman"/>
          <w:color w:val="000000"/>
          <w:sz w:val="27"/>
        </w:rPr>
        <w:br/>
        <w:t>Olivier VERAN</w:t>
      </w:r>
    </w:p>
    <w:p w14:paraId="5F469EE0" w14:textId="77777777" w:rsidR="00B026BB" w:rsidRDefault="00B026BB"/>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9D"/>
    <w:rsid w:val="00840AF1"/>
    <w:rsid w:val="00B026BB"/>
    <w:rsid w:val="00D8319D"/>
    <w:rsid w:val="00F37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DE9"/>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9219</Characters>
  <Application>Microsoft Office Word</Application>
  <DocSecurity>0</DocSecurity>
  <Lines>184</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2022-02-11T12:10:00Z</dcterms:created>
  <dcterms:modified xsi:type="dcterms:W3CDTF">2022-02-11T12:10:00Z</dcterms:modified>
</cp:coreProperties>
</file>