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7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924"/>
        <w:gridCol w:w="535"/>
        <w:gridCol w:w="4268"/>
      </w:tblGrid>
      <w:tr w:rsidR="00CF0688" w14:paraId="429F2D36" w14:textId="77777777" w:rsidTr="00CD6FC9">
        <w:trPr>
          <w:trHeight w:val="2157"/>
        </w:trPr>
        <w:tc>
          <w:tcPr>
            <w:tcW w:w="5459" w:type="dxa"/>
            <w:gridSpan w:val="2"/>
          </w:tcPr>
          <w:p w14:paraId="6F38873B" w14:textId="202F2861" w:rsidR="00CF0688" w:rsidRDefault="00FE2D8D">
            <w:pPr>
              <w:widowControl w:val="0"/>
              <w:tabs>
                <w:tab w:val="left" w:pos="454"/>
              </w:tabs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" behindDoc="0" locked="0" layoutInCell="1" allowOverlap="1" wp14:anchorId="79FF3C85" wp14:editId="2E380978">
                  <wp:simplePos x="0" y="0"/>
                  <wp:positionH relativeFrom="column">
                    <wp:posOffset>363855</wp:posOffset>
                  </wp:positionH>
                  <wp:positionV relativeFrom="paragraph">
                    <wp:posOffset>4445</wp:posOffset>
                  </wp:positionV>
                  <wp:extent cx="431800" cy="431800"/>
                  <wp:effectExtent l="0" t="0" r="0" b="0"/>
                  <wp:wrapTight wrapText="bothSides">
                    <wp:wrapPolygon edited="0">
                      <wp:start x="-17" y="0"/>
                      <wp:lineTo x="-17" y="20948"/>
                      <wp:lineTo x="20956" y="20948"/>
                      <wp:lineTo x="20956" y="0"/>
                      <wp:lineTo x="-17" y="0"/>
                    </wp:wrapPolygon>
                  </wp:wrapTight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0"/>
              </w:rPr>
              <w:tab/>
            </w:r>
          </w:p>
          <w:p w14:paraId="66A8C9D5" w14:textId="5172A3C2" w:rsidR="00CF0688" w:rsidRDefault="00CF0688">
            <w:pPr>
              <w:widowControl w:val="0"/>
              <w:spacing w:line="360" w:lineRule="auto"/>
              <w:rPr>
                <w:b/>
                <w:color w:val="1F3864"/>
                <w:sz w:val="20"/>
                <w:szCs w:val="20"/>
              </w:rPr>
            </w:pPr>
          </w:p>
          <w:p w14:paraId="7453E3B1" w14:textId="4C2CDF8A" w:rsidR="00CF0688" w:rsidRDefault="006E2E77">
            <w:pPr>
              <w:widowControl w:val="0"/>
              <w:spacing w:before="240" w:line="360" w:lineRule="auto"/>
              <w:rPr>
                <w:b/>
                <w:color w:val="1F3864"/>
                <w:sz w:val="20"/>
                <w:szCs w:val="20"/>
              </w:rPr>
            </w:pPr>
            <w:r>
              <w:rPr>
                <w:b/>
                <w:noProof/>
                <w:color w:val="1F3864"/>
                <w:sz w:val="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836B99" wp14:editId="46763D42">
                      <wp:simplePos x="0" y="0"/>
                      <wp:positionH relativeFrom="column">
                        <wp:posOffset>502525</wp:posOffset>
                      </wp:positionH>
                      <wp:positionV relativeFrom="paragraph">
                        <wp:posOffset>358559</wp:posOffset>
                      </wp:positionV>
                      <wp:extent cx="1837426" cy="654050"/>
                      <wp:effectExtent l="0" t="0" r="0" b="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7426" cy="654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B59B2F" w14:textId="77777777" w:rsidR="005D031B" w:rsidRDefault="006E2E77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7365D" w:themeColor="text2" w:themeShade="B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color w:val="17365D" w:themeColor="text2" w:themeShade="BF"/>
                                      <w:sz w:val="28"/>
                                    </w:rPr>
                                    <w:t>IAPR</w:t>
                                  </w:r>
                                </w:p>
                                <w:p w14:paraId="5529BD9B" w14:textId="543FD405" w:rsidR="006E2E77" w:rsidRPr="006E2E77" w:rsidRDefault="006E2E77">
                                  <w:pPr>
                                    <w:rPr>
                                      <w:rFonts w:ascii="Arial" w:hAnsi="Arial" w:cs="Arial"/>
                                      <w:color w:val="17365D" w:themeColor="text2" w:themeShade="BF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color w:val="17365D" w:themeColor="text2" w:themeShade="BF"/>
                                    </w:rPr>
                                    <w:t>Niezależny Urząd Podatkowy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9836B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9.55pt;margin-top:28.25pt;width:144.7pt;height:5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" fillcolor="white [3201]" stroked="f" strokeweight=".5pt">
                      <v:textbox>
                        <w:txbxContent>
                          <w:p w14:paraId="2FB59B2F" w14:textId="77777777" w:rsidR="005D031B" w:rsidRDefault="006E2E7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17365D" w:themeColor="text2" w:themeShade="BF"/>
                                <w:sz w:val="28"/>
                              </w:rPr>
                              <w:t>IAPR</w:t>
                            </w:r>
                          </w:p>
                          <w:p w14:paraId="5529BD9B" w14:textId="543FD405" w:rsidR="006E2E77" w:rsidRPr="006E2E77" w:rsidRDefault="006E2E77">
                            <w:pPr>
                              <w:rPr>
                                <w:rFonts w:ascii="Arial" w:hAnsi="Arial" w:cs="Arial"/>
                                <w:color w:val="17365D" w:themeColor="text2" w:themeShade="BF"/>
                              </w:rPr>
                            </w:pPr>
                            <w:r>
                              <w:rPr>
                                <w:rFonts w:ascii="Arial" w:hAnsi="Arial"/>
                                <w:color w:val="17365D" w:themeColor="text2" w:themeShade="BF"/>
                              </w:rPr>
                              <w:t>Niezależny Urząd Podatkowy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color w:val="1F3864"/>
                <w:sz w:val="20"/>
              </w:rPr>
              <w:t>REPUBLIKA GRECKA</w:t>
            </w:r>
          </w:p>
          <w:p w14:paraId="5152EC0B" w14:textId="4CDD04C2" w:rsidR="00CF0688" w:rsidRDefault="00CF0688">
            <w:pPr>
              <w:widowControl w:val="0"/>
              <w:spacing w:line="360" w:lineRule="auto"/>
              <w:rPr>
                <w:b/>
                <w:color w:val="1F3864"/>
                <w:sz w:val="2"/>
                <w:szCs w:val="20"/>
              </w:rPr>
            </w:pPr>
          </w:p>
          <w:p w14:paraId="75364DD1" w14:textId="4CAF2F0A" w:rsidR="00CF0688" w:rsidRDefault="00FE2D8D">
            <w:pPr>
              <w:widowControl w:val="0"/>
              <w:spacing w:before="120" w:line="360" w:lineRule="auto"/>
              <w:rPr>
                <w:color w:val="1F3864"/>
                <w:sz w:val="20"/>
                <w:szCs w:val="20"/>
              </w:rPr>
            </w:pPr>
            <w:r>
              <w:rPr>
                <w:noProof/>
                <w:color w:val="1F3864"/>
                <w:sz w:val="20"/>
              </w:rPr>
              <w:drawing>
                <wp:anchor distT="0" distB="0" distL="114300" distR="114300" simplePos="0" relativeHeight="3" behindDoc="0" locked="0" layoutInCell="1" allowOverlap="1" wp14:anchorId="570347B7" wp14:editId="33E3276D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22225</wp:posOffset>
                  </wp:positionV>
                  <wp:extent cx="1619885" cy="450850"/>
                  <wp:effectExtent l="0" t="0" r="0" b="0"/>
                  <wp:wrapSquare wrapText="bothSides"/>
                  <wp:docPr id="2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450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65" w:type="dxa"/>
          </w:tcPr>
          <w:p w14:paraId="3F543360" w14:textId="77777777" w:rsidR="00CF0688" w:rsidRDefault="00CF0688">
            <w:pPr>
              <w:pStyle w:val="Heading3"/>
              <w:widowControl w:val="0"/>
              <w:rPr>
                <w:rFonts w:ascii="Franklin Gothic Medium" w:hAnsi="Franklin Gothic Medium"/>
                <w:b w:val="0"/>
                <w:sz w:val="24"/>
              </w:rPr>
            </w:pPr>
          </w:p>
          <w:p w14:paraId="1C43CBCF" w14:textId="77777777" w:rsidR="00CF0688" w:rsidRDefault="00CF0688">
            <w:pPr>
              <w:pStyle w:val="Heading3"/>
              <w:widowControl w:val="0"/>
              <w:rPr>
                <w:rFonts w:ascii="Franklin Gothic Medium" w:hAnsi="Franklin Gothic Medium"/>
                <w:b w:val="0"/>
                <w:sz w:val="24"/>
              </w:rPr>
            </w:pPr>
          </w:p>
          <w:p w14:paraId="6FEE872F" w14:textId="77777777" w:rsidR="00CF0688" w:rsidRDefault="00CF0688">
            <w:pPr>
              <w:pStyle w:val="Heading3"/>
              <w:widowControl w:val="0"/>
              <w:rPr>
                <w:rFonts w:ascii="Franklin Gothic Medium" w:hAnsi="Franklin Gothic Medium"/>
                <w:b w:val="0"/>
                <w:sz w:val="24"/>
              </w:rPr>
            </w:pPr>
          </w:p>
          <w:p w14:paraId="2CC4FEC0" w14:textId="77777777" w:rsidR="00CF0688" w:rsidRDefault="00CF0688">
            <w:pPr>
              <w:pStyle w:val="Heading3"/>
              <w:widowControl w:val="0"/>
              <w:spacing w:line="360" w:lineRule="auto"/>
              <w:rPr>
                <w:rFonts w:ascii="Franklin Gothic Medium" w:hAnsi="Franklin Gothic Medium"/>
                <w:b w:val="0"/>
                <w:sz w:val="24"/>
              </w:rPr>
            </w:pPr>
          </w:p>
          <w:p w14:paraId="1C6DDC27" w14:textId="1C4AB405" w:rsidR="00CF0688" w:rsidRDefault="00FE2D8D">
            <w:pPr>
              <w:pStyle w:val="Heading3"/>
              <w:widowControl w:val="0"/>
              <w:spacing w:line="360" w:lineRule="auto"/>
              <w:rPr>
                <w:rFonts w:ascii="Franklin Gothic Medium" w:hAnsi="Franklin Gothic Medium"/>
                <w:b w:val="0"/>
                <w:sz w:val="24"/>
              </w:rPr>
            </w:pPr>
            <w:r>
              <w:rPr>
                <w:rFonts w:ascii="Franklin Gothic Medium" w:hAnsi="Franklin Gothic Medium"/>
                <w:b w:val="0"/>
                <w:sz w:val="24"/>
              </w:rPr>
              <w:t xml:space="preserve">  Ateny, 17 października 2022 r.         </w:t>
            </w:r>
          </w:p>
          <w:p w14:paraId="3DA373D3" w14:textId="77777777" w:rsidR="00CF0688" w:rsidRDefault="00FE2D8D">
            <w:pPr>
              <w:pStyle w:val="Heading3"/>
              <w:widowControl w:val="0"/>
              <w:spacing w:line="360" w:lineRule="auto"/>
              <w:rPr>
                <w:rFonts w:ascii="Franklin Gothic Medium" w:hAnsi="Franklin Gothic Medium"/>
                <w:b w:val="0"/>
                <w:sz w:val="24"/>
              </w:rPr>
            </w:pPr>
            <w:r>
              <w:rPr>
                <w:rFonts w:ascii="Franklin Gothic Medium" w:hAnsi="Franklin Gothic Medium"/>
                <w:b w:val="0"/>
                <w:sz w:val="24"/>
              </w:rPr>
              <w:t xml:space="preserve">  Protokół nr:  30/010/000/</w:t>
            </w:r>
            <w:r>
              <w:rPr>
                <w:rFonts w:ascii="Franklin Gothic Medium" w:hAnsi="Franklin Gothic Medium"/>
                <w:sz w:val="24"/>
              </w:rPr>
              <w:t xml:space="preserve">30/2022 </w:t>
            </w:r>
          </w:p>
        </w:tc>
      </w:tr>
      <w:tr w:rsidR="00CF0688" w14:paraId="38178BDF" w14:textId="77777777" w:rsidTr="00CD6FC9">
        <w:trPr>
          <w:trHeight w:val="287"/>
        </w:trPr>
        <w:tc>
          <w:tcPr>
            <w:tcW w:w="5459" w:type="dxa"/>
            <w:gridSpan w:val="2"/>
          </w:tcPr>
          <w:p w14:paraId="6F963600" w14:textId="77777777" w:rsidR="00CF0688" w:rsidRDefault="00CF0688">
            <w:pPr>
              <w:widowControl w:val="0"/>
              <w:spacing w:line="276" w:lineRule="auto"/>
              <w:rPr>
                <w:rFonts w:ascii="Franklin Gothic Medium" w:eastAsia="Calibri" w:hAnsi="Franklin Gothic Medium" w:cs="Arial"/>
                <w:b/>
                <w:bCs/>
                <w:lang w:eastAsia="en-US"/>
              </w:rPr>
            </w:pPr>
          </w:p>
          <w:p w14:paraId="70A27F7B" w14:textId="77777777" w:rsidR="00CF0688" w:rsidRDefault="00FE2D8D">
            <w:pPr>
              <w:widowControl w:val="0"/>
              <w:spacing w:line="276" w:lineRule="auto"/>
              <w:rPr>
                <w:rFonts w:ascii="Franklin Gothic Medium" w:eastAsia="Calibri" w:hAnsi="Franklin Gothic Medium" w:cs="Arial"/>
                <w:b/>
                <w:bCs/>
              </w:rPr>
            </w:pPr>
            <w:r>
              <w:rPr>
                <w:rFonts w:ascii="Franklin Gothic Medium" w:hAnsi="Franklin Gothic Medium"/>
                <w:b/>
              </w:rPr>
              <w:t>NAJWYŻSZA RADA CHEMICZNA</w:t>
            </w:r>
          </w:p>
          <w:p w14:paraId="250177AA" w14:textId="77777777" w:rsidR="00CF0688" w:rsidRDefault="00CF0688">
            <w:pPr>
              <w:widowControl w:val="0"/>
              <w:spacing w:line="276" w:lineRule="auto"/>
              <w:rPr>
                <w:rFonts w:ascii="Franklin Gothic Medium" w:hAnsi="Franklin Gothic Medium" w:cs="Arial"/>
                <w:b/>
              </w:rPr>
            </w:pPr>
          </w:p>
          <w:p w14:paraId="4458707A" w14:textId="633745A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  <w:b/>
              </w:rPr>
              <w:t>Adres do korespondencji:</w:t>
            </w:r>
            <w:r>
              <w:rPr>
                <w:rFonts w:ascii="Franklin Gothic Medium" w:hAnsi="Franklin Gothic Medium"/>
              </w:rPr>
              <w:t xml:space="preserve">  16, Tsocha Street, Ateny</w:t>
            </w:r>
          </w:p>
        </w:tc>
        <w:tc>
          <w:tcPr>
            <w:tcW w:w="4265" w:type="dxa"/>
            <w:vMerge w:val="restart"/>
          </w:tcPr>
          <w:p w14:paraId="0FDFC93F" w14:textId="77777777" w:rsidR="00CF0688" w:rsidRDefault="00FE2D8D">
            <w:pPr>
              <w:pStyle w:val="Heading3"/>
              <w:widowControl w:val="0"/>
              <w:spacing w:line="276" w:lineRule="auto"/>
              <w:rPr>
                <w:rFonts w:ascii="Franklin Gothic Medium" w:hAnsi="Franklin Gothic Medium"/>
                <w:b w:val="0"/>
                <w:sz w:val="24"/>
              </w:rPr>
            </w:pPr>
            <w:r>
              <w:rPr>
                <w:rFonts w:ascii="Franklin Gothic Medium" w:hAnsi="Franklin Gothic Medium"/>
                <w:b w:val="0"/>
                <w:sz w:val="24"/>
              </w:rPr>
              <w:t xml:space="preserve">                          </w:t>
            </w:r>
          </w:p>
          <w:p w14:paraId="17382FF5" w14:textId="77777777" w:rsidR="00CF0688" w:rsidRDefault="00FE2D8D">
            <w:pPr>
              <w:pStyle w:val="Heading3"/>
              <w:widowControl w:val="0"/>
              <w:spacing w:line="276" w:lineRule="auto"/>
              <w:rPr>
                <w:rFonts w:ascii="Franklin Gothic Medium" w:hAnsi="Franklin Gothic Medium"/>
                <w:sz w:val="24"/>
              </w:rPr>
            </w:pPr>
            <w:r>
              <w:rPr>
                <w:rFonts w:ascii="Franklin Gothic Medium" w:hAnsi="Franklin Gothic Medium"/>
                <w:b w:val="0"/>
                <w:sz w:val="24"/>
              </w:rPr>
              <w:t xml:space="preserve">                     </w:t>
            </w:r>
            <w:r>
              <w:rPr>
                <w:rFonts w:ascii="Franklin Gothic Medium" w:hAnsi="Franklin Gothic Medium"/>
                <w:sz w:val="24"/>
              </w:rPr>
              <w:t>DO:</w:t>
            </w:r>
          </w:p>
          <w:p w14:paraId="61949B13" w14:textId="77777777" w:rsidR="00CF0688" w:rsidRDefault="00CF0688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</w:p>
          <w:p w14:paraId="1D0E1646" w14:textId="7777777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</w:rPr>
              <w:t>Państwowe Ogólne Laboratorium Chemiczne</w:t>
            </w:r>
          </w:p>
          <w:p w14:paraId="40794443" w14:textId="7777777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</w:rPr>
              <w:t xml:space="preserve">Dyrekcja ds. Energii, Produktów Przemysłowych i Chemicznych </w:t>
            </w:r>
          </w:p>
          <w:p w14:paraId="073C8719" w14:textId="77777777" w:rsidR="00CF0688" w:rsidRDefault="00FE2D8D">
            <w:pPr>
              <w:widowControl w:val="0"/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</w:rPr>
              <w:t>Sekcja A</w:t>
            </w:r>
          </w:p>
        </w:tc>
      </w:tr>
      <w:tr w:rsidR="00CF0688" w14:paraId="6F873E1E" w14:textId="77777777" w:rsidTr="00CD6FC9">
        <w:trPr>
          <w:trHeight w:val="287"/>
        </w:trPr>
        <w:tc>
          <w:tcPr>
            <w:tcW w:w="5459" w:type="dxa"/>
            <w:gridSpan w:val="2"/>
          </w:tcPr>
          <w:p w14:paraId="7A5DAFEB" w14:textId="271FC8B0" w:rsidR="00CF0688" w:rsidRDefault="00FE2D8D" w:rsidP="00CD6FC9">
            <w:pPr>
              <w:widowControl w:val="0"/>
              <w:tabs>
                <w:tab w:val="left" w:pos="2653"/>
              </w:tabs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  <w:b/>
              </w:rPr>
              <w:t>Kod pocztowy:</w:t>
            </w:r>
            <w:r w:rsidR="00CD6FC9"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</w:rPr>
              <w:t>115 21</w:t>
            </w:r>
          </w:p>
        </w:tc>
        <w:tc>
          <w:tcPr>
            <w:tcW w:w="4265" w:type="dxa"/>
            <w:vMerge/>
          </w:tcPr>
          <w:p w14:paraId="7732B644" w14:textId="77777777" w:rsidR="00CF0688" w:rsidRDefault="00CF0688">
            <w:pPr>
              <w:pStyle w:val="Heading3"/>
              <w:widowControl w:val="0"/>
              <w:rPr>
                <w:b w:val="0"/>
                <w:sz w:val="22"/>
                <w:szCs w:val="22"/>
              </w:rPr>
            </w:pPr>
          </w:p>
        </w:tc>
      </w:tr>
      <w:tr w:rsidR="00CF0688" w:rsidRPr="006E2E77" w14:paraId="35B4FE51" w14:textId="77777777" w:rsidTr="00CD6FC9">
        <w:trPr>
          <w:trHeight w:val="175"/>
        </w:trPr>
        <w:tc>
          <w:tcPr>
            <w:tcW w:w="5459" w:type="dxa"/>
            <w:gridSpan w:val="2"/>
          </w:tcPr>
          <w:p w14:paraId="32670900" w14:textId="3FF512B3" w:rsidR="00CF0688" w:rsidRDefault="00FE2D8D" w:rsidP="00CD6FC9">
            <w:pPr>
              <w:widowControl w:val="0"/>
              <w:tabs>
                <w:tab w:val="left" w:pos="2653"/>
              </w:tabs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  <w:b/>
              </w:rPr>
              <w:t>Informacje:</w:t>
            </w:r>
            <w:r w:rsidR="00CD6FC9"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</w:rPr>
              <w:t>E. Bania-Georgopoulou</w:t>
            </w:r>
          </w:p>
          <w:p w14:paraId="35D10178" w14:textId="5AED8EBF" w:rsidR="00CF0688" w:rsidRDefault="00FE2D8D" w:rsidP="00CD6FC9">
            <w:pPr>
              <w:widowControl w:val="0"/>
              <w:tabs>
                <w:tab w:val="left" w:pos="2653"/>
              </w:tabs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  <w:b/>
              </w:rPr>
              <w:t>Tel.:</w:t>
            </w:r>
            <w:r w:rsidR="00CD6FC9">
              <w:rPr>
                <w:rFonts w:ascii="Franklin Gothic Medium" w:hAnsi="Franklin Gothic Medium"/>
                <w:b/>
              </w:rPr>
              <w:tab/>
            </w:r>
            <w:r>
              <w:rPr>
                <w:rFonts w:ascii="Franklin Gothic Medium" w:hAnsi="Franklin Gothic Medium"/>
              </w:rPr>
              <w:t>210–6479244,230</w:t>
            </w:r>
          </w:p>
          <w:p w14:paraId="2E322279" w14:textId="5C56FFD6" w:rsidR="00CF0688" w:rsidRPr="006E2E77" w:rsidRDefault="00FE2D8D" w:rsidP="00CD6FC9">
            <w:pPr>
              <w:widowControl w:val="0"/>
              <w:tabs>
                <w:tab w:val="left" w:pos="2653"/>
              </w:tabs>
              <w:spacing w:line="276" w:lineRule="auto"/>
              <w:rPr>
                <w:rFonts w:ascii="Franklin Gothic Medium" w:hAnsi="Franklin Gothic Medium" w:cs="Arial"/>
              </w:rPr>
            </w:pPr>
            <w:r>
              <w:rPr>
                <w:rFonts w:ascii="Franklin Gothic Medium" w:hAnsi="Franklin Gothic Medium"/>
                <w:b/>
              </w:rPr>
              <w:t>Adres e-mail:</w:t>
            </w:r>
            <w:r w:rsidR="00CD6FC9">
              <w:rPr>
                <w:rFonts w:ascii="Franklin Gothic Medium" w:hAnsi="Franklin Gothic Medium"/>
                <w:b/>
              </w:rPr>
              <w:tab/>
            </w:r>
            <w:hyperlink r:id="rId7">
              <w:r>
                <w:rPr>
                  <w:rStyle w:val="Hyperlink"/>
                  <w:rFonts w:ascii="Franklin Gothic Medium" w:hAnsi="Franklin Gothic Medium"/>
                  <w:u w:val="none"/>
                </w:rPr>
                <w:t>axs@aade.gr</w:t>
              </w:r>
            </w:hyperlink>
            <w:r>
              <w:rPr>
                <w:rStyle w:val="Hyperlink"/>
                <w:rFonts w:ascii="Franklin Gothic Medium" w:hAnsi="Franklin Gothic Medium"/>
                <w:u w:val="none"/>
              </w:rPr>
              <w:t xml:space="preserve"> </w:t>
            </w:r>
          </w:p>
        </w:tc>
        <w:tc>
          <w:tcPr>
            <w:tcW w:w="4265" w:type="dxa"/>
            <w:vMerge/>
          </w:tcPr>
          <w:p w14:paraId="5461598B" w14:textId="77777777" w:rsidR="00CF0688" w:rsidRPr="006E2E77" w:rsidRDefault="00CF0688">
            <w:pPr>
              <w:pStyle w:val="Heading3"/>
              <w:widowControl w:val="0"/>
              <w:rPr>
                <w:b w:val="0"/>
                <w:sz w:val="22"/>
                <w:szCs w:val="22"/>
                <w:lang w:val="fr-FR"/>
              </w:rPr>
            </w:pPr>
          </w:p>
        </w:tc>
      </w:tr>
      <w:tr w:rsidR="00CF0688" w14:paraId="383A7ED8" w14:textId="77777777" w:rsidTr="00CD6FC9">
        <w:trPr>
          <w:trHeight w:val="341"/>
        </w:trPr>
        <w:tc>
          <w:tcPr>
            <w:tcW w:w="4924" w:type="dxa"/>
          </w:tcPr>
          <w:p w14:paraId="7B8D3493" w14:textId="77777777" w:rsidR="00CF0688" w:rsidRPr="006E2E77" w:rsidRDefault="00CF0688">
            <w:pPr>
              <w:widowControl w:val="0"/>
              <w:spacing w:line="276" w:lineRule="auto"/>
              <w:rPr>
                <w:rFonts w:ascii="Comic Sans MS" w:hAnsi="Comic Sans MS" w:cs="Arial"/>
                <w:sz w:val="22"/>
                <w:szCs w:val="22"/>
                <w:lang w:val="fr-FR"/>
              </w:rPr>
            </w:pPr>
          </w:p>
        </w:tc>
        <w:tc>
          <w:tcPr>
            <w:tcW w:w="4803" w:type="dxa"/>
            <w:gridSpan w:val="2"/>
          </w:tcPr>
          <w:p w14:paraId="7326F2B8" w14:textId="77777777" w:rsidR="00CF0688" w:rsidRDefault="00CD6FC9">
            <w:pPr>
              <w:widowControl w:val="0"/>
              <w:rPr>
                <w:rFonts w:ascii="Comic Sans MS" w:hAnsi="Comic Sans MS"/>
                <w:sz w:val="22"/>
                <w:szCs w:val="22"/>
              </w:rPr>
            </w:pPr>
            <w:sdt>
              <w:sdtPr>
                <w:alias w:val=""/>
                <w:id w:val="-1923944758"/>
                <w:dropDownList>
                  <w:listItem w:displayText="Dyrekcja ds. Żywności " w:value="Διεύθυνση Τροφίμων "/>
                  <w:listItem w:displayText="Dyrekcja ds. Petrochemii " w:value="Διεύθυνση Πετροχημικών "/>
                  <w:listItem w:displayText="Należy wybrać pozycję." w:value="Choose an item."/>
                  <w:listItem w:displayText="." w:value="."/>
                </w:dropDownList>
              </w:sdtPr>
              <w:sdtEndPr/>
              <w:sdtContent>
                <w:r w:rsidR="00FE2D8D">
                  <w:t>.</w:t>
                </w:r>
              </w:sdtContent>
            </w:sdt>
          </w:p>
        </w:tc>
      </w:tr>
    </w:tbl>
    <w:p w14:paraId="37210401" w14:textId="77777777" w:rsidR="00CF0688" w:rsidRDefault="00FE2D8D">
      <w:pPr>
        <w:pStyle w:val="BodyTextIndent2"/>
        <w:spacing w:after="240" w:line="276" w:lineRule="auto"/>
        <w:ind w:firstLine="0"/>
        <w:rPr>
          <w:rFonts w:ascii="Franklin Gothic Medium" w:hAnsi="Franklin Gothic Medium"/>
          <w:b/>
          <w:sz w:val="24"/>
          <w:szCs w:val="24"/>
        </w:rPr>
      </w:pPr>
      <w:r>
        <w:rPr>
          <w:rFonts w:ascii="Franklin Gothic Medium" w:hAnsi="Franklin Gothic Medium"/>
          <w:b/>
          <w:sz w:val="24"/>
          <w:u w:val="single"/>
        </w:rPr>
        <w:t>TEMAT</w:t>
      </w:r>
      <w:r>
        <w:rPr>
          <w:rFonts w:ascii="Franklin Gothic Medium" w:hAnsi="Franklin Gothic Medium"/>
          <w:b/>
          <w:sz w:val="24"/>
        </w:rPr>
        <w:t>:  Decyzja NRC (Najwyższej Rady Chemicznej) 30/2022</w:t>
      </w:r>
    </w:p>
    <w:p w14:paraId="08A3648C" w14:textId="77777777" w:rsidR="00CF0688" w:rsidRDefault="00CF0688">
      <w:pPr>
        <w:pStyle w:val="BodyTextIndent2"/>
        <w:spacing w:line="276" w:lineRule="auto"/>
        <w:ind w:firstLine="0"/>
        <w:rPr>
          <w:rFonts w:ascii="Franklin Gothic Medium" w:hAnsi="Franklin Gothic Medium"/>
          <w:sz w:val="24"/>
          <w:szCs w:val="24"/>
        </w:rPr>
      </w:pPr>
    </w:p>
    <w:p w14:paraId="7F54FB97" w14:textId="26B50FC3" w:rsidR="00CF0688" w:rsidRDefault="00FE2D8D">
      <w:pPr>
        <w:jc w:val="both"/>
        <w:rPr>
          <w:rFonts w:ascii="Franklin Gothic Medium" w:hAnsi="Franklin Gothic Medium" w:cs="Franklin Gothic Medium"/>
        </w:rPr>
      </w:pPr>
      <w:r>
        <w:rPr>
          <w:rFonts w:ascii="Franklin Gothic Medium" w:hAnsi="Franklin Gothic Medium"/>
        </w:rPr>
        <w:t>W odpowiedzi na pismo nr 30/004/000/1249/23-9-2022, w którym przekazano nam wniosek dotyczący przyjęcia decyzji NRC zatytułowanej</w:t>
      </w:r>
      <w:r>
        <w:rPr>
          <w:rFonts w:ascii="Franklin Gothic Medium" w:hAnsi="Franklin Gothic Medium"/>
          <w:b/>
        </w:rPr>
        <w:t xml:space="preserve">: </w:t>
      </w:r>
      <w:r>
        <w:rPr>
          <w:rFonts w:ascii="Franklin Gothic Medium" w:hAnsi="Franklin Gothic Medium"/>
          <w:b/>
          <w:color w:val="000000"/>
        </w:rPr>
        <w:t>„</w:t>
      </w:r>
      <w:r>
        <w:rPr>
          <w:rFonts w:ascii="Franklin Gothic Medium" w:hAnsi="Franklin Gothic Medium"/>
          <w:b/>
          <w:color w:val="000000"/>
          <w:shd w:val="clear" w:color="auto" w:fill="FFFFFF"/>
        </w:rPr>
        <w:t xml:space="preserve">Transpozycja do prawa krajowego decyzji wykonawczej Komisji </w:t>
      </w:r>
      <w:bookmarkStart w:id="0" w:name="page230R_mcid1"/>
      <w:bookmarkEnd w:id="0"/>
      <w:r>
        <w:rPr>
          <w:rFonts w:ascii="Franklin Gothic Medium" w:hAnsi="Franklin Gothic Medium"/>
          <w:b/>
          <w:color w:val="000000"/>
          <w:shd w:val="clear" w:color="auto" w:fill="FFFFFF"/>
        </w:rPr>
        <w:t>(UE) 2022/197 z 17.1.2022 ustanawiającej ACCUTRACE</w:t>
      </w:r>
      <w:r>
        <w:rPr>
          <w:rFonts w:ascii="Franklin Gothic Medium" w:hAnsi="Franklin Gothic Medium"/>
          <w:b/>
          <w:color w:val="000000"/>
          <w:shd w:val="clear" w:color="auto" w:fill="FFFFFF"/>
          <w:vertAlign w:val="superscript"/>
        </w:rPr>
        <w:t>TM</w:t>
      </w:r>
      <w:r>
        <w:rPr>
          <w:rFonts w:ascii="Franklin Gothic Medium" w:hAnsi="Franklin Gothic Medium"/>
          <w:b/>
          <w:color w:val="000000"/>
          <w:shd w:val="clear" w:color="auto" w:fill="FFFFFF"/>
        </w:rPr>
        <w:t xml:space="preserve"> PLUS jako wspólny znacznik skarbowy oleju opałowego, paliwa żeglugowego MGO i paliwa żeglugowego MDO, a także krajowej nafty (nafty grzewczej) oraz metody badawcze służące do jego oznaczania i powiązane wymagania techniczne”</w:t>
      </w:r>
      <w:r>
        <w:rPr>
          <w:rFonts w:ascii="Franklin Gothic Medium" w:hAnsi="Franklin Gothic Medium"/>
          <w:b/>
        </w:rPr>
        <w:t xml:space="preserve">, </w:t>
      </w:r>
      <w:r>
        <w:rPr>
          <w:rFonts w:ascii="Franklin Gothic Medium" w:hAnsi="Franklin Gothic Medium"/>
        </w:rPr>
        <w:t xml:space="preserve">informujemy, że Najwyższa Rada Chemiczna, której przewodniczymy, po zbadaniu sprawy na posiedzeniu z </w:t>
      </w:r>
      <w:r>
        <w:rPr>
          <w:rFonts w:ascii="Franklin Gothic Medium" w:hAnsi="Franklin Gothic Medium"/>
          <w:b/>
        </w:rPr>
        <w:t>29 września 2022 r.</w:t>
      </w:r>
      <w:r>
        <w:rPr>
          <w:rFonts w:ascii="Franklin Gothic Medium" w:hAnsi="Franklin Gothic Medium"/>
        </w:rPr>
        <w:t xml:space="preserve">, w sposób przewidziany prawem rozpatrzyła przedmiotowy wniosek i jednogłośnie </w:t>
      </w:r>
    </w:p>
    <w:p w14:paraId="7A44BA8D" w14:textId="77777777" w:rsidR="00CF0688" w:rsidRDefault="00CF0688">
      <w:pPr>
        <w:jc w:val="both"/>
        <w:rPr>
          <w:rFonts w:ascii="Franklin Gothic Medium" w:hAnsi="Franklin Gothic Medium" w:cs="Franklin Gothic Medium"/>
        </w:rPr>
      </w:pPr>
    </w:p>
    <w:p w14:paraId="39B5A63D" w14:textId="77777777" w:rsidR="00CF0688" w:rsidRDefault="00FE2D8D">
      <w:pPr>
        <w:jc w:val="center"/>
        <w:rPr>
          <w:rFonts w:ascii="Franklin Gothic Medium" w:hAnsi="Franklin Gothic Medium" w:cs="Franklin Gothic Medium"/>
          <w:b/>
          <w:color w:val="000000"/>
        </w:rPr>
      </w:pPr>
      <w:r>
        <w:rPr>
          <w:rFonts w:ascii="Franklin Gothic Medium" w:hAnsi="Franklin Gothic Medium"/>
          <w:u w:val="single"/>
        </w:rPr>
        <w:t>zarządziła, co następuje</w:t>
      </w:r>
      <w:r>
        <w:rPr>
          <w:rFonts w:ascii="Franklin Gothic Medium" w:hAnsi="Franklin Gothic Medium"/>
        </w:rPr>
        <w:t>:</w:t>
      </w:r>
    </w:p>
    <w:p w14:paraId="08B7451C" w14:textId="77777777" w:rsidR="00CF0688" w:rsidRDefault="00CF0688">
      <w:pPr>
        <w:pStyle w:val="BodyTextIndent2"/>
        <w:spacing w:line="276" w:lineRule="auto"/>
        <w:ind w:firstLine="0"/>
        <w:rPr>
          <w:rFonts w:ascii="Franklin Gothic Medium" w:hAnsi="Franklin Gothic Medium"/>
          <w:sz w:val="24"/>
          <w:szCs w:val="24"/>
        </w:rPr>
      </w:pPr>
    </w:p>
    <w:p w14:paraId="79E2F991" w14:textId="77777777" w:rsidR="00CF0688" w:rsidRDefault="00CF0688">
      <w:pPr>
        <w:pStyle w:val="BodyTextIndent2"/>
        <w:spacing w:line="276" w:lineRule="auto"/>
        <w:ind w:firstLine="0"/>
        <w:rPr>
          <w:rFonts w:ascii="Franklin Gothic Medium" w:hAnsi="Franklin Gothic Medium"/>
          <w:sz w:val="24"/>
          <w:szCs w:val="24"/>
        </w:rPr>
      </w:pPr>
    </w:p>
    <w:p w14:paraId="138D2AF0" w14:textId="77777777" w:rsidR="00CF0688" w:rsidRDefault="00FE2D8D">
      <w:pPr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</w:rPr>
        <w:t>„</w:t>
      </w:r>
      <w:r>
        <w:rPr>
          <w:rFonts w:ascii="Franklin Gothic Medium" w:hAnsi="Franklin Gothic Medium"/>
          <w:b/>
          <w:color w:val="000000"/>
          <w:shd w:val="clear" w:color="auto" w:fill="FFFFFF"/>
        </w:rPr>
        <w:t>Transpozycja do prawa krajowego decyzji wykonawczej Komisji (UE) 2022/197 z dnia 17.1.2022 ustanawiającej ACCUTRACE</w:t>
      </w:r>
      <w:r>
        <w:rPr>
          <w:rFonts w:ascii="Franklin Gothic Medium" w:hAnsi="Franklin Gothic Medium"/>
          <w:b/>
          <w:color w:val="000000"/>
          <w:shd w:val="clear" w:color="auto" w:fill="FFFFFF"/>
          <w:vertAlign w:val="superscript"/>
        </w:rPr>
        <w:t>TM</w:t>
      </w:r>
      <w:r>
        <w:rPr>
          <w:rFonts w:ascii="Franklin Gothic Medium" w:hAnsi="Franklin Gothic Medium"/>
          <w:b/>
          <w:color w:val="000000"/>
          <w:shd w:val="clear" w:color="auto" w:fill="FFFFFF"/>
        </w:rPr>
        <w:t xml:space="preserve"> PLUS jako wspólny znacznik skarbowy oleju opałowego, paliwa żeglugowego MGO i paliwa żeglugowego MDO, a także krajowej nafty (nafty grzewczej) oraz metody badawcze służące do jego oznaczania i powiązane wymagania techniczne</w:t>
      </w:r>
      <w:r>
        <w:rPr>
          <w:rFonts w:ascii="Franklin Gothic Medium" w:hAnsi="Franklin Gothic Medium"/>
          <w:b/>
          <w:color w:val="000000"/>
        </w:rPr>
        <w:t>”</w:t>
      </w:r>
    </w:p>
    <w:p w14:paraId="29B4E506" w14:textId="77777777" w:rsidR="00CF0688" w:rsidRDefault="00CF0688">
      <w:pPr>
        <w:tabs>
          <w:tab w:val="left" w:pos="0"/>
        </w:tabs>
        <w:jc w:val="center"/>
        <w:rPr>
          <w:rFonts w:ascii="Franklin Gothic Medium" w:hAnsi="Franklin Gothic Medium" w:cs="Franklin Gothic Medium"/>
          <w:b/>
          <w:color w:val="000000"/>
        </w:rPr>
      </w:pPr>
    </w:p>
    <w:p w14:paraId="1BC2D4A0" w14:textId="77777777" w:rsidR="00CF0688" w:rsidRDefault="00CF0688">
      <w:pPr>
        <w:tabs>
          <w:tab w:val="left" w:pos="0"/>
        </w:tabs>
        <w:jc w:val="center"/>
        <w:rPr>
          <w:rFonts w:ascii="Franklin Gothic Medium" w:hAnsi="Franklin Gothic Medium" w:cs="Franklin Gothic Medium"/>
          <w:b/>
          <w:color w:val="000000"/>
        </w:rPr>
      </w:pPr>
    </w:p>
    <w:p w14:paraId="1C63AF81" w14:textId="77777777" w:rsidR="00CF0688" w:rsidRDefault="00FE2D8D">
      <w:pPr>
        <w:tabs>
          <w:tab w:val="left" w:pos="0"/>
        </w:tabs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</w:rPr>
        <w:t>Artykuł 1</w:t>
      </w:r>
    </w:p>
    <w:p w14:paraId="3750B63D" w14:textId="77777777" w:rsidR="00CF0688" w:rsidRDefault="00FE2D8D">
      <w:pPr>
        <w:tabs>
          <w:tab w:val="left" w:pos="0"/>
        </w:tabs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</w:rPr>
        <w:t>Cel i zakres</w:t>
      </w:r>
    </w:p>
    <w:p w14:paraId="2E6C1BDA" w14:textId="77777777" w:rsidR="00CF0688" w:rsidRDefault="00CF0688">
      <w:pPr>
        <w:tabs>
          <w:tab w:val="left" w:pos="0"/>
        </w:tabs>
        <w:ind w:left="1077" w:hanging="1077"/>
        <w:jc w:val="center"/>
        <w:rPr>
          <w:rFonts w:ascii="Franklin Gothic Medium" w:hAnsi="Franklin Gothic Medium" w:cs="Franklin Gothic Medium"/>
          <w:b/>
          <w:color w:val="000000"/>
        </w:rPr>
      </w:pPr>
    </w:p>
    <w:p w14:paraId="04753DE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ab/>
        <w:t xml:space="preserve">Celem niniejszej decyzji jest ustanowienie wspólnego europejskiego znacznika skarbowego przewidzianego w dyrektywie 95/60/WE w sprawie banderolowania olejów napędowych i nafty. </w:t>
      </w:r>
    </w:p>
    <w:p w14:paraId="20D5B518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ab/>
        <w:t xml:space="preserve">Niniejsza decyzja reguluje następujące kwestie: </w:t>
      </w:r>
    </w:p>
    <w:p w14:paraId="41912732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1) Nazwa chemiczna cząsteczki znacznika zgodnie z IUPAC.</w:t>
      </w:r>
    </w:p>
    <w:p w14:paraId="78997BF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2) Procent dodawany do produktów energetycznych.</w:t>
      </w:r>
    </w:p>
    <w:p w14:paraId="33355B31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3) Zwalidowana metoda laboratoryjna i sprzęt do ilościowego oznaczania znacznika w produktach energetycznych.</w:t>
      </w:r>
    </w:p>
    <w:p w14:paraId="20F843F0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4) Cechy jakościowe tej metody.</w:t>
      </w:r>
    </w:p>
    <w:p w14:paraId="6F531F8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lastRenderedPageBreak/>
        <w:t>5) Metoda i wyposażenie stosowane w kontrolach na miejscu do oznaczania znacznika.</w:t>
      </w:r>
    </w:p>
    <w:p w14:paraId="62EE94D4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75D067CC" w14:textId="77777777" w:rsidR="00CF0688" w:rsidRPr="006A31B7" w:rsidRDefault="00CF0688">
      <w:pPr>
        <w:pStyle w:val="-HTML1"/>
        <w:ind w:left="57" w:right="57"/>
        <w:jc w:val="both"/>
        <w:rPr>
          <w:rFonts w:ascii="Franklin Gothic Medium" w:hAnsi="Franklin Gothic Medium" w:cs="Franklin Gothic Medium"/>
          <w:color w:val="000000"/>
          <w:sz w:val="24"/>
          <w:szCs w:val="24"/>
        </w:rPr>
      </w:pPr>
    </w:p>
    <w:p w14:paraId="572AF4B2" w14:textId="77777777" w:rsidR="00CF0688" w:rsidRDefault="00FE2D8D">
      <w:pPr>
        <w:pStyle w:val="-HTML1"/>
        <w:shd w:val="clear" w:color="auto" w:fill="FFFFFF"/>
        <w:ind w:left="57" w:right="57"/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  <w:sz w:val="24"/>
        </w:rPr>
        <w:t>Artykuł 2</w:t>
      </w:r>
    </w:p>
    <w:p w14:paraId="25FA269C" w14:textId="77777777" w:rsidR="00CF0688" w:rsidRDefault="00FE2D8D">
      <w:pPr>
        <w:pStyle w:val="-HTML1"/>
        <w:shd w:val="clear" w:color="auto" w:fill="FFFFFF"/>
        <w:ind w:left="57" w:right="57"/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  <w:sz w:val="24"/>
        </w:rPr>
        <w:t>Oznaczanie znacznika</w:t>
      </w:r>
    </w:p>
    <w:p w14:paraId="08A7EF44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bCs/>
          <w:color w:val="000000"/>
          <w:sz w:val="24"/>
          <w:szCs w:val="24"/>
          <w:lang w:eastAsia="en-US"/>
        </w:rPr>
      </w:pPr>
    </w:p>
    <w:p w14:paraId="2D92A6D9" w14:textId="77777777" w:rsidR="00CF0688" w:rsidRDefault="00FE2D8D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  <w:sz w:val="24"/>
        </w:rPr>
        <w:tab/>
      </w:r>
      <w:r>
        <w:rPr>
          <w:rFonts w:ascii="Franklin Gothic Medium" w:hAnsi="Franklin Gothic Medium"/>
          <w:color w:val="000000"/>
          <w:sz w:val="24"/>
          <w:shd w:val="clear" w:color="auto" w:fill="FFFFFF"/>
        </w:rPr>
        <w:t>Substancja ACCUTRACE</w:t>
      </w:r>
      <w:r>
        <w:rPr>
          <w:rFonts w:ascii="Franklin Gothic Medium" w:hAnsi="Franklin Gothic Medium"/>
          <w:color w:val="000000"/>
          <w:sz w:val="24"/>
          <w:shd w:val="clear" w:color="auto" w:fill="FFFFFF"/>
          <w:vertAlign w:val="superscript"/>
        </w:rPr>
        <w:t>TM</w:t>
      </w:r>
      <w:r>
        <w:rPr>
          <w:rFonts w:ascii="Franklin Gothic Medium" w:hAnsi="Franklin Gothic Medium"/>
          <w:color w:val="000000"/>
          <w:sz w:val="24"/>
          <w:shd w:val="clear" w:color="auto" w:fill="FFFFFF"/>
        </w:rPr>
        <w:t xml:space="preserve"> PLUS, z butoksybenzenem jako składnikiem aktywnym (numer rejestru CAS 1126-79-0), jest dodawana do oleju opałowego, paliwa żeglugowego MGO, paliwa żeglugowego MDO, a także krajowej nafty (nafty grzewczej) jako wspólny znacznik skarbowy przewidziany w dyrektywie 95/60/WE w sprawie znakowania wszystkich produktów ropopochodnych objętych kodami CN 2710 19 43, 2710 19 46, 2710 19 47, 2710 19 48, 2710 20 11, 2710 20 16 i 2710 20 19, jak również krajowej nafty (nafty grzewczej) objętej kodem CN 2710 19 25. </w:t>
      </w:r>
    </w:p>
    <w:p w14:paraId="6E178D93" w14:textId="77777777" w:rsidR="00CF0688" w:rsidRDefault="00FE2D8D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  <w:r>
        <w:rPr>
          <w:rFonts w:ascii="Franklin Gothic Medium" w:hAnsi="Franklin Gothic Medium"/>
          <w:noProof/>
          <w:color w:val="000000"/>
          <w:sz w:val="24"/>
        </w:rPr>
        <w:drawing>
          <wp:anchor distT="0" distB="0" distL="0" distR="0" simplePos="0" relativeHeight="4" behindDoc="0" locked="0" layoutInCell="0" allowOverlap="1" wp14:anchorId="2C6C4250" wp14:editId="5038B600">
            <wp:simplePos x="0" y="0"/>
            <wp:positionH relativeFrom="column">
              <wp:posOffset>2583815</wp:posOffset>
            </wp:positionH>
            <wp:positionV relativeFrom="paragraph">
              <wp:posOffset>57785</wp:posOffset>
            </wp:positionV>
            <wp:extent cx="673735" cy="1471930"/>
            <wp:effectExtent l="0" t="0" r="0" b="0"/>
            <wp:wrapSquare wrapText="bothSides"/>
            <wp:docPr id="3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1471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F29D4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2D14735F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049AD6B0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color w:val="000000"/>
          <w:highlight w:val="white"/>
        </w:rPr>
      </w:pPr>
    </w:p>
    <w:p w14:paraId="432AC2E1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color w:val="000000"/>
          <w:highlight w:val="white"/>
        </w:rPr>
      </w:pPr>
    </w:p>
    <w:p w14:paraId="5A82FA44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color w:val="000000"/>
          <w:highlight w:val="white"/>
        </w:rPr>
      </w:pPr>
    </w:p>
    <w:p w14:paraId="6DC7FC4F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color w:val="000000"/>
          <w:highlight w:val="white"/>
        </w:rPr>
      </w:pPr>
    </w:p>
    <w:p w14:paraId="2C275B56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7CE7B6CC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605CB807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600CD190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  <w:sz w:val="24"/>
          <w:szCs w:val="24"/>
        </w:rPr>
      </w:pPr>
    </w:p>
    <w:p w14:paraId="66D0662A" w14:textId="77777777" w:rsidR="00CF0688" w:rsidRDefault="00FE2D8D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  <w:sz w:val="24"/>
          <w:shd w:val="clear" w:color="auto" w:fill="FFFFFF"/>
        </w:rPr>
        <w:t>Poziom znakowania ACCUTRACE</w:t>
      </w:r>
      <w:r>
        <w:rPr>
          <w:rFonts w:ascii="Franklin Gothic Medium" w:hAnsi="Franklin Gothic Medium"/>
          <w:color w:val="000000"/>
          <w:sz w:val="24"/>
          <w:shd w:val="clear" w:color="auto" w:fill="FFFFFF"/>
          <w:vertAlign w:val="superscript"/>
        </w:rPr>
        <w:t>TM</w:t>
      </w:r>
      <w:r>
        <w:rPr>
          <w:rFonts w:ascii="Franklin Gothic Medium" w:hAnsi="Franklin Gothic Medium"/>
          <w:color w:val="000000"/>
          <w:sz w:val="24"/>
          <w:shd w:val="clear" w:color="auto" w:fill="FFFFFF"/>
        </w:rPr>
        <w:t xml:space="preserve"> PLUS ustala się na 12,5 miligramów na litr produktu energetycznego.</w:t>
      </w:r>
      <w:r>
        <w:rPr>
          <w:rFonts w:ascii="Franklin Gothic Medium" w:hAnsi="Franklin Gothic Medium"/>
          <w:color w:val="000000"/>
          <w:sz w:val="24"/>
        </w:rPr>
        <w:t xml:space="preserve"> Odpowiada to poziomowi znakowania co najmniej 9,5 miligrama butoksybenzenu na litr produktu energetycznego.  </w:t>
      </w:r>
    </w:p>
    <w:p w14:paraId="63EC45D4" w14:textId="77777777" w:rsidR="00CF0688" w:rsidRPr="006A31B7" w:rsidRDefault="00CF0688">
      <w:pPr>
        <w:pStyle w:val="-HTML1"/>
        <w:shd w:val="clear" w:color="auto" w:fill="FFFFFF"/>
        <w:ind w:left="57" w:right="57"/>
        <w:jc w:val="both"/>
        <w:rPr>
          <w:rFonts w:ascii="Franklin Gothic Medium" w:hAnsi="Franklin Gothic Medium" w:cs="Franklin Gothic Medium"/>
          <w:color w:val="000000"/>
          <w:sz w:val="24"/>
          <w:szCs w:val="24"/>
        </w:rPr>
      </w:pPr>
    </w:p>
    <w:p w14:paraId="7A3FB76B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 w:cs="Franklin Gothic Medium"/>
          <w:color w:val="000000"/>
        </w:rPr>
      </w:pPr>
    </w:p>
    <w:p w14:paraId="796C892A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</w:rPr>
        <w:t>Artykuł 3</w:t>
      </w:r>
    </w:p>
    <w:p w14:paraId="53D715D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</w:rPr>
        <w:t>Metoda badania laboratoryjnego</w:t>
      </w:r>
    </w:p>
    <w:p w14:paraId="7D6E474D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 w:cs="Franklin Gothic Medium"/>
          <w:b/>
          <w:color w:val="000000"/>
        </w:rPr>
      </w:pPr>
    </w:p>
    <w:p w14:paraId="0AB23F86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ab/>
        <w:t xml:space="preserve">Do oznaczania butoksybenzenu – aktywnego składnika </w:t>
      </w:r>
      <w:r>
        <w:rPr>
          <w:rFonts w:ascii="Franklin Gothic Medium" w:hAnsi="Franklin Gothic Medium"/>
          <w:color w:val="000000"/>
          <w:shd w:val="clear" w:color="auto" w:fill="FFFFFF"/>
        </w:rPr>
        <w:t>ACCUTRACE</w:t>
      </w:r>
      <w:r>
        <w:rPr>
          <w:rFonts w:ascii="Franklin Gothic Medium" w:hAnsi="Franklin Gothic Medium"/>
          <w:color w:val="000000"/>
          <w:shd w:val="clear" w:color="auto" w:fill="FFFFFF"/>
          <w:vertAlign w:val="superscript"/>
        </w:rPr>
        <w:t>TM</w:t>
      </w:r>
      <w:r>
        <w:rPr>
          <w:rFonts w:ascii="Franklin Gothic Medium" w:hAnsi="Franklin Gothic Medium"/>
          <w:color w:val="000000"/>
          <w:shd w:val="clear" w:color="auto" w:fill="FFFFFF"/>
        </w:rPr>
        <w:t xml:space="preserve"> PLUS,</w:t>
      </w:r>
      <w:r>
        <w:rPr>
          <w:rFonts w:ascii="Franklin Gothic Medium" w:hAnsi="Franklin Gothic Medium"/>
          <w:color w:val="000000"/>
        </w:rPr>
        <w:t xml:space="preserve"> w oleju opałowym, </w:t>
      </w:r>
      <w:r>
        <w:rPr>
          <w:rFonts w:ascii="Franklin Gothic Medium" w:hAnsi="Franklin Gothic Medium"/>
          <w:color w:val="000000"/>
          <w:shd w:val="clear" w:color="auto" w:fill="FFFFFF"/>
        </w:rPr>
        <w:t xml:space="preserve">paliwie żeglugowym MGO i paliwie żeglugowym MDO, a także w krajowej nafcie (nafcie grzewczej) </w:t>
      </w:r>
      <w:r>
        <w:rPr>
          <w:rFonts w:ascii="Franklin Gothic Medium" w:hAnsi="Franklin Gothic Medium"/>
          <w:color w:val="000000"/>
        </w:rPr>
        <w:t xml:space="preserve">w stężeniu </w:t>
      </w:r>
      <w:r>
        <w:rPr>
          <w:rFonts w:ascii="Franklin Gothic Medium" w:hAnsi="Franklin Gothic Medium"/>
          <w:color w:val="000000"/>
          <w:shd w:val="clear" w:color="auto" w:fill="FFFFFF"/>
        </w:rPr>
        <w:t xml:space="preserve"> 9,5 miligramów butoksybenzenu na litr produktu energetycznego</w:t>
      </w:r>
      <w:r>
        <w:rPr>
          <w:rFonts w:ascii="Franklin Gothic Medium" w:hAnsi="Franklin Gothic Medium"/>
          <w:color w:val="000000"/>
        </w:rPr>
        <w:t xml:space="preserve"> stosuje się dwuwymiarowy chromatograf gazowy z detektorem spektrometrii masowej (GC – MS). </w:t>
      </w:r>
      <w:r>
        <w:rPr>
          <w:rFonts w:ascii="Franklin Gothic Medium" w:hAnsi="Franklin Gothic Medium"/>
          <w:color w:val="000000"/>
          <w:highlight w:val="white"/>
          <w:shd w:val="clear" w:color="auto" w:fill="FFFFFF"/>
        </w:rPr>
        <w:t xml:space="preserve">Metoda ta opiera się na raporcie badawczym Dow zatytułowanym „Walidacja dwuwymiarowej metody chromatografii gazowej do oznaczania śladowego eteru fenylowo butylowego (BPE) w oleju napędowym”, o którym Komisja Europejska powiadomiła państwa członkowskie. </w:t>
      </w:r>
    </w:p>
    <w:p w14:paraId="733BB68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  <w:highlight w:val="white"/>
          <w:shd w:val="clear" w:color="auto" w:fill="FFFFFF"/>
        </w:rPr>
        <w:t>Należy zauważyć, że związek eteru fenylowo butylowego jest identyczny ze związkiem o nazwie chemicznej IUPAC butoksybenzen.</w:t>
      </w:r>
    </w:p>
    <w:p w14:paraId="54D6DB8B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51B156CF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1B5C31F2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  <w:u w:val="single"/>
        </w:rPr>
        <w:t>Rozpoczęcie</w:t>
      </w:r>
      <w:r>
        <w:rPr>
          <w:rFonts w:ascii="Franklin Gothic Medium" w:hAnsi="Franklin Gothic Medium"/>
          <w:color w:val="000000"/>
        </w:rPr>
        <w:t xml:space="preserve">  </w:t>
      </w:r>
    </w:p>
    <w:p w14:paraId="3AF4D639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 xml:space="preserve">Próbkę </w:t>
      </w:r>
      <w:r>
        <w:rPr>
          <w:rFonts w:ascii="Franklin Gothic Medium" w:hAnsi="Franklin Gothic Medium"/>
          <w:color w:val="000000"/>
          <w:shd w:val="clear" w:color="auto" w:fill="FFFFFF"/>
        </w:rPr>
        <w:t>produktu energetycznego</w:t>
      </w:r>
      <w:r>
        <w:rPr>
          <w:rFonts w:ascii="Franklin Gothic Medium" w:hAnsi="Franklin Gothic Medium"/>
          <w:color w:val="000000"/>
        </w:rPr>
        <w:t xml:space="preserve"> analizuje się metodą dwuwymiarowej chromatografii gazowej, z zastosowaniem kolumn kapilarnych i odpowiedniego rozkładu temperatur oraz detektorów płomieniowo-jonizacyjnych (FID) i masowych (MS).  Stosuje się sprzęgło Deansa i 3 kolumny o różnej polarności. </w:t>
      </w:r>
    </w:p>
    <w:p w14:paraId="5DCB2338" w14:textId="77777777" w:rsidR="00CF0688" w:rsidRDefault="00FE2D8D">
      <w:pPr>
        <w:pStyle w:val="ListParagraph1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0"/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 xml:space="preserve">Oznaczanie ilościowe butoksybenzenu przeprowadza się za pomocą spektrometru masowego, wykorzystując jonizację elektronową i monitorowanie wybranych jonów (SIM), a konkretnie jonu o m/z 94 (jon ilościowy) i jonu o m/z 150 (jon potwierdzający). </w:t>
      </w:r>
    </w:p>
    <w:p w14:paraId="5513055E" w14:textId="77777777" w:rsidR="00CF0688" w:rsidRDefault="00FE2D8D">
      <w:pPr>
        <w:pStyle w:val="ListParagraph1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0"/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lastRenderedPageBreak/>
        <w:t>Działanie chromatografu i obliczanie wyników są regulowane przez odpowiednie oprogramowanie.</w:t>
      </w:r>
    </w:p>
    <w:p w14:paraId="55C1C1D0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  <w:u w:val="single"/>
        </w:rPr>
      </w:pPr>
    </w:p>
    <w:p w14:paraId="05351A2A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  <w:u w:val="single"/>
        </w:rPr>
        <w:t>Odczynniki i inne materiały</w:t>
      </w:r>
    </w:p>
    <w:p w14:paraId="61396950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1. Ogólne</w:t>
      </w:r>
    </w:p>
    <w:p w14:paraId="728A1AC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— Gaz obojętny helu o czystości chromatograficznej</w:t>
      </w:r>
    </w:p>
    <w:p w14:paraId="3731E94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 xml:space="preserve">— Nieoznaczony olej opałowy, </w:t>
      </w:r>
      <w:r>
        <w:rPr>
          <w:rFonts w:ascii="Franklin Gothic Medium" w:hAnsi="Franklin Gothic Medium"/>
          <w:color w:val="000000"/>
          <w:shd w:val="clear" w:color="auto" w:fill="FFFFFF"/>
        </w:rPr>
        <w:t xml:space="preserve">paliwo żeglugowe MGO i paliwo żeglugowe MDO, a także krajowa nafta (nafta grzewcza), </w:t>
      </w:r>
      <w:r>
        <w:rPr>
          <w:rFonts w:ascii="Franklin Gothic Medium" w:hAnsi="Franklin Gothic Medium"/>
          <w:color w:val="000000"/>
        </w:rPr>
        <w:t>do przygotowania norm kalibracji.</w:t>
      </w:r>
    </w:p>
    <w:p w14:paraId="10D04B5A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– Odpowiednie rozpuszczalniki do czyszczenia automatycznego przyrządu do pobierania próbek.</w:t>
      </w:r>
    </w:p>
    <w:p w14:paraId="21E77265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471C5718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2. Wzorce kalibracyjne</w:t>
      </w:r>
    </w:p>
    <w:p w14:paraId="25461BB9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 xml:space="preserve">Roztwory standardowe </w:t>
      </w:r>
      <w:r>
        <w:rPr>
          <w:rFonts w:ascii="Franklin Gothic Medium" w:hAnsi="Franklin Gothic Medium"/>
          <w:color w:val="000000"/>
          <w:highlight w:val="white"/>
        </w:rPr>
        <w:t>butoksybenzenu</w:t>
      </w:r>
      <w:r>
        <w:rPr>
          <w:rFonts w:ascii="Franklin Gothic Medium" w:hAnsi="Franklin Gothic Medium"/>
          <w:color w:val="000000"/>
        </w:rPr>
        <w:t xml:space="preserve"> są przygotowywane z certyfikowanego materiału wzorcowego (CRM) lub roztworu podstawowego o znanym stężeniu.</w:t>
      </w:r>
    </w:p>
    <w:p w14:paraId="0DA2402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 xml:space="preserve">Do tworzenia krzywej kalibracji stosuje się nieoznaczony olej opałowy, </w:t>
      </w:r>
      <w:r>
        <w:rPr>
          <w:rFonts w:ascii="Franklin Gothic Medium" w:hAnsi="Franklin Gothic Medium"/>
          <w:color w:val="000000"/>
          <w:shd w:val="clear" w:color="auto" w:fill="FFFFFF"/>
        </w:rPr>
        <w:t>paliwo żeglugowe MGO i paliwo żeglugowe MDO, a także krajową naftę (naftę grzewczą;</w:t>
      </w:r>
      <w:r>
        <w:rPr>
          <w:rFonts w:ascii="Franklin Gothic Medium" w:hAnsi="Franklin Gothic Medium"/>
          <w:color w:val="000000"/>
        </w:rPr>
        <w:t xml:space="preserve">) oraz 7 standardowych roztworów butoksybenzenu w zakresie stężeń </w:t>
      </w:r>
      <w:r>
        <w:rPr>
          <w:rFonts w:ascii="Franklin Gothic Medium" w:hAnsi="Franklin Gothic Medium"/>
          <w:color w:val="000000"/>
          <w:shd w:val="clear" w:color="auto" w:fill="FFFFFF"/>
        </w:rPr>
        <w:t>0,095–11,875 mg.L,</w:t>
      </w:r>
      <w:r>
        <w:rPr>
          <w:rFonts w:ascii="Franklin Gothic Medium" w:hAnsi="Franklin Gothic Medium"/>
          <w:color w:val="000000"/>
          <w:shd w:val="clear" w:color="auto" w:fill="FFFFFF"/>
          <w:vertAlign w:val="superscript"/>
        </w:rPr>
        <w:t>-1</w:t>
      </w:r>
      <w:r>
        <w:rPr>
          <w:rFonts w:ascii="Franklin Gothic Medium" w:hAnsi="Franklin Gothic Medium"/>
          <w:color w:val="000000"/>
          <w:shd w:val="clear" w:color="auto" w:fill="FFFFFF"/>
        </w:rPr>
        <w:t xml:space="preserve"> butoksybenzenu w produkcie energetycznym.</w:t>
      </w:r>
    </w:p>
    <w:p w14:paraId="2484F27D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1B576DB8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  <w:u w:val="single"/>
        </w:rPr>
        <w:t>Wyposażenie</w:t>
      </w:r>
    </w:p>
    <w:p w14:paraId="0418EA30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1. Chromatograf gazowy wyposażony w elektroniczny system kontroli ciśnienia i dozownik z podziałem/bez podziału.</w:t>
      </w:r>
    </w:p>
    <w:p w14:paraId="4ADCEBB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2.  Detektor płomieniowo-jonizacyjny (FID).</w:t>
      </w:r>
    </w:p>
    <w:p w14:paraId="184B6868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3. Spektrometr masowy wykorzystujący technikę jonizacji wiązką elektronów, połączony z chromatografem za pomocą linii przesyłowej.</w:t>
      </w:r>
    </w:p>
    <w:p w14:paraId="1FF1159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4. Trzy (3) kolumny kapilarne o różnej polarności: pierwsza, typu 50 % fenylowego (15x0,25x0,15) łączy dozownik ze sprzęgłem Deansa, druga, typu woskowego (30x0,25x1,00) łączy sprzęgło Deansa z MSD, a trzecia to kolumna ze stopionej krzemionki (0,64x0,1), która łączy sprzęgło Deansa z FID.</w:t>
      </w:r>
    </w:p>
    <w:p w14:paraId="7ED69B2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5. Automatyczny przyrząd do pobierania próbek ze strzykawką precyzyjnie odmierzającą objętość 5 μl.</w:t>
      </w:r>
    </w:p>
    <w:p w14:paraId="0A0AD15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6. Komputer z odpowiednim oprogramowaniem, które pobiera i przetwarza dane.</w:t>
      </w:r>
    </w:p>
    <w:p w14:paraId="5C0E4DB9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2BC89ED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  <w:u w:val="single"/>
        </w:rPr>
        <w:t>Procedura</w:t>
      </w:r>
    </w:p>
    <w:p w14:paraId="4A82F992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Na początku tworzona jest krzywa kalibracyjna z użyciem wyżej wymienionych norm kalibracji.</w:t>
      </w:r>
    </w:p>
    <w:p w14:paraId="1DAD30D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Do wykrywania znacznika stosuje się technikę jonizacji wiązką elektronów i</w:t>
      </w:r>
    </w:p>
    <w:p w14:paraId="1837FABB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 xml:space="preserve">SIM: jon o m/z 94 (jon ilościowy) i jon o m/z 150 (jon potwierdzający). </w:t>
      </w:r>
    </w:p>
    <w:p w14:paraId="369AA21D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Jako optymalne parametry operacyjne GC – MS zalecane są następujące parametry:</w:t>
      </w:r>
    </w:p>
    <w:p w14:paraId="654A05A1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  <w:u w:val="single"/>
        </w:rPr>
      </w:pPr>
    </w:p>
    <w:p w14:paraId="63C6DC2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– Temperatura kolumny (pieca)</w:t>
      </w:r>
    </w:p>
    <w:p w14:paraId="5EF9EA16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Zgodnie z harmonogramem temperaturowym pieca, temperatura początkowa 100 ºC jest utrzymywana przez 0,5 minuty i wzrasta w tempie 10 °C.min</w:t>
      </w:r>
      <w:r>
        <w:rPr>
          <w:rFonts w:ascii="Franklin Gothic Medium" w:hAnsi="Franklin Gothic Medium"/>
          <w:color w:val="000000"/>
          <w:vertAlign w:val="superscript"/>
        </w:rPr>
        <w:t>-1</w:t>
      </w:r>
      <w:r>
        <w:rPr>
          <w:rFonts w:ascii="Franklin Gothic Medium" w:hAnsi="Franklin Gothic Medium"/>
          <w:color w:val="000000"/>
        </w:rPr>
        <w:t xml:space="preserve"> do 180°C, gdzie jest stabilizowana przez </w:t>
      </w:r>
      <w:r>
        <w:rPr>
          <w:rFonts w:ascii="Franklin Gothic Medium" w:hAnsi="Franklin Gothic Medium"/>
          <w:color w:val="000000"/>
          <w:highlight w:val="white"/>
        </w:rPr>
        <w:t>0,0</w:t>
      </w:r>
      <w:r>
        <w:rPr>
          <w:rFonts w:ascii="Franklin Gothic Medium" w:hAnsi="Franklin Gothic Medium"/>
          <w:color w:val="000000"/>
        </w:rPr>
        <w:t xml:space="preserve"> minuty, a następnie wzrasta w tempie 30°C.min</w:t>
      </w:r>
      <w:r>
        <w:rPr>
          <w:rFonts w:ascii="Franklin Gothic Medium" w:hAnsi="Franklin Gothic Medium"/>
          <w:color w:val="000000"/>
          <w:vertAlign w:val="superscript"/>
        </w:rPr>
        <w:t>-1</w:t>
      </w:r>
      <w:r>
        <w:rPr>
          <w:rFonts w:ascii="Franklin Gothic Medium" w:hAnsi="Franklin Gothic Medium"/>
          <w:color w:val="000000"/>
        </w:rPr>
        <w:t xml:space="preserve"> do 260°C, gdzie jest stabilizowana przez 4,0 minuty. </w:t>
      </w:r>
    </w:p>
    <w:p w14:paraId="3496473A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043751DE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– Dozownik (z podziałem/bez podziału)</w:t>
      </w:r>
    </w:p>
    <w:p w14:paraId="594C644C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Temperatura dozownika z podziałem/bez podziału, przy współczynniku podziału 100:1, wynosi 250 °C, a objętość dozowanej próbki wynosi 1 μl. Przepływ gazu nośnego (helu) w kolumnach wynosi: W przypadku pierwszej kolumny: 1,0 mL.min</w:t>
      </w:r>
      <w:r>
        <w:rPr>
          <w:rFonts w:ascii="Franklin Gothic Medium" w:hAnsi="Franklin Gothic Medium"/>
          <w:color w:val="000000"/>
          <w:vertAlign w:val="superscript"/>
        </w:rPr>
        <w:t>-1</w:t>
      </w:r>
      <w:r>
        <w:rPr>
          <w:rFonts w:ascii="Franklin Gothic Medium" w:hAnsi="Franklin Gothic Medium"/>
          <w:color w:val="000000"/>
        </w:rPr>
        <w:t xml:space="preserve"> dla 5,0 min, zmiana przy 99 mL.min</w:t>
      </w:r>
      <w:r>
        <w:rPr>
          <w:rFonts w:ascii="Franklin Gothic Medium" w:hAnsi="Franklin Gothic Medium"/>
          <w:color w:val="000000"/>
          <w:vertAlign w:val="superscript"/>
        </w:rPr>
        <w:t>-1</w:t>
      </w:r>
      <w:r>
        <w:rPr>
          <w:rFonts w:ascii="Franklin Gothic Medium" w:hAnsi="Franklin Gothic Medium"/>
          <w:color w:val="000000"/>
        </w:rPr>
        <w:t>, stabilizacja dla 10,1 min (etap mycia).  W przypadku drugiej kolumny: 2,5 mL.min</w:t>
      </w:r>
      <w:r>
        <w:rPr>
          <w:rFonts w:ascii="Franklin Gothic Medium" w:hAnsi="Franklin Gothic Medium"/>
          <w:color w:val="000000"/>
          <w:vertAlign w:val="superscript"/>
        </w:rPr>
        <w:t>-1</w:t>
      </w:r>
      <w:r>
        <w:rPr>
          <w:rFonts w:ascii="Franklin Gothic Medium" w:hAnsi="Franklin Gothic Medium"/>
          <w:color w:val="000000"/>
        </w:rPr>
        <w:t xml:space="preserve"> stałego przepływu.</w:t>
      </w:r>
    </w:p>
    <w:p w14:paraId="62B0AFB8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 w:cs="Franklin Gothic Medium"/>
          <w:color w:val="000000"/>
        </w:rPr>
      </w:pPr>
    </w:p>
    <w:p w14:paraId="2F520634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– Detektor płomieniowo-jonizacyjny (FID)</w:t>
      </w:r>
    </w:p>
    <w:p w14:paraId="78C4C2FE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Stosuje się detektor płomieniowo-jonizacyjny (FID), działający w temperaturze 260 °C.</w:t>
      </w:r>
    </w:p>
    <w:p w14:paraId="2F797CC4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 w:cs="Franklin Gothic Medium"/>
          <w:color w:val="000000"/>
        </w:rPr>
      </w:pPr>
    </w:p>
    <w:p w14:paraId="62B433A8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– Detektor masowy (MS Detector)</w:t>
      </w:r>
    </w:p>
    <w:p w14:paraId="362EA6AC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 xml:space="preserve"> W przypadku jonizacji wiązką elektronów i monitorowania wybranych jonów (SIM) stosuje się detektor masowy (MS Detector), który działa w następujących warunkach:</w:t>
      </w:r>
      <w:r>
        <w:rPr>
          <w:rFonts w:ascii="Franklin Gothic Medium" w:hAnsi="Franklin Gothic Medium"/>
          <w:color w:val="000000"/>
        </w:rPr>
        <w:br/>
        <w:t>Temperatura źródła jonów wynosi 250 °C.  Temperatura kwadrupolu (MS Quad) wynosi 200 °C. Temperatura linii przesyłowej wynosi 260 °C. Czas opóźnienia rozpuszczalnika wynosi 3,00 min. m/z: 94 stosuje się jako jon ilościowy, a m/z: 150 jako jon potwierdzający.  Czas oddziaływania wynosi 100 ms.</w:t>
      </w:r>
    </w:p>
    <w:p w14:paraId="36BCEAE1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Franklin Gothic Medium" w:hAnsi="Franklin Gothic Medium" w:cs="Franklin Gothic Medium"/>
          <w:color w:val="000000"/>
        </w:rPr>
      </w:pPr>
    </w:p>
    <w:p w14:paraId="088B7DC7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>W celu zapewnienia jakości wyników zaleca się stosowanie wewnętrznego systemu kontroli jakości z regularną analizą próbki kontrolnej.</w:t>
      </w:r>
    </w:p>
    <w:p w14:paraId="6A64EC12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3CC151E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 xml:space="preserve">Do wspólnego oznaczania </w:t>
      </w:r>
      <w:r>
        <w:rPr>
          <w:rFonts w:ascii="Franklin Gothic Medium" w:hAnsi="Franklin Gothic Medium"/>
          <w:color w:val="000000"/>
          <w:shd w:val="clear" w:color="auto" w:fill="FFFFFF"/>
        </w:rPr>
        <w:t>ACCUTRACE</w:t>
      </w:r>
      <w:r>
        <w:rPr>
          <w:rFonts w:ascii="Franklin Gothic Medium" w:hAnsi="Franklin Gothic Medium"/>
          <w:color w:val="000000"/>
          <w:shd w:val="clear" w:color="auto" w:fill="FFFFFF"/>
          <w:vertAlign w:val="superscript"/>
        </w:rPr>
        <w:t>TM</w:t>
      </w:r>
      <w:r>
        <w:rPr>
          <w:rFonts w:ascii="Franklin Gothic Medium" w:hAnsi="Franklin Gothic Medium"/>
          <w:color w:val="000000"/>
          <w:shd w:val="clear" w:color="auto" w:fill="FFFFFF"/>
        </w:rPr>
        <w:t xml:space="preserve"> PLUS i znaczników krajowej technologii molekularnej FT36 i FT39</w:t>
      </w:r>
      <w:r>
        <w:rPr>
          <w:rFonts w:ascii="Franklin Gothic Medium" w:hAnsi="Franklin Gothic Medium"/>
          <w:color w:val="000000"/>
        </w:rPr>
        <w:t xml:space="preserve"> można stosować alternatywną metodę chromatografii gazowej z odpowiednimi kolumnami i detektorami, jeżeli można wykazać, że zapewnia ona co najmniej taką samą dokładność i co najmniej taki sam poziom precyzji jak metoda analityczna, którą zastępuje.</w:t>
      </w:r>
    </w:p>
    <w:p w14:paraId="5F6F927C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56538626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</w:p>
    <w:p w14:paraId="5D4E373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ab/>
        <w:t xml:space="preserve"> </w:t>
      </w:r>
    </w:p>
    <w:p w14:paraId="1CAA44C1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</w:rPr>
        <w:t>Artykuł 4</w:t>
      </w:r>
    </w:p>
    <w:p w14:paraId="4B1C63EC" w14:textId="43DE501A" w:rsidR="00CF0688" w:rsidRDefault="00FE2D8D">
      <w:pPr>
        <w:tabs>
          <w:tab w:val="left" w:pos="0"/>
        </w:tabs>
        <w:ind w:hanging="1080"/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</w:rPr>
        <w:t>Cechy jakościowe metody badawczej</w:t>
      </w:r>
    </w:p>
    <w:p w14:paraId="1B323D56" w14:textId="77777777" w:rsidR="00CF0688" w:rsidRDefault="00FE2D8D">
      <w:pPr>
        <w:tabs>
          <w:tab w:val="left" w:pos="0"/>
        </w:tabs>
        <w:ind w:hanging="1080"/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ab/>
      </w:r>
      <w:r>
        <w:rPr>
          <w:rFonts w:ascii="Franklin Gothic Medium" w:hAnsi="Franklin Gothic Medium"/>
          <w:color w:val="000000"/>
        </w:rPr>
        <w:tab/>
      </w:r>
    </w:p>
    <w:p w14:paraId="7167D598" w14:textId="77777777" w:rsidR="00CF0688" w:rsidRDefault="00FE2D8D">
      <w:pPr>
        <w:tabs>
          <w:tab w:val="left" w:pos="0"/>
        </w:tabs>
        <w:ind w:hanging="1080"/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ab/>
      </w:r>
      <w:r>
        <w:rPr>
          <w:rFonts w:ascii="Franklin Gothic Medium" w:hAnsi="Franklin Gothic Medium"/>
          <w:color w:val="000000"/>
        </w:rPr>
        <w:tab/>
        <w:t xml:space="preserve">Charakterystykę działania metody ustala się po jej walidacji zgodnie z wymogami normy ELOT EN ISO IEC 17025. </w:t>
      </w:r>
    </w:p>
    <w:p w14:paraId="377A21C1" w14:textId="77777777" w:rsidR="00CF0688" w:rsidRDefault="00FE2D8D">
      <w:pPr>
        <w:shd w:val="clear" w:color="auto" w:fill="FFFFFF"/>
        <w:tabs>
          <w:tab w:val="left" w:pos="0"/>
        </w:tabs>
        <w:ind w:hanging="1080"/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</w:rPr>
        <w:tab/>
      </w:r>
      <w:r>
        <w:rPr>
          <w:rFonts w:ascii="Franklin Gothic Medium" w:hAnsi="Franklin Gothic Medium"/>
          <w:b/>
          <w:color w:val="000000"/>
        </w:rPr>
        <w:tab/>
      </w:r>
      <w:r>
        <w:rPr>
          <w:rFonts w:ascii="Franklin Gothic Medium" w:hAnsi="Franklin Gothic Medium"/>
          <w:color w:val="000000"/>
        </w:rPr>
        <w:t>W przypadku wątpliwości co do wyników badań należy je ocenić i interpretować zgodnie z normą ELOT EN ISO 4259:2018.</w:t>
      </w:r>
    </w:p>
    <w:p w14:paraId="636DB490" w14:textId="77777777" w:rsidR="00CF0688" w:rsidRDefault="00CF0688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rFonts w:ascii="Franklin Gothic Medium" w:hAnsi="Franklin Gothic Medium" w:cs="Franklin Gothic Medium"/>
          <w:b/>
          <w:color w:val="000000"/>
          <w:highlight w:val="yellow"/>
        </w:rPr>
      </w:pPr>
    </w:p>
    <w:p w14:paraId="02B4F526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center"/>
        <w:rPr>
          <w:rFonts w:ascii="Franklin Gothic Medium" w:hAnsi="Franklin Gothic Medium" w:cs="Franklin Gothic Medium"/>
          <w:b/>
          <w:color w:val="000000"/>
          <w:highlight w:val="yellow"/>
        </w:rPr>
      </w:pPr>
    </w:p>
    <w:p w14:paraId="732D5771" w14:textId="77777777" w:rsidR="00CF0688" w:rsidRDefault="00FE2D8D">
      <w:pPr>
        <w:tabs>
          <w:tab w:val="left" w:pos="0"/>
        </w:tabs>
        <w:ind w:hanging="1080"/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ab/>
      </w:r>
    </w:p>
    <w:p w14:paraId="2D808370" w14:textId="77777777" w:rsidR="00CF0688" w:rsidRDefault="00FE2D8D">
      <w:pPr>
        <w:pStyle w:val="Heading8"/>
        <w:jc w:val="center"/>
        <w:rPr>
          <w:rFonts w:ascii="Franklin Gothic Medium" w:hAnsi="Franklin Gothic Medium" w:cs="Franklin Gothic Medium"/>
          <w:b/>
          <w:color w:val="000000"/>
          <w:sz w:val="24"/>
          <w:szCs w:val="24"/>
        </w:rPr>
      </w:pPr>
      <w:r>
        <w:rPr>
          <w:rFonts w:ascii="Franklin Gothic Medium" w:hAnsi="Franklin Gothic Medium"/>
          <w:b/>
          <w:color w:val="000000"/>
          <w:sz w:val="24"/>
        </w:rPr>
        <w:t>Artykuł 5</w:t>
      </w:r>
    </w:p>
    <w:p w14:paraId="363F3422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</w:rPr>
        <w:t>Metoda badania do celów kontroli w terenie</w:t>
      </w:r>
      <w:r>
        <w:rPr>
          <w:rFonts w:ascii="Franklin Gothic Medium" w:hAnsi="Franklin Gothic Medium"/>
          <w:color w:val="000000"/>
        </w:rPr>
        <w:t xml:space="preserve"> </w:t>
      </w:r>
    </w:p>
    <w:p w14:paraId="31BFCB07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 w:cs="Franklin Gothic Medium"/>
          <w:color w:val="000000"/>
        </w:rPr>
      </w:pPr>
    </w:p>
    <w:p w14:paraId="25DC9ABE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ab/>
        <w:t xml:space="preserve">W przypadku orientacyjnych badań kontrolnych w terenie, próbkę </w:t>
      </w:r>
      <w:r>
        <w:rPr>
          <w:rFonts w:ascii="Franklin Gothic Medium" w:hAnsi="Franklin Gothic Medium"/>
          <w:color w:val="000000"/>
          <w:highlight w:val="white"/>
        </w:rPr>
        <w:t>produktu energetycznego</w:t>
      </w:r>
      <w:r>
        <w:rPr>
          <w:rFonts w:ascii="Franklin Gothic Medium" w:hAnsi="Franklin Gothic Medium"/>
          <w:color w:val="000000"/>
        </w:rPr>
        <w:t xml:space="preserve">, bez uprzedniej obróbki, poddaje się analizie za pomocą odpowiedniego urządzenia do chromatografii gazowej, kolumn kapilarnych i odpowiedniego rozkładu temperatur, przy użyciu odpowiednich detektorów (FID i/lub MS).  </w:t>
      </w:r>
    </w:p>
    <w:p w14:paraId="1B2944A4" w14:textId="77777777" w:rsidR="00CF0688" w:rsidRDefault="00CF0688">
      <w:pPr>
        <w:tabs>
          <w:tab w:val="left" w:pos="0"/>
        </w:tabs>
        <w:rPr>
          <w:rFonts w:ascii="Franklin Gothic Medium" w:hAnsi="Franklin Gothic Medium" w:cs="Franklin Gothic Medium"/>
          <w:color w:val="000000"/>
        </w:rPr>
      </w:pPr>
    </w:p>
    <w:p w14:paraId="193B0459" w14:textId="77777777" w:rsidR="00CF0688" w:rsidRDefault="00CF0688">
      <w:pPr>
        <w:tabs>
          <w:tab w:val="left" w:pos="0"/>
        </w:tabs>
        <w:jc w:val="center"/>
        <w:rPr>
          <w:rFonts w:ascii="Franklin Gothic Medium" w:hAnsi="Franklin Gothic Medium" w:cs="Franklin Gothic Medium"/>
          <w:color w:val="000000"/>
        </w:rPr>
      </w:pPr>
    </w:p>
    <w:p w14:paraId="082289BA" w14:textId="77777777" w:rsidR="00CF0688" w:rsidRDefault="00FE2D8D">
      <w:pPr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ab/>
      </w:r>
      <w:r>
        <w:rPr>
          <w:rFonts w:ascii="Franklin Gothic Medium" w:hAnsi="Franklin Gothic Medium"/>
          <w:color w:val="000000"/>
        </w:rPr>
        <w:tab/>
      </w:r>
      <w:r>
        <w:rPr>
          <w:rFonts w:ascii="Franklin Gothic Medium" w:hAnsi="Franklin Gothic Medium"/>
          <w:b/>
          <w:color w:val="000000"/>
        </w:rPr>
        <w:t>Artykuł 6</w:t>
      </w:r>
      <w:r>
        <w:rPr>
          <w:rFonts w:ascii="Franklin Gothic Medium" w:hAnsi="Franklin Gothic Medium"/>
          <w:color w:val="000000"/>
        </w:rPr>
        <w:tab/>
      </w:r>
      <w:r>
        <w:rPr>
          <w:rFonts w:ascii="Franklin Gothic Medium" w:hAnsi="Franklin Gothic Medium"/>
          <w:color w:val="000000"/>
        </w:rPr>
        <w:tab/>
      </w:r>
    </w:p>
    <w:p w14:paraId="300A4B4F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b/>
          <w:color w:val="000000"/>
        </w:rPr>
        <w:t>Uchylane przepisy</w:t>
      </w:r>
    </w:p>
    <w:p w14:paraId="15F7EC05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 w:cs="Franklin Gothic Medium"/>
          <w:color w:val="000000"/>
        </w:rPr>
      </w:pPr>
    </w:p>
    <w:p w14:paraId="632638E2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ab/>
        <w:t>Z chwilą wejścia w życie niniejszej decyzji uchyla się, co następuje:</w:t>
      </w:r>
    </w:p>
    <w:p w14:paraId="4C61115D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 xml:space="preserve">(1) Art. 3 ust. 3 pkt 2 decyzji </w:t>
      </w:r>
      <w:r>
        <w:rPr>
          <w:rFonts w:ascii="Franklin Gothic Medium" w:hAnsi="Franklin Gothic Medium"/>
          <w:color w:val="000000"/>
          <w:highlight w:val="white"/>
        </w:rPr>
        <w:t>NRC</w:t>
      </w:r>
      <w:r>
        <w:rPr>
          <w:rFonts w:ascii="Franklin Gothic Medium" w:hAnsi="Franklin Gothic Medium"/>
          <w:color w:val="000000"/>
        </w:rPr>
        <w:t xml:space="preserve"> nr</w:t>
      </w:r>
      <w:r>
        <w:rPr>
          <w:rFonts w:ascii="Franklin Gothic Medium" w:hAnsi="Franklin Gothic Medium"/>
          <w:color w:val="000000"/>
          <w:highlight w:val="white"/>
        </w:rPr>
        <w:t xml:space="preserve"> 53/2015, „Paliwa do zaopatrzenia statków — Wymagania, metody badań i procedury dotyczące barwienia i oznaczania paliwa żeglugowego MGO”.</w:t>
      </w:r>
      <w:r>
        <w:rPr>
          <w:rFonts w:ascii="Franklin Gothic Medium" w:hAnsi="Franklin Gothic Medium"/>
          <w:color w:val="000000"/>
        </w:rPr>
        <w:t xml:space="preserve"> (Dziennik Urzędowy B’ nr 987/2015/16)</w:t>
      </w:r>
    </w:p>
    <w:p w14:paraId="42E3FFC4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  <w:highlight w:val="white"/>
        </w:rPr>
        <w:t>(2) Art. 2 ust. 2 decyzji NRC nr 468/2002 (Dziennik Urzędowy B’ nr 1273/05.09.2003), „Procedury barwienia i oznaczania oleju opałowego” (Dziennik Urzędowy B’ nr 1273/2002/03)</w:t>
      </w:r>
    </w:p>
    <w:p w14:paraId="3FD7DA05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  <w:highlight w:val="white"/>
        </w:rPr>
        <w:t>(3) Art. 2 ust. 1 decyzji NRC nr 469/2002 (Dziennik Urzędowy B’ nr 1273/2003), „Szczegóły i metody badania nafty grzewczej”. (Dziennik Urzędowy B’ nr 1273/2002/03)</w:t>
      </w:r>
    </w:p>
    <w:p w14:paraId="56D3C729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Franklin Gothic Medium" w:hAnsi="Franklin Gothic Medium"/>
          <w:color w:val="000000"/>
          <w:lang w:val="en-US"/>
        </w:rPr>
      </w:pPr>
    </w:p>
    <w:p w14:paraId="158C4577" w14:textId="77777777" w:rsidR="00CF0688" w:rsidRDefault="00CF06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 w:cs="Franklin Gothic Medium"/>
          <w:color w:val="000000"/>
          <w:lang w:val="en-US"/>
        </w:rPr>
      </w:pPr>
    </w:p>
    <w:p w14:paraId="4151AA57" w14:textId="77777777" w:rsidR="00CF0688" w:rsidRDefault="00FE2D8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Franklin Gothic Medium" w:hAnsi="Franklin Gothic Medium"/>
          <w:color w:val="000000"/>
        </w:rPr>
      </w:pPr>
      <w:r>
        <w:rPr>
          <w:rFonts w:ascii="Franklin Gothic Medium" w:hAnsi="Franklin Gothic Medium"/>
          <w:color w:val="000000"/>
        </w:rPr>
        <w:t xml:space="preserve"> </w:t>
      </w:r>
    </w:p>
    <w:p w14:paraId="7500A9B6" w14:textId="77777777" w:rsidR="00CF0688" w:rsidRDefault="00CF0688">
      <w:pPr>
        <w:spacing w:line="276" w:lineRule="auto"/>
        <w:rPr>
          <w:rFonts w:ascii="Franklin Gothic Medium" w:hAnsi="Franklin Gothic Medium"/>
        </w:rPr>
      </w:pPr>
    </w:p>
    <w:tbl>
      <w:tblPr>
        <w:tblpPr w:leftFromText="180" w:rightFromText="180" w:vertAnchor="text" w:horzAnchor="page" w:tblpX="1397" w:tblpY="195"/>
        <w:tblW w:w="10212" w:type="dxa"/>
        <w:tblLayout w:type="fixed"/>
        <w:tblLook w:val="01E0" w:firstRow="1" w:lastRow="1" w:firstColumn="1" w:lastColumn="1" w:noHBand="0" w:noVBand="0"/>
      </w:tblPr>
      <w:tblGrid>
        <w:gridCol w:w="364"/>
        <w:gridCol w:w="4368"/>
        <w:gridCol w:w="457"/>
        <w:gridCol w:w="1590"/>
        <w:gridCol w:w="2934"/>
        <w:gridCol w:w="499"/>
      </w:tblGrid>
      <w:tr w:rsidR="00CF0688" w14:paraId="5C783656" w14:textId="77777777">
        <w:trPr>
          <w:trHeight w:val="1326"/>
        </w:trPr>
        <w:tc>
          <w:tcPr>
            <w:tcW w:w="4731" w:type="dxa"/>
            <w:gridSpan w:val="2"/>
          </w:tcPr>
          <w:p w14:paraId="357BB0B7" w14:textId="77777777" w:rsidR="00CF0688" w:rsidRDefault="00FE2D8D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sz w:val="24"/>
                <w:szCs w:val="24"/>
              </w:rPr>
            </w:pPr>
            <w:r>
              <w:rPr>
                <w:rFonts w:ascii="Franklin Gothic Medium" w:hAnsi="Franklin Gothic Medium"/>
                <w:b/>
                <w:sz w:val="24"/>
              </w:rPr>
              <w:lastRenderedPageBreak/>
              <w:t xml:space="preserve">       PRZEWODNICZĄCY</w:t>
            </w:r>
          </w:p>
          <w:p w14:paraId="65373139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11684242" w14:textId="77777777" w:rsidR="00CF0688" w:rsidRDefault="00CF0688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bCs/>
                <w:sz w:val="24"/>
                <w:szCs w:val="24"/>
              </w:rPr>
            </w:pPr>
          </w:p>
          <w:p w14:paraId="67C29CB0" w14:textId="42B3C372" w:rsidR="00CF0688" w:rsidRDefault="00FE2D8D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sz w:val="24"/>
                <w:szCs w:val="24"/>
              </w:rPr>
            </w:pPr>
            <w:r>
              <w:rPr>
                <w:rFonts w:ascii="Franklin Gothic Medium" w:hAnsi="Franklin Gothic Medium"/>
                <w:b/>
                <w:sz w:val="24"/>
              </w:rPr>
              <w:t>EVANGELOS BAKEAS</w:t>
            </w:r>
          </w:p>
        </w:tc>
        <w:tc>
          <w:tcPr>
            <w:tcW w:w="457" w:type="dxa"/>
          </w:tcPr>
          <w:p w14:paraId="30020D6A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59C9708D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1FEFB148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4970EBC0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</w:tc>
        <w:tc>
          <w:tcPr>
            <w:tcW w:w="4524" w:type="dxa"/>
            <w:gridSpan w:val="2"/>
          </w:tcPr>
          <w:p w14:paraId="0C11015D" w14:textId="77777777" w:rsidR="00CF0688" w:rsidRDefault="00FE2D8D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sz w:val="24"/>
                <w:szCs w:val="24"/>
              </w:rPr>
            </w:pPr>
            <w:r>
              <w:rPr>
                <w:rFonts w:ascii="Franklin Gothic Medium" w:hAnsi="Franklin Gothic Medium"/>
                <w:b/>
                <w:sz w:val="24"/>
              </w:rPr>
              <w:t xml:space="preserve">          SEKRETARZ</w:t>
            </w:r>
          </w:p>
          <w:p w14:paraId="036E13BF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30F83A63" w14:textId="77777777" w:rsidR="00CF0688" w:rsidRDefault="00CF0688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  <w:p w14:paraId="3DE4C40D" w14:textId="77777777" w:rsidR="00CF0688" w:rsidRDefault="00FE2D8D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sz w:val="24"/>
                <w:szCs w:val="24"/>
              </w:rPr>
            </w:pPr>
            <w:r>
              <w:rPr>
                <w:rFonts w:ascii="Franklin Gothic Medium" w:hAnsi="Franklin Gothic Medium"/>
                <w:b/>
                <w:sz w:val="24"/>
              </w:rPr>
              <w:t>ELENI BANIA-GEORGOPOULOU</w:t>
            </w:r>
          </w:p>
        </w:tc>
        <w:tc>
          <w:tcPr>
            <w:tcW w:w="499" w:type="dxa"/>
          </w:tcPr>
          <w:p w14:paraId="0C4209A2" w14:textId="77777777" w:rsidR="00CF0688" w:rsidRDefault="00CF0688">
            <w:pPr>
              <w:widowControl w:val="0"/>
            </w:pPr>
          </w:p>
        </w:tc>
      </w:tr>
      <w:tr w:rsidR="00CF0688" w14:paraId="3658E900" w14:textId="77777777">
        <w:trPr>
          <w:trHeight w:val="267"/>
        </w:trPr>
        <w:tc>
          <w:tcPr>
            <w:tcW w:w="363" w:type="dxa"/>
          </w:tcPr>
          <w:p w14:paraId="0AC95AB6" w14:textId="77777777" w:rsidR="00CF0688" w:rsidRDefault="00CF0688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bCs/>
                <w:sz w:val="24"/>
                <w:szCs w:val="24"/>
              </w:rPr>
            </w:pPr>
          </w:p>
        </w:tc>
        <w:tc>
          <w:tcPr>
            <w:tcW w:w="4825" w:type="dxa"/>
            <w:gridSpan w:val="2"/>
          </w:tcPr>
          <w:p w14:paraId="69A9A6F2" w14:textId="77777777" w:rsidR="00CF0688" w:rsidRDefault="00CF0688">
            <w:pPr>
              <w:pStyle w:val="BodyText3"/>
              <w:widowControl w:val="0"/>
              <w:spacing w:line="276" w:lineRule="auto"/>
              <w:rPr>
                <w:rFonts w:ascii="Franklin Gothic Medium" w:hAnsi="Franklin Gothic Medium"/>
                <w:b/>
                <w:bCs/>
                <w:sz w:val="24"/>
                <w:szCs w:val="24"/>
              </w:rPr>
            </w:pPr>
          </w:p>
        </w:tc>
        <w:tc>
          <w:tcPr>
            <w:tcW w:w="1590" w:type="dxa"/>
          </w:tcPr>
          <w:p w14:paraId="2C767FE9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</w:tc>
        <w:tc>
          <w:tcPr>
            <w:tcW w:w="3433" w:type="dxa"/>
            <w:gridSpan w:val="2"/>
          </w:tcPr>
          <w:p w14:paraId="5915D9FF" w14:textId="77777777" w:rsidR="00CF0688" w:rsidRDefault="00CF0688">
            <w:pPr>
              <w:pStyle w:val="BodyText3"/>
              <w:widowControl w:val="0"/>
              <w:spacing w:line="276" w:lineRule="auto"/>
              <w:jc w:val="center"/>
              <w:rPr>
                <w:rFonts w:ascii="Franklin Gothic Medium" w:hAnsi="Franklin Gothic Medium"/>
                <w:b/>
                <w:sz w:val="24"/>
                <w:szCs w:val="24"/>
              </w:rPr>
            </w:pPr>
          </w:p>
        </w:tc>
      </w:tr>
    </w:tbl>
    <w:p w14:paraId="0BEF64EB" w14:textId="77777777" w:rsidR="00CF0688" w:rsidRDefault="00CF0688">
      <w:pPr>
        <w:pStyle w:val="BodyTextIndent"/>
        <w:spacing w:line="276" w:lineRule="auto"/>
        <w:ind w:left="0"/>
        <w:jc w:val="both"/>
        <w:rPr>
          <w:rFonts w:ascii="Franklin Gothic Medium" w:hAnsi="Franklin Gothic Medium" w:cs="Arial"/>
        </w:rPr>
      </w:pPr>
    </w:p>
    <w:sectPr w:rsidR="00CF0688">
      <w:pgSz w:w="11906" w:h="16838"/>
      <w:pgMar w:top="851" w:right="1106" w:bottom="1440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88"/>
    <w:rsid w:val="00425E76"/>
    <w:rsid w:val="004F5269"/>
    <w:rsid w:val="005D031B"/>
    <w:rsid w:val="006A31B7"/>
    <w:rsid w:val="006E2E77"/>
    <w:rsid w:val="00B63334"/>
    <w:rsid w:val="00CD6FC9"/>
    <w:rsid w:val="00CF0688"/>
    <w:rsid w:val="00FE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59E7E"/>
  <w15:docId w15:val="{047C9FB7-6C49-406C-B3BC-D97FA686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84"/>
    <w:rPr>
      <w:sz w:val="24"/>
      <w:szCs w:val="24"/>
      <w:lang w:eastAsia="el-GR"/>
    </w:rPr>
  </w:style>
  <w:style w:type="paragraph" w:styleId="Heading1">
    <w:name w:val="heading 1"/>
    <w:basedOn w:val="Normal"/>
    <w:next w:val="Normal"/>
    <w:qFormat/>
    <w:rsid w:val="00942284"/>
    <w:pPr>
      <w:keepNext/>
      <w:jc w:val="both"/>
      <w:outlineLvl w:val="0"/>
    </w:pPr>
    <w:rPr>
      <w:rFonts w:ascii="Arial" w:eastAsia="Arial Unicode MS" w:hAnsi="Arial" w:cs="Arial"/>
      <w:b/>
      <w:bCs/>
      <w:sz w:val="22"/>
    </w:rPr>
  </w:style>
  <w:style w:type="paragraph" w:styleId="Heading3">
    <w:name w:val="heading 3"/>
    <w:basedOn w:val="Normal"/>
    <w:next w:val="Normal"/>
    <w:qFormat/>
    <w:rsid w:val="00942284"/>
    <w:pPr>
      <w:keepNext/>
      <w:outlineLvl w:val="2"/>
    </w:pPr>
    <w:rPr>
      <w:rFonts w:ascii="Arial" w:eastAsia="Arial Unicode MS" w:hAnsi="Arial" w:cs="Arial"/>
      <w:b/>
      <w:bCs/>
      <w:sz w:val="2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E59B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42284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9352AE"/>
    <w:rPr>
      <w:rFonts w:ascii="Arial" w:hAnsi="Arial" w:cs="Arial"/>
      <w:sz w:val="24"/>
      <w:szCs w:val="24"/>
      <w:lang w:val="pl-PL" w:eastAsia="el-GR" w:bidi="ar-SA"/>
    </w:rPr>
  </w:style>
  <w:style w:type="character" w:styleId="PlaceholderText">
    <w:name w:val="Placeholder Text"/>
    <w:basedOn w:val="DefaultParagraphFont"/>
    <w:uiPriority w:val="99"/>
    <w:semiHidden/>
    <w:qFormat/>
    <w:rsid w:val="00671BD0"/>
    <w:rPr>
      <w:color w:val="808080"/>
    </w:rPr>
  </w:style>
  <w:style w:type="character" w:customStyle="1" w:styleId="Style1">
    <w:name w:val="Style1"/>
    <w:basedOn w:val="DefaultParagraphFont"/>
    <w:uiPriority w:val="1"/>
    <w:qFormat/>
    <w:rsid w:val="00671BD0"/>
    <w:rPr>
      <w:rFonts w:ascii="Comic Sans MS" w:hAnsi="Comic Sans MS"/>
      <w:sz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0F7BA1"/>
    <w:rPr>
      <w:rFonts w:ascii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17D4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E17D4B"/>
    <w:rPr>
      <w:lang w:val="pl-PL" w:eastAsia="el-G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E17D4B"/>
    <w:rPr>
      <w:b/>
      <w:bCs/>
      <w:lang w:val="pl-PL" w:eastAsia="el-GR"/>
    </w:rPr>
  </w:style>
  <w:style w:type="character" w:customStyle="1" w:styleId="BodyTextIndent2Char">
    <w:name w:val="Body Text Indent 2 Char"/>
    <w:qFormat/>
    <w:rsid w:val="00334B2A"/>
    <w:rPr>
      <w:sz w:val="24"/>
      <w:szCs w:val="24"/>
    </w:rPr>
  </w:style>
  <w:style w:type="character" w:customStyle="1" w:styleId="Char">
    <w:name w:val="Απλό κείμενο Char"/>
    <w:basedOn w:val="DefaultParagraphFont"/>
    <w:uiPriority w:val="99"/>
    <w:semiHidden/>
    <w:qFormat/>
    <w:rsid w:val="003D1F0F"/>
    <w:rPr>
      <w:rFonts w:ascii="Consolas" w:hAnsi="Consolas"/>
      <w:sz w:val="21"/>
      <w:szCs w:val="21"/>
      <w:lang w:val="pl-PL" w:eastAsia="el-GR"/>
    </w:rPr>
  </w:style>
  <w:style w:type="character" w:customStyle="1" w:styleId="PlainTextChar">
    <w:name w:val="Plain Text Char"/>
    <w:link w:val="PlainText"/>
    <w:qFormat/>
    <w:rsid w:val="003D1F0F"/>
    <w:rPr>
      <w:rFonts w:ascii="Courier New" w:hAnsi="Courier New"/>
      <w:lang w:val="pl-PL" w:eastAsia="el-G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EF7090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9E59B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l-PL" w:eastAsia="el-GR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42284"/>
    <w:pPr>
      <w:jc w:val="both"/>
    </w:pPr>
    <w:rPr>
      <w:rFonts w:ascii="Arial" w:hAnsi="Arial" w:cs="Arial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BodyTextIndent2">
    <w:name w:val="Body Text Indent 2"/>
    <w:basedOn w:val="Normal"/>
    <w:qFormat/>
    <w:rsid w:val="00A44D8E"/>
    <w:pPr>
      <w:ind w:firstLine="720"/>
      <w:jc w:val="both"/>
    </w:pPr>
    <w:rPr>
      <w:rFonts w:ascii="Comic Sans MS" w:hAnsi="Comic Sans MS" w:cs="Arial"/>
      <w:sz w:val="22"/>
      <w:szCs w:val="22"/>
    </w:rPr>
  </w:style>
  <w:style w:type="paragraph" w:styleId="BodyText3">
    <w:name w:val="Body Text 3"/>
    <w:basedOn w:val="Normal"/>
    <w:qFormat/>
    <w:rsid w:val="00942284"/>
    <w:pPr>
      <w:jc w:val="both"/>
    </w:pPr>
    <w:rPr>
      <w:rFonts w:ascii="Arial" w:hAnsi="Arial" w:cs="Arial"/>
      <w:sz w:val="20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1D351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BodyTextIndent">
    <w:name w:val="Body Text Indent"/>
    <w:basedOn w:val="Normal"/>
    <w:rsid w:val="0007142E"/>
    <w:pPr>
      <w:spacing w:after="120"/>
      <w:ind w:left="283"/>
    </w:pPr>
  </w:style>
  <w:style w:type="paragraph" w:styleId="BodyText2">
    <w:name w:val="Body Text 2"/>
    <w:basedOn w:val="Normal"/>
    <w:qFormat/>
    <w:rsid w:val="00BD5E82"/>
    <w:pPr>
      <w:spacing w:after="120" w:line="480" w:lineRule="auto"/>
    </w:pPr>
  </w:style>
  <w:style w:type="paragraph" w:styleId="BalloonText">
    <w:name w:val="Balloon Text"/>
    <w:basedOn w:val="Normal"/>
    <w:semiHidden/>
    <w:qFormat/>
    <w:rsid w:val="002B174B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9904FD"/>
    <w:pPr>
      <w:textAlignment w:val="baseline"/>
    </w:pPr>
    <w:rPr>
      <w:kern w:val="2"/>
      <w:sz w:val="24"/>
      <w:szCs w:val="24"/>
      <w:lang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E17D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E17D4B"/>
    <w:rPr>
      <w:b/>
      <w:bCs/>
    </w:rPr>
  </w:style>
  <w:style w:type="paragraph" w:styleId="PlainText">
    <w:name w:val="Plain Text"/>
    <w:basedOn w:val="Normal"/>
    <w:link w:val="PlainTextChar"/>
    <w:qFormat/>
    <w:rsid w:val="003D1F0F"/>
    <w:rPr>
      <w:rFonts w:ascii="Courier New" w:hAnsi="Courier New"/>
      <w:sz w:val="20"/>
      <w:szCs w:val="20"/>
    </w:rPr>
  </w:style>
  <w:style w:type="paragraph" w:customStyle="1" w:styleId="-HTML1">
    <w:name w:val="Προ-διαμορφωμένο HTML1"/>
    <w:basedOn w:val="Normal"/>
    <w:qFormat/>
    <w:rsid w:val="009E59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ListParagraph1">
    <w:name w:val="List Paragraph1"/>
    <w:basedOn w:val="Normal"/>
    <w:qFormat/>
    <w:rsid w:val="009E59BD"/>
    <w:pPr>
      <w:ind w:left="720"/>
    </w:pPr>
    <w:rPr>
      <w:lang w:eastAsia="zh-CN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rsid w:val="00942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axs@aade.g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CCF9F-29E7-43B7-93BC-45FF26F69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1419</Words>
  <Characters>8089</Characters>
  <Application>Microsoft Office Word</Application>
  <DocSecurity>0</DocSecurity>
  <Lines>67</Lines>
  <Paragraphs>18</Paragraphs>
  <ScaleCrop>false</ScaleCrop>
  <Company>GXK</Company>
  <LinksUpToDate>false</LinksUpToDate>
  <CharactersWithSpaces>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dc:description/>
  <cp:lastModifiedBy>Liana Brili</cp:lastModifiedBy>
  <cp:revision>10</cp:revision>
  <cp:lastPrinted>2022-10-17T05:05:00Z</cp:lastPrinted>
  <dcterms:created xsi:type="dcterms:W3CDTF">2022-10-17T05:13:00Z</dcterms:created>
  <dcterms:modified xsi:type="dcterms:W3CDTF">2022-10-31T08:19:00Z</dcterms:modified>
  <dc:language>en-US</dc:language>
</cp:coreProperties>
</file>