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1D4DE512" w:rsidR="00EA4D8C" w:rsidRDefault="006D355F" w:rsidP="00EA4D8C">
      <w:pPr>
        <w:jc w:val="both"/>
        <w:rPr>
          <w:rFonts w:ascii="Arial" w:hAnsi="Arial" w:cs="Arial"/>
          <w:b/>
        </w:rPr>
      </w:pPr>
      <w:r>
        <w:rPr>
          <w:rFonts w:ascii="Arial" w:hAnsi="Arial"/>
          <w:b/>
        </w:rPr>
        <w:t>DECYZJA DYREKCJI GENERALNEJ DS. GIER HAZARDOWYCH, ZMIENIAJĄCA DECYZJĘ DYREKCJI GENERALNEJ DS. GIER HAZARDOWYCH Z DNIA 12 LIPCA 2012 R. WYDANĄ W CELU ZATWIERDZENIA PRZEPISU DOTYCZĄCEGO WDROŻENIA ART. 26 I 27 DEKRETU KRÓLEWSKIEGO 1613/2011 Z DNIA 14 LISTOPADA W ODNIESIENIU DO IDENTYFIKACJI UCZESTNIKÓW GIER HAZARDOWYCH I MONITOROWANIA SUBIEKTYWNYCH WYKLUCZEŃ Z GIER HAZARDOWYCH ORAZ DECYZJĘ DYREKCJI GENERALNEJ DS. GIER HAZARDOWYCH Z DNIA 6 PAŹDZIERNIKA 2014 R. W SPRAWIE ZATWIERDZENIA MODELU DANYCH DO WYKORZYSTANIA W SYSTEMIE MONITOROWANIA INFORMACJI ODPOWIADAJĄCYM REJESTROM OPERACJI ZWIĄZANYM Z GRAMI HAZARDOWYMI.</w:t>
      </w:r>
    </w:p>
    <w:p w14:paraId="0EA78337" w14:textId="77777777" w:rsidR="00554712" w:rsidRPr="002800C6" w:rsidRDefault="00554712" w:rsidP="00554712">
      <w:pPr>
        <w:jc w:val="both"/>
        <w:rPr>
          <w:rFonts w:ascii="Arial" w:hAnsi="Arial" w:cs="Arial"/>
        </w:rPr>
      </w:pPr>
      <w:r>
        <w:rPr>
          <w:rFonts w:ascii="Arial" w:hAnsi="Arial"/>
        </w:rPr>
        <w:t>Ustawa 13/2011 z dnia 27 maja o regulacji gier hazardowych ustanawia ramy regulacyjne dla ogólnopaństwowej działalności w zakresie gier hazardowych w różnych formach w celu ochrony porządku publicznego, zwalczania oszustw, zapobiegania zachowaniom uzależniającym, ochrony praw nieletnich i zabezpieczenia praw uczestników gier.</w:t>
      </w:r>
    </w:p>
    <w:p w14:paraId="480515CE" w14:textId="159D44D5" w:rsidR="00050794" w:rsidRDefault="00E82824" w:rsidP="007B6331">
      <w:pPr>
        <w:jc w:val="both"/>
        <w:rPr>
          <w:rFonts w:ascii="Arial" w:hAnsi="Arial" w:cs="Arial"/>
        </w:rPr>
      </w:pPr>
      <w:r>
        <w:rPr>
          <w:rFonts w:ascii="Arial" w:hAnsi="Arial"/>
        </w:rPr>
        <w:t xml:space="preserve">Dekret królewski 1613/2011 z dnia 14 listopada, który wprowadza w życie ustawę 13/2011 z dnia 27 maja o regulacji gier hazardowych w odniesieniu do wymagań technicznych działalności w zakresie gier hazardowych, został ogłoszony w ramach stosowania tej ustawy. W art. 26 i 27 przepis ten regulował identyfikację uczestników, a także kontrolę subiektywnych zakazów udziału w grach, poprzez system weryfikacji, który musiał być przeprowadzany przez operatorów gier hazardowych. </w:t>
      </w:r>
    </w:p>
    <w:p w14:paraId="69F382CD" w14:textId="76176572" w:rsidR="00E82824" w:rsidRPr="00E82824" w:rsidRDefault="00F117CE" w:rsidP="007B6331">
      <w:pPr>
        <w:jc w:val="both"/>
        <w:rPr>
          <w:rFonts w:ascii="Arial" w:hAnsi="Arial" w:cs="Arial"/>
        </w:rPr>
      </w:pPr>
      <w:r>
        <w:rPr>
          <w:rFonts w:ascii="Arial" w:hAnsi="Arial"/>
        </w:rPr>
        <w:t xml:space="preserve">Wdrażając te przepisy, wydano decyzję Dyrekcji Generalnej ds. gier hazardowych z dnia 12 lipca 2012 r. w sprawie zatwierdzenia przepisu dotyczącego wdrożenia art. 26 i 27 dekretu królewskiego 1613/2011 z dnia 14 listopada w odniesieniu do identyfikacji uczestników gier hazardowych i monitorowania subiektywnych wykluczeń z gier hazardowych, ze zmianami, w celu wzmocnienia procesów weryfikacji tożsamości przeprowadzanych przez operatorów gier hazardowych w odniesieniu do danych przekazywanych przez uczestników, w drodze decyzji Dyrekcji Generalnej ds. gier hazardowych z dnia 31 października 2018 r. w sprawie zmiany niektórych decyzji dotyczących działalności w zakresie gier hazardowych określonych w ustawie 13/2011 z dnia 27 maja w sprawie regulacji gier hazardowych. </w:t>
      </w:r>
    </w:p>
    <w:p w14:paraId="3AC1AA50" w14:textId="76C55535" w:rsidR="008E4897" w:rsidRDefault="008E4897" w:rsidP="008D4EA9">
      <w:pPr>
        <w:jc w:val="both"/>
        <w:rPr>
          <w:rFonts w:ascii="Arial" w:hAnsi="Arial" w:cs="Arial"/>
        </w:rPr>
      </w:pPr>
      <w:r>
        <w:rPr>
          <w:rFonts w:ascii="Arial" w:hAnsi="Arial"/>
        </w:rPr>
        <w:t xml:space="preserve">Cztery lata po ostatniej zmianie i dziesięć lat od zatwierdzenia wyżej wymienionych ram regulacyjnych doświadczenie zdobyte w tym czasie sprawia, że stosowne jest zaktualizowanie tych procesów weryfikacji tożsamości przeprowadzanych przez operatorów gier hazardowych poprzez nową zmianę decyzji z dnia 12 lipca 2012 r. </w:t>
      </w:r>
    </w:p>
    <w:p w14:paraId="73AA14DE" w14:textId="621F2406" w:rsidR="00E82824" w:rsidRDefault="00E82824" w:rsidP="008D4EA9">
      <w:pPr>
        <w:jc w:val="both"/>
        <w:rPr>
          <w:rFonts w:ascii="Arial" w:hAnsi="Arial" w:cs="Arial"/>
        </w:rPr>
      </w:pPr>
      <w:r>
        <w:rPr>
          <w:rFonts w:ascii="Arial" w:hAnsi="Arial"/>
        </w:rPr>
        <w:t xml:space="preserve">W szczególności, poprzez niniejszą decyzję, aktualizuje się obowiązki operatorów w odniesieniu do informacji, które muszą oni przekazywać Dyrekcji Generalnej ds. Gier Hazardowych, znosząc z jednej strony obowiązek przekazywania niektórych sprawozdań dotyczących liczby dokonanych zapytań i wprowadzając obowiązek informowania o anulowaniu zapisów użytkowników. Podobnie reguluje się dostęp telematyczny do sekcji osób zmarłych rejestru cywilnego, za pośrednictwem Serwisu Weryfikacji Tożsamości, oraz warunki, na jakich operatorzy będą przeprowadzać okresowe kontrole tożsamości uczestników oraz sprawdzanie, czy nie są oni objęci </w:t>
      </w:r>
      <w:r>
        <w:rPr>
          <w:rFonts w:ascii="Arial" w:hAnsi="Arial"/>
        </w:rPr>
        <w:lastRenderedPageBreak/>
        <w:t xml:space="preserve">subiektywnymi zakazami udziału, czy to z własnej inicjatywy, czy przez Dyrekcję Generalną ds. Gier Hazardowych. </w:t>
      </w:r>
    </w:p>
    <w:p w14:paraId="498C1B01" w14:textId="0658F4E7" w:rsidR="00EA4D8C" w:rsidRDefault="00E81705" w:rsidP="00EA4D8C">
      <w:pPr>
        <w:jc w:val="both"/>
        <w:rPr>
          <w:rFonts w:ascii="Arial" w:hAnsi="Arial" w:cs="Arial"/>
        </w:rPr>
      </w:pPr>
      <w:r>
        <w:rPr>
          <w:rFonts w:ascii="Arial" w:hAnsi="Arial"/>
        </w:rPr>
        <w:t xml:space="preserve">Ponadto w decyzji Dyrekcji Generalnej ds. Gier Hazardowych z dnia 6 października 2014 r. w sprawie zatwierdzenia modelu danych do wykorzystania w systemie monitorowania informacji odpowiadającym rejestrom operacji związanym z grami hazardowymi wprowadza się zmiany w celu wprowadzenia nowego statusu gracza.  </w:t>
      </w:r>
    </w:p>
    <w:p w14:paraId="591328C1" w14:textId="77777777" w:rsidR="005D3D4D" w:rsidRPr="008D47DC" w:rsidRDefault="005D3D4D" w:rsidP="009B4DF9">
      <w:pPr>
        <w:jc w:val="both"/>
        <w:rPr>
          <w:rFonts w:ascii="Arial" w:hAnsi="Arial" w:cs="Arial"/>
        </w:rPr>
      </w:pPr>
      <w:r>
        <w:rPr>
          <w:rFonts w:ascii="Arial" w:hAnsi="Arial"/>
        </w:rPr>
        <w:t>Przedmiotowy przepis został poddany procedurze udzielania informacji w dziedzinie norm, przepisów technicznych i zasad dotyczących usług społeczeństwa informacyjnego przewidzianej w dyrektywie Parlamentu Europejskiego i Rady (UE) 2015/1535 z dnia 9 września 2015 r. ustanawiającej procedurę udzielania informacji w dziedzinie przepisów technicznych oraz zasad dotyczących usług społeczeństwa informacyjnego.</w:t>
      </w:r>
    </w:p>
    <w:p w14:paraId="4F0F688D" w14:textId="6F01AAE2" w:rsidR="00F116AB" w:rsidRPr="008D47DC" w:rsidRDefault="00B57B31" w:rsidP="00B369ED">
      <w:pPr>
        <w:jc w:val="both"/>
        <w:rPr>
          <w:rFonts w:ascii="Arial" w:hAnsi="Arial" w:cs="Arial"/>
        </w:rPr>
      </w:pPr>
      <w:r>
        <w:rPr>
          <w:rFonts w:ascii="Arial" w:hAnsi="Arial"/>
        </w:rPr>
        <w:t xml:space="preserve">W związku z tym, w następstwie pozytywnego sprawozdania Biura Prokuratury Krajowej Ministerstwa Konsumentów, Dyrekcja Generalna podejmuje następujące decyzje: </w:t>
      </w:r>
    </w:p>
    <w:p w14:paraId="1D2ACD67" w14:textId="3730E816" w:rsidR="00D825A8" w:rsidRPr="00B55FF0" w:rsidRDefault="005B0F06" w:rsidP="00D825A8">
      <w:pPr>
        <w:jc w:val="both"/>
        <w:rPr>
          <w:rFonts w:ascii="Arial" w:hAnsi="Arial" w:cs="Arial"/>
        </w:rPr>
      </w:pPr>
      <w:r>
        <w:rPr>
          <w:rFonts w:ascii="Arial" w:hAnsi="Arial"/>
          <w:b/>
        </w:rPr>
        <w:t>Artykuł pierwszy. Zmiana decyzji z dnia 12 lipca 2012 r. w sprawie zatwierdzenia przepisu dotyczącego wdrożenia art. 26 i 27 dekretu królewskiego 1613/2011 z dnia 14 listopada w odniesieniu do identyfikacji uczestników gier hazardowych i monitorowania subiektywnych wykluczeń z gier hazardowych w następujący sposób:</w:t>
      </w:r>
    </w:p>
    <w:p w14:paraId="3733892D" w14:textId="365CE94D" w:rsidR="00523061" w:rsidRPr="00523061" w:rsidRDefault="005B0F06" w:rsidP="00523061">
      <w:pPr>
        <w:jc w:val="both"/>
        <w:rPr>
          <w:rFonts w:ascii="Arial" w:hAnsi="Arial" w:cs="Arial"/>
        </w:rPr>
      </w:pPr>
      <w:r>
        <w:rPr>
          <w:rFonts w:ascii="Arial" w:hAnsi="Arial"/>
        </w:rPr>
        <w:t>Jeden</w:t>
      </w:r>
      <w:r>
        <w:rPr>
          <w:rFonts w:ascii="Arial" w:hAnsi="Arial"/>
          <w:b/>
        </w:rPr>
        <w:t>.</w:t>
      </w:r>
      <w:r>
        <w:rPr>
          <w:rFonts w:ascii="Arial" w:hAnsi="Arial"/>
        </w:rPr>
        <w:t xml:space="preserve"> Skreśla się pkt 7 ust. 6 załącznika I.</w:t>
      </w:r>
    </w:p>
    <w:p w14:paraId="09434F7D" w14:textId="1FB9E75B" w:rsidR="00EB1D43" w:rsidRPr="00523061" w:rsidRDefault="005B0F06" w:rsidP="00EB1D43">
      <w:pPr>
        <w:jc w:val="both"/>
        <w:rPr>
          <w:rFonts w:ascii="Arial" w:hAnsi="Arial" w:cs="Arial"/>
        </w:rPr>
      </w:pPr>
      <w:r>
        <w:rPr>
          <w:rFonts w:ascii="Arial" w:hAnsi="Arial"/>
        </w:rPr>
        <w:t>Dwa</w:t>
      </w:r>
      <w:r>
        <w:rPr>
          <w:rFonts w:ascii="Arial" w:hAnsi="Arial"/>
          <w:b/>
        </w:rPr>
        <w:t>.</w:t>
      </w:r>
      <w:r>
        <w:rPr>
          <w:rFonts w:ascii="Arial" w:hAnsi="Arial"/>
        </w:rPr>
        <w:t xml:space="preserve"> Skreśla się pkt 11 ust. 5 załącznika I.</w:t>
      </w:r>
    </w:p>
    <w:p w14:paraId="1D47C45E" w14:textId="2ACFA05B" w:rsidR="00523061" w:rsidRDefault="00EB1D43" w:rsidP="00B369ED">
      <w:pPr>
        <w:jc w:val="both"/>
        <w:rPr>
          <w:rFonts w:ascii="Arial" w:hAnsi="Arial" w:cs="Arial"/>
          <w:b/>
        </w:rPr>
      </w:pPr>
      <w:r>
        <w:rPr>
          <w:rFonts w:ascii="Arial" w:hAnsi="Arial"/>
        </w:rPr>
        <w:t>Trzy</w:t>
      </w:r>
      <w:r>
        <w:rPr>
          <w:rFonts w:ascii="Arial" w:hAnsi="Arial"/>
          <w:b/>
        </w:rPr>
        <w:t xml:space="preserve">. </w:t>
      </w:r>
      <w:r>
        <w:rPr>
          <w:rFonts w:ascii="Arial" w:hAnsi="Arial"/>
        </w:rPr>
        <w:t>W załączniku I punkt trzynasty dodaje się nowy ustęp 4, który ma następujące brzmienie:</w:t>
      </w:r>
      <w:r>
        <w:rPr>
          <w:rFonts w:ascii="Arial" w:hAnsi="Arial"/>
          <w:b/>
        </w:rPr>
        <w:t xml:space="preserve"> </w:t>
      </w:r>
    </w:p>
    <w:p w14:paraId="485CBBD7" w14:textId="210D0A2B" w:rsidR="00523061" w:rsidRPr="00523061" w:rsidRDefault="002C716C" w:rsidP="00523061">
      <w:pPr>
        <w:jc w:val="both"/>
        <w:rPr>
          <w:rFonts w:ascii="Arial" w:hAnsi="Arial" w:cs="Arial"/>
          <w:b/>
        </w:rPr>
      </w:pPr>
      <w:r>
        <w:rPr>
          <w:rFonts w:ascii="Arial" w:hAnsi="Arial"/>
        </w:rPr>
        <w:t>„4. Operator musi poinformować Dyrekcję Generalną ds. Gier Hazardowych o anulowaniu rejestracji użytkowników. Przekazanie informacji następuje za pośrednictwem Serwisu Weryfikacji Tożsamości uczestników Dyrekcji Generalnej ds. Gier Hazardowych. Dyrekcja Generalna ds. Gier Hazardowych nie udostępnia operatorom informacji dotyczących anulowanych rejestracji użytkowników zgodnie z pkt. 11 ust. 3 niniejszej decyzji. Wniosek do operatora o aktywację wcześniej anulowanej rejestracji użytkownika wymaga identyfikacji uczestnika i weryfikacji, czy nie jest on objęty żadnym z subiektywnych zakazów na warunkach określonych w niniejszej decyzji”.</w:t>
      </w:r>
    </w:p>
    <w:p w14:paraId="573F59AF" w14:textId="4C454A2D" w:rsidR="00523061" w:rsidRDefault="00EB1D43" w:rsidP="00B369ED">
      <w:pPr>
        <w:jc w:val="both"/>
        <w:rPr>
          <w:rFonts w:ascii="Arial" w:hAnsi="Arial" w:cs="Arial"/>
          <w:b/>
        </w:rPr>
      </w:pPr>
      <w:r>
        <w:rPr>
          <w:rFonts w:ascii="Arial" w:hAnsi="Arial"/>
        </w:rPr>
        <w:t>Cztery.</w:t>
      </w:r>
      <w:r>
        <w:rPr>
          <w:rFonts w:ascii="Arial" w:hAnsi="Arial"/>
          <w:b/>
        </w:rPr>
        <w:t xml:space="preserve"> </w:t>
      </w:r>
      <w:r>
        <w:rPr>
          <w:rFonts w:ascii="Arial" w:hAnsi="Arial"/>
        </w:rPr>
        <w:t>W załączniku I dodaje się punkt czternasty w brzmieniu:</w:t>
      </w:r>
    </w:p>
    <w:p w14:paraId="054E2766" w14:textId="0C4BDC28" w:rsidR="00523061" w:rsidRPr="00523061" w:rsidRDefault="009867C7" w:rsidP="00B369ED">
      <w:pPr>
        <w:jc w:val="both"/>
        <w:rPr>
          <w:rFonts w:ascii="Arial" w:hAnsi="Arial" w:cs="Arial"/>
          <w:bCs/>
        </w:rPr>
      </w:pPr>
      <w:r>
        <w:rPr>
          <w:rFonts w:ascii="Arial" w:hAnsi="Arial"/>
        </w:rPr>
        <w:t xml:space="preserve">„Czternasty. </w:t>
      </w:r>
      <w:r>
        <w:rPr>
          <w:rFonts w:ascii="Arial" w:hAnsi="Arial"/>
          <w:i/>
        </w:rPr>
        <w:t>Kontrola zakazów dostępu do gier hazardowych zmarłych.</w:t>
      </w:r>
      <w:r>
        <w:rPr>
          <w:rFonts w:ascii="Arial" w:hAnsi="Arial"/>
        </w:rPr>
        <w:t xml:space="preserve"> </w:t>
      </w:r>
    </w:p>
    <w:p w14:paraId="1D7545B8" w14:textId="77777777" w:rsidR="00523061" w:rsidRPr="00EA4D8C" w:rsidRDefault="00523061" w:rsidP="00523061">
      <w:pPr>
        <w:jc w:val="both"/>
        <w:rPr>
          <w:rFonts w:ascii="Arial" w:hAnsi="Arial" w:cs="Arial"/>
          <w:bCs/>
        </w:rPr>
      </w:pPr>
      <w:r>
        <w:rPr>
          <w:rFonts w:ascii="Arial" w:hAnsi="Arial"/>
        </w:rPr>
        <w:t>1. Dyrekcja Generalna ds. Gier Hazardowych udostępni operatorom gier hazardowych system telematycznego dostępu do sekcji osób zmarłych rejestru cywilnego, za pośrednictwem Serwisu Weryfikacji Tożsamości uczestników Dyrekcji Generalnej ds. Gier Hazardowych, w celu ułatwienia weryfikacji, czy uczestnicy nie zmarli.</w:t>
      </w:r>
    </w:p>
    <w:p w14:paraId="3700579F" w14:textId="77777777" w:rsidR="00523061" w:rsidRPr="00523061" w:rsidRDefault="00523061" w:rsidP="00523061">
      <w:pPr>
        <w:jc w:val="both"/>
        <w:rPr>
          <w:rFonts w:ascii="Arial" w:hAnsi="Arial" w:cs="Arial"/>
          <w:bCs/>
        </w:rPr>
      </w:pPr>
      <w:r>
        <w:rPr>
          <w:rFonts w:ascii="Arial" w:hAnsi="Arial"/>
        </w:rPr>
        <w:t xml:space="preserve">2. Operatorzy gier muszą codziennie sprawdzać, czy uczestnicy z aktywną rejestracją użytkowników nie są zarejestrowani jako zmarli w Serwisie Weryfikacji Tożsamości uczestników Dyrekcji Generalnej ds. Gier Hazardowych. W tym celu, ze wskazaniem </w:t>
      </w:r>
      <w:r>
        <w:rPr>
          <w:rFonts w:ascii="Arial" w:hAnsi="Arial"/>
        </w:rPr>
        <w:lastRenderedPageBreak/>
        <w:t xml:space="preserve">częstotliwości, Dyrekcja Generalna ds. Gier Hazardowych wygeneruje i udostępni operatorom zaktualizowany plik komputerowy, w którym znajdą się zmiany, które w wyniku wpisania danych rejestracyjnych w sekcji osób zmarłych rejestru cywilnego, zostałyby dokonane w Serwisie Weryfikacji Tożsamości uczestników Dyrekcji Generalnej ds. Gier Hazardowych i które dotyczą uczestników zarejestrowanych przez każdego operatora. Jeżeli z przyczyn technicznych lub usterek w dostępności serwisu Dyrekcja Generalna ds. Gier Hazardowych nie będzie w stanie udostępnić operatorom aktualizacji danych, weryfikacja zostanie przeprowadzona na podstawie danych zawartych w ostatniej dostarczonej aktualizacji. </w:t>
      </w:r>
    </w:p>
    <w:p w14:paraId="232E35F2" w14:textId="5549976A" w:rsidR="00523061" w:rsidRPr="00523061" w:rsidRDefault="00523061" w:rsidP="00523061">
      <w:pPr>
        <w:jc w:val="both"/>
        <w:rPr>
          <w:rFonts w:ascii="Arial" w:hAnsi="Arial" w:cs="Arial"/>
          <w:b/>
        </w:rPr>
      </w:pPr>
      <w:r>
        <w:rPr>
          <w:rFonts w:ascii="Arial" w:hAnsi="Arial"/>
        </w:rPr>
        <w:t>W przypadkach, w których zmiany ujawnią wpisanie do sekcji osób zmarłych rejestru cywilnego któregokolwiek z uczestników posiadających aktywną rejestrację użytkownika, operator przystąpi do jej usunięcia. W takich przypadkach usunięcie nie przeszkadza w rozliczeniu konta gier i wypłacie kwot, które w drodze depozytu lub wcześniej wypłaconych nagród przysługują uprawnionemu spadkobiercy, zgodnie z obowiązującymi przepisami. Po usunięciu konta zastosowanie mają postanowienia punktu 13 ust. 4 niniejszej decyzji”.</w:t>
      </w:r>
    </w:p>
    <w:p w14:paraId="337D8F87" w14:textId="1A0D7223" w:rsidR="00523061" w:rsidRDefault="00EB1D43" w:rsidP="00B369ED">
      <w:pPr>
        <w:jc w:val="both"/>
        <w:rPr>
          <w:rFonts w:ascii="Arial" w:hAnsi="Arial" w:cs="Arial"/>
          <w:b/>
        </w:rPr>
      </w:pPr>
      <w:r>
        <w:rPr>
          <w:rFonts w:ascii="Arial" w:hAnsi="Arial"/>
        </w:rPr>
        <w:t>Pięć.</w:t>
      </w:r>
      <w:r>
        <w:rPr>
          <w:rFonts w:ascii="Arial" w:hAnsi="Arial"/>
          <w:b/>
        </w:rPr>
        <w:t xml:space="preserve"> </w:t>
      </w:r>
      <w:r>
        <w:rPr>
          <w:rFonts w:ascii="Arial" w:hAnsi="Arial"/>
        </w:rPr>
        <w:t>W załączniku I dodaje się punkt piętnasty w brzmieniu:</w:t>
      </w:r>
    </w:p>
    <w:p w14:paraId="10C76A7F" w14:textId="03428FC8" w:rsidR="00523061" w:rsidRDefault="00932A74" w:rsidP="00B369ED">
      <w:pPr>
        <w:jc w:val="both"/>
        <w:rPr>
          <w:rFonts w:ascii="Arial" w:hAnsi="Arial" w:cs="Arial"/>
          <w:b/>
        </w:rPr>
      </w:pPr>
      <w:r>
        <w:rPr>
          <w:rFonts w:ascii="Arial" w:hAnsi="Arial"/>
        </w:rPr>
        <w:t xml:space="preserve">„Piętnasty. </w:t>
      </w:r>
      <w:r>
        <w:rPr>
          <w:rFonts w:ascii="Arial" w:hAnsi="Arial"/>
          <w:i/>
        </w:rPr>
        <w:t>Przeglądy okresowe</w:t>
      </w:r>
      <w:r>
        <w:rPr>
          <w:rFonts w:ascii="Arial" w:hAnsi="Arial"/>
          <w:b/>
        </w:rPr>
        <w:t xml:space="preserve"> </w:t>
      </w:r>
    </w:p>
    <w:p w14:paraId="412F544E" w14:textId="659D2F45" w:rsidR="00523061" w:rsidRPr="00523061" w:rsidRDefault="00523061" w:rsidP="00523061">
      <w:pPr>
        <w:jc w:val="both"/>
        <w:rPr>
          <w:rFonts w:ascii="Arial" w:hAnsi="Arial" w:cs="Arial"/>
          <w:bCs/>
        </w:rPr>
      </w:pPr>
      <w:r>
        <w:rPr>
          <w:rFonts w:ascii="Arial" w:hAnsi="Arial"/>
        </w:rPr>
        <w:t>1. Operatorzy gier hazardowych mogą przeprowadzać szczegółowe kontrole swoich uczestników w odniesieniu do ich identyfikacji i weryfikacji, tak aby nie byli oni objęci żadnym z subiektywnych zakazów na warunkach przewidzianych w niniejszej decyzji. Operator musi zwrócić się o autoryzację i poinformować o rozpoczęciu i zakończeniu tych procesów weryfikacji za pośrednictwem Serwisu Weryfikacji Tożsamości uczestników Dyrekcji Generalnej ds. Gier Hazardowych na warunkach określonych przez Dyrekcję Generalną ds. Gier Hazardowych.</w:t>
      </w:r>
    </w:p>
    <w:p w14:paraId="4FC212F8" w14:textId="4973AE0F" w:rsidR="00523061" w:rsidRPr="00523061" w:rsidRDefault="00523061" w:rsidP="00523061">
      <w:pPr>
        <w:jc w:val="both"/>
        <w:rPr>
          <w:rFonts w:ascii="Arial" w:hAnsi="Arial" w:cs="Arial"/>
          <w:bCs/>
        </w:rPr>
      </w:pPr>
      <w:r>
        <w:rPr>
          <w:rFonts w:ascii="Arial" w:hAnsi="Arial"/>
        </w:rPr>
        <w:t>2. Dyrekcja Generalna ds. Gier Hazardowych może wymagać od operatorów gier, aby przeprowadzali szczegółowe kontrole swoich uczestników w odniesieniu do ich identyfikacji i weryfikacji, tak aby nie podlegali oni żadnym z subiektywnych zakazów na warunkach określonych w niniejszej decyzji. W tym celu Dyrekcja Generalna ds. Gier Hazardowych wygeneruje i udostępni operatorom plik komputerowy zawierający zainteresowanych uczestników oraz operację, która ma zostać przeprowadzona. Operatorzy gier muszą codziennie sprawdzać istnienie tych plików za pośrednictwem Serwisu Weryfikacji Tożsamości uczestników Dyrekcji Generalnej ds. Gier Hazardowych oraz, w stosownych przypadkach, stosować wymagane działania.”</w:t>
      </w:r>
    </w:p>
    <w:p w14:paraId="19A79385" w14:textId="3DCA6427" w:rsidR="0001091D" w:rsidRPr="00A9210D" w:rsidRDefault="0001091D" w:rsidP="00F17E13">
      <w:pPr>
        <w:jc w:val="both"/>
        <w:rPr>
          <w:rFonts w:ascii="Arial" w:hAnsi="Arial" w:cs="Arial"/>
          <w:bCs/>
        </w:rPr>
      </w:pPr>
      <w:r>
        <w:rPr>
          <w:rFonts w:ascii="Arial" w:hAnsi="Arial"/>
          <w:b/>
        </w:rPr>
        <w:t>Artykuł drugi. Zmiana decyzji z dnia 6 października 2014 r. w sprawie zatwierdzenia modelu danych do wykorzystania w systemie monitorowania informacji odpowiadającym rejestrom operacji związanym z grami hazardowymi, w następujący sposób:</w:t>
      </w:r>
      <w:r>
        <w:rPr>
          <w:rFonts w:ascii="Arial" w:hAnsi="Arial"/>
        </w:rPr>
        <w:t xml:space="preserve"> </w:t>
      </w:r>
    </w:p>
    <w:p w14:paraId="6AAD2B6A" w14:textId="14F9C745" w:rsidR="006F45C5" w:rsidRPr="00A9210D" w:rsidRDefault="009948B2" w:rsidP="006F45C5">
      <w:pPr>
        <w:jc w:val="both"/>
        <w:rPr>
          <w:rFonts w:ascii="Arial" w:hAnsi="Arial" w:cs="Arial"/>
          <w:bCs/>
        </w:rPr>
      </w:pPr>
      <w:r>
        <w:rPr>
          <w:rFonts w:ascii="Arial" w:hAnsi="Arial"/>
        </w:rPr>
        <w:t xml:space="preserve">Punkt </w:t>
      </w:r>
      <w:r>
        <w:rPr>
          <w:rFonts w:ascii="Arial" w:hAnsi="Arial"/>
          <w:color w:val="1F3864"/>
        </w:rPr>
        <w:t>3.5.7.</w:t>
      </w:r>
      <w:r>
        <w:rPr>
          <w:rFonts w:ascii="Arial" w:hAnsi="Arial"/>
        </w:rPr>
        <w:t xml:space="preserve">2 („Status gracza”) załącznika I otrzymuje brzmienie: </w:t>
      </w:r>
    </w:p>
    <w:p w14:paraId="3FB0A96C" w14:textId="77777777" w:rsidR="00C926BC" w:rsidRPr="00C926BC" w:rsidRDefault="00CD5D1C" w:rsidP="00C926BC">
      <w:pPr>
        <w:jc w:val="both"/>
        <w:rPr>
          <w:rFonts w:ascii="Arial" w:hAnsi="Arial" w:cs="Arial"/>
          <w:bCs/>
        </w:rPr>
      </w:pPr>
      <w:r>
        <w:rPr>
          <w:rFonts w:ascii="Arial" w:hAnsi="Arial"/>
        </w:rPr>
        <w:t xml:space="preserve">„3.5.7.2 Status gracza </w:t>
      </w:r>
    </w:p>
    <w:p w14:paraId="30B6715A" w14:textId="77777777" w:rsidR="00A303D7" w:rsidRPr="00112FA3" w:rsidRDefault="003B5C7A" w:rsidP="003B5C7A">
      <w:pPr>
        <w:jc w:val="both"/>
        <w:rPr>
          <w:rFonts w:ascii="Arial" w:hAnsi="Arial" w:cs="Arial"/>
          <w:bCs/>
        </w:rPr>
      </w:pPr>
      <w:r>
        <w:rPr>
          <w:rFonts w:ascii="Arial" w:hAnsi="Arial"/>
        </w:rPr>
        <w:t xml:space="preserve">„Status” gracza składa się z dwóch pól:  </w:t>
      </w:r>
    </w:p>
    <w:p w14:paraId="371979A3" w14:textId="60D04365" w:rsidR="003B5C7A" w:rsidRPr="00112FA3" w:rsidRDefault="003B5C7A" w:rsidP="003B5C7A">
      <w:pPr>
        <w:jc w:val="both"/>
        <w:rPr>
          <w:rFonts w:ascii="Arial" w:hAnsi="Arial" w:cs="Arial"/>
          <w:bCs/>
        </w:rPr>
      </w:pPr>
      <w:r>
        <w:rPr>
          <w:rFonts w:ascii="Arial" w:hAnsi="Arial"/>
        </w:rPr>
        <w:lastRenderedPageBreak/>
        <w:t xml:space="preserve">StatusCNJ, w którym operator jest proszony o rozróżnienie między:  </w:t>
      </w:r>
    </w:p>
    <w:p w14:paraId="675C3934" w14:textId="77777777" w:rsidR="003B5C7A" w:rsidRPr="00112FA3" w:rsidRDefault="003B5C7A" w:rsidP="003B5C7A">
      <w:pPr>
        <w:jc w:val="both"/>
        <w:rPr>
          <w:rFonts w:ascii="Arial" w:hAnsi="Arial" w:cs="Arial"/>
          <w:bCs/>
        </w:rPr>
      </w:pPr>
      <w:r>
        <w:rPr>
          <w:rFonts w:ascii="Arial" w:hAnsi="Arial"/>
        </w:rPr>
        <w:t xml:space="preserve">● A: Aktywny. Odzwierciedla to status gracza, który został należycie zidentyfikowany i zweryfikowany na podstawie dokumentów. </w:t>
      </w:r>
    </w:p>
    <w:p w14:paraId="580B7BAC" w14:textId="77777777" w:rsidR="003B5C7A" w:rsidRPr="00112FA3" w:rsidRDefault="003B5C7A" w:rsidP="003B5C7A">
      <w:pPr>
        <w:jc w:val="both"/>
        <w:rPr>
          <w:rFonts w:ascii="Arial" w:hAnsi="Arial" w:cs="Arial"/>
          <w:bCs/>
        </w:rPr>
      </w:pPr>
      <w:r>
        <w:rPr>
          <w:rFonts w:ascii="Arial" w:hAnsi="Arial"/>
        </w:rPr>
        <w:t xml:space="preserve">● PV: Oczekuje na weryfikację na podstawie dokumentów. Odzwierciedla to status gracza, którego identyfikacji nie potwierdzono w należyty sposób za pomocą systemu weryfikacji na podstawie dokumentów. </w:t>
      </w:r>
    </w:p>
    <w:p w14:paraId="4B945205" w14:textId="77777777" w:rsidR="003B5C7A" w:rsidRPr="00112FA3" w:rsidRDefault="003B5C7A" w:rsidP="003B5C7A">
      <w:pPr>
        <w:jc w:val="both"/>
        <w:rPr>
          <w:rFonts w:ascii="Arial" w:hAnsi="Arial" w:cs="Arial"/>
          <w:bCs/>
        </w:rPr>
      </w:pPr>
      <w:r>
        <w:rPr>
          <w:rFonts w:ascii="Arial" w:hAnsi="Arial"/>
        </w:rPr>
        <w:t xml:space="preserve">● S: Zawieszony. Odzwierciedla to status gracza, którego operator postanowił zawiesić po 2 latach ciągłej bezczynności. </w:t>
      </w:r>
    </w:p>
    <w:p w14:paraId="141B702C" w14:textId="77777777" w:rsidR="003B5C7A" w:rsidRPr="00112FA3" w:rsidRDefault="003B5C7A" w:rsidP="003B5C7A">
      <w:pPr>
        <w:jc w:val="both"/>
        <w:rPr>
          <w:rFonts w:ascii="Arial" w:hAnsi="Arial" w:cs="Arial"/>
          <w:bCs/>
        </w:rPr>
      </w:pPr>
      <w:r>
        <w:rPr>
          <w:rFonts w:ascii="Arial" w:hAnsi="Arial"/>
        </w:rPr>
        <w:t xml:space="preserve">● C: Usunięty. Odzwierciedla to status gracza, który został usunięty po upływie okresu 4 lat od zawieszenia. </w:t>
      </w:r>
    </w:p>
    <w:p w14:paraId="7BAB001A" w14:textId="77777777" w:rsidR="003B5C7A" w:rsidRPr="00112FA3" w:rsidRDefault="003B5C7A" w:rsidP="003B5C7A">
      <w:pPr>
        <w:jc w:val="both"/>
        <w:rPr>
          <w:rFonts w:ascii="Arial" w:hAnsi="Arial" w:cs="Arial"/>
          <w:bCs/>
        </w:rPr>
      </w:pPr>
      <w:r>
        <w:rPr>
          <w:rFonts w:ascii="Arial" w:hAnsi="Arial"/>
        </w:rPr>
        <w:t>● CD: Usunięty z powodu śmierci. Odzwierciedla to status gracza, który został zidentyfikowany jako zmarły.</w:t>
      </w:r>
    </w:p>
    <w:p w14:paraId="6A2FE785" w14:textId="77777777" w:rsidR="003B5C7A" w:rsidRPr="00112FA3" w:rsidRDefault="003B5C7A" w:rsidP="003B5C7A">
      <w:pPr>
        <w:jc w:val="both"/>
        <w:rPr>
          <w:rFonts w:ascii="Arial" w:hAnsi="Arial" w:cs="Arial"/>
          <w:bCs/>
        </w:rPr>
      </w:pPr>
      <w:r>
        <w:rPr>
          <w:rFonts w:ascii="Arial" w:hAnsi="Arial"/>
        </w:rPr>
        <w:t xml:space="preserve">● SC: Tymczasowo zawieszony. Odzwierciedla to status gracza, który jest tymczasowo zawieszony przez operatora w związku z podejrzeniem zmowy lub oszukańczego zachowania lub za zezwolenie na korzystanie z rejestracji użytkownika przez osoby trzecie. </w:t>
      </w:r>
    </w:p>
    <w:p w14:paraId="4AD1BFBE" w14:textId="77777777" w:rsidR="003B5C7A" w:rsidRPr="00112FA3" w:rsidRDefault="003B5C7A" w:rsidP="003B5C7A">
      <w:pPr>
        <w:jc w:val="both"/>
        <w:rPr>
          <w:rFonts w:ascii="Arial" w:hAnsi="Arial" w:cs="Arial"/>
          <w:bCs/>
        </w:rPr>
      </w:pPr>
      <w:r>
        <w:rPr>
          <w:rFonts w:ascii="Arial" w:hAnsi="Arial"/>
        </w:rPr>
        <w:t xml:space="preserve">● AC: Unieważnienie umowy. Odzwierciedla to status gracza, który jest tymczasowo zawieszony i któremu zdaniem operatora udowodniono, że dopuścił się oszustwa lub zmowy lub udostępnił swoje konto użytkownika osobie trzeciej, co skłoniło operatora do jednostronnego rozwiązania umowy. </w:t>
      </w:r>
    </w:p>
    <w:p w14:paraId="6BB5C179" w14:textId="77777777" w:rsidR="003B5C7A" w:rsidRPr="00112FA3" w:rsidRDefault="003B5C7A" w:rsidP="003B5C7A">
      <w:pPr>
        <w:jc w:val="both"/>
        <w:rPr>
          <w:rFonts w:ascii="Arial" w:hAnsi="Arial" w:cs="Arial"/>
          <w:bCs/>
        </w:rPr>
      </w:pPr>
      <w:r>
        <w:rPr>
          <w:rFonts w:ascii="Arial" w:hAnsi="Arial"/>
        </w:rPr>
        <w:t xml:space="preserve">● PR: Subiektywny zakaz. Odzwierciedla to status gracza objętego którymkolwiek z subiektywnych zakazów ustanowionych w art. 6 ustawy 13/2011 (nieletni, wpisani do RGIAJ, stowarzyszenia itd.) </w:t>
      </w:r>
    </w:p>
    <w:p w14:paraId="36CC3CEA" w14:textId="77777777" w:rsidR="003B5C7A" w:rsidRPr="00112FA3" w:rsidRDefault="003B5C7A" w:rsidP="003B5C7A">
      <w:pPr>
        <w:jc w:val="both"/>
        <w:rPr>
          <w:rFonts w:ascii="Arial" w:hAnsi="Arial" w:cs="Arial"/>
          <w:bCs/>
        </w:rPr>
      </w:pPr>
      <w:r>
        <w:rPr>
          <w:rFonts w:ascii="Arial" w:hAnsi="Arial"/>
        </w:rPr>
        <w:t xml:space="preserve">● AE: Samowykluczenie. Odzwierciedla to status gracza, który dobrowolnie postanowił o samowykluczeniu z gry oferowanej przez operatora. </w:t>
      </w:r>
    </w:p>
    <w:p w14:paraId="54499D85" w14:textId="77777777" w:rsidR="003B5C7A" w:rsidRPr="00112FA3" w:rsidRDefault="003B5C7A" w:rsidP="003B5C7A">
      <w:pPr>
        <w:jc w:val="both"/>
        <w:rPr>
          <w:rFonts w:ascii="Arial" w:hAnsi="Arial" w:cs="Arial"/>
          <w:bCs/>
        </w:rPr>
      </w:pPr>
      <w:r>
        <w:rPr>
          <w:rFonts w:ascii="Arial" w:hAnsi="Arial"/>
        </w:rPr>
        <w:t xml:space="preserve">● O: Inne. Inne możliwe sytuacje gracza nieujęte w powyższym punkcie. </w:t>
      </w:r>
    </w:p>
    <w:p w14:paraId="272CE038" w14:textId="77777777" w:rsidR="003B5C7A" w:rsidRPr="00112FA3" w:rsidRDefault="003B5C7A" w:rsidP="003B5C7A">
      <w:pPr>
        <w:jc w:val="both"/>
        <w:rPr>
          <w:rFonts w:ascii="Arial" w:hAnsi="Arial" w:cs="Arial"/>
          <w:bCs/>
        </w:rPr>
      </w:pPr>
      <w:r>
        <w:rPr>
          <w:rFonts w:ascii="Arial" w:hAnsi="Arial"/>
        </w:rPr>
        <w:t>Status operatora, w którym operator wprowadza nazwę statusu zgodnie z oznaczeniem na jego platformie.”.</w:t>
      </w:r>
    </w:p>
    <w:p w14:paraId="40371930" w14:textId="4F5B9E39" w:rsidR="004A6475" w:rsidRPr="00C73313" w:rsidRDefault="00BE2A52" w:rsidP="00F17E13">
      <w:pPr>
        <w:jc w:val="both"/>
        <w:rPr>
          <w:rFonts w:ascii="Arial" w:hAnsi="Arial" w:cs="Arial"/>
          <w:b/>
        </w:rPr>
      </w:pPr>
      <w:r>
        <w:rPr>
          <w:rFonts w:ascii="Arial" w:hAnsi="Arial"/>
          <w:b/>
        </w:rPr>
        <w:t>Jeden przepis końcowy. Wejście w życie</w:t>
      </w:r>
    </w:p>
    <w:p w14:paraId="1CCE2500" w14:textId="7F190632" w:rsidR="001151E6" w:rsidRPr="00C169ED" w:rsidRDefault="001B4699" w:rsidP="0044700B">
      <w:pPr>
        <w:jc w:val="both"/>
        <w:rPr>
          <w:rFonts w:ascii="Arial" w:hAnsi="Arial" w:cs="Arial"/>
          <w:sz w:val="20"/>
        </w:rPr>
      </w:pPr>
      <w:r>
        <w:rPr>
          <w:rFonts w:ascii="Arial" w:hAnsi="Arial"/>
        </w:rPr>
        <w:t xml:space="preserve">Niniejsza decyzja wchodzi w życie sześć miesięcy po jej opublikowaniu w „Dzienniku Urzędowym”.   </w:t>
      </w:r>
    </w:p>
    <w:p w14:paraId="46E552AE" w14:textId="77777777" w:rsidR="00523061" w:rsidRDefault="00523061" w:rsidP="006D355F">
      <w:pPr>
        <w:spacing w:line="264" w:lineRule="auto"/>
        <w:ind w:left="284"/>
        <w:jc w:val="center"/>
        <w:rPr>
          <w:rFonts w:ascii="Arial" w:hAnsi="Arial" w:cs="Arial"/>
        </w:rPr>
      </w:pPr>
    </w:p>
    <w:p w14:paraId="2B6E2D52" w14:textId="137C18F6" w:rsidR="00224C24" w:rsidRPr="00265D5A" w:rsidRDefault="00224C24" w:rsidP="006D355F">
      <w:pPr>
        <w:spacing w:line="264" w:lineRule="auto"/>
        <w:ind w:left="284"/>
        <w:jc w:val="center"/>
        <w:rPr>
          <w:rFonts w:ascii="Arial" w:hAnsi="Arial" w:cs="Arial"/>
        </w:rPr>
      </w:pPr>
      <w:r>
        <w:rPr>
          <w:rFonts w:ascii="Arial" w:hAnsi="Arial"/>
        </w:rPr>
        <w:t>Madryt, XX YY 2022 r.</w:t>
      </w:r>
    </w:p>
    <w:p w14:paraId="3CCD5EBB" w14:textId="77777777" w:rsidR="001151E6" w:rsidRDefault="001151E6" w:rsidP="001151E6">
      <w:pPr>
        <w:spacing w:line="264" w:lineRule="auto"/>
        <w:rPr>
          <w:rFonts w:ascii="Arial" w:hAnsi="Arial" w:cs="Arial"/>
        </w:rPr>
      </w:pPr>
    </w:p>
    <w:p w14:paraId="2DB811C3" w14:textId="77777777" w:rsidR="001151E6" w:rsidRDefault="00224C24" w:rsidP="001151E6">
      <w:pPr>
        <w:spacing w:line="264" w:lineRule="auto"/>
        <w:jc w:val="center"/>
        <w:rPr>
          <w:rFonts w:ascii="Arial" w:hAnsi="Arial" w:cs="Arial"/>
        </w:rPr>
      </w:pPr>
      <w:r>
        <w:rPr>
          <w:rFonts w:ascii="Arial" w:hAnsi="Arial"/>
        </w:rPr>
        <w:t>DYREKCJA GENERALNA DS. GIER HAZARDOWYCH</w:t>
      </w:r>
    </w:p>
    <w:p w14:paraId="098E39EA" w14:textId="77777777" w:rsidR="0047083C" w:rsidRDefault="0047083C" w:rsidP="0044700B">
      <w:pPr>
        <w:spacing w:line="264" w:lineRule="auto"/>
        <w:rPr>
          <w:rFonts w:ascii="Arial" w:hAnsi="Arial" w:cs="Arial"/>
        </w:rPr>
      </w:pP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42F" w14:textId="77777777" w:rsidR="00FA0ECC" w:rsidRDefault="00FA0ECC" w:rsidP="00002BA6">
      <w:pPr>
        <w:spacing w:after="0" w:line="240" w:lineRule="auto"/>
      </w:pPr>
      <w:r>
        <w:separator/>
      </w:r>
    </w:p>
  </w:endnote>
  <w:endnote w:type="continuationSeparator" w:id="0">
    <w:p w14:paraId="58613705" w14:textId="77777777" w:rsidR="00FA0ECC" w:rsidRDefault="00FA0ECC"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04" w14:textId="77777777" w:rsidR="00FA0ECC" w:rsidRDefault="00FA0ECC" w:rsidP="00002BA6">
      <w:pPr>
        <w:spacing w:after="0" w:line="240" w:lineRule="auto"/>
      </w:pPr>
      <w:r>
        <w:separator/>
      </w:r>
    </w:p>
  </w:footnote>
  <w:footnote w:type="continuationSeparator" w:id="0">
    <w:p w14:paraId="6D15BFAA" w14:textId="77777777" w:rsidR="00FA0ECC" w:rsidRDefault="00FA0ECC"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49A6"/>
    <w:rsid w:val="000C5369"/>
    <w:rsid w:val="000C68EA"/>
    <w:rsid w:val="000C70C8"/>
    <w:rsid w:val="000C734C"/>
    <w:rsid w:val="000D0E45"/>
    <w:rsid w:val="000D1C4E"/>
    <w:rsid w:val="000D2219"/>
    <w:rsid w:val="000D2AAD"/>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5A9"/>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23061"/>
    <w:rsid w:val="00523712"/>
    <w:rsid w:val="005251A5"/>
    <w:rsid w:val="00525C87"/>
    <w:rsid w:val="0053312B"/>
    <w:rsid w:val="005361D7"/>
    <w:rsid w:val="005362F3"/>
    <w:rsid w:val="005372E9"/>
    <w:rsid w:val="00537764"/>
    <w:rsid w:val="005403EE"/>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24CA"/>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9738B"/>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0ECC"/>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Heading3">
    <w:name w:val="heading 3"/>
    <w:basedOn w:val="Normal"/>
    <w:next w:val="Normal"/>
    <w:link w:val="Heading3Ch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A6"/>
    <w:rPr>
      <w:sz w:val="20"/>
      <w:szCs w:val="20"/>
    </w:rPr>
  </w:style>
  <w:style w:type="character" w:styleId="FootnoteReference">
    <w:name w:val="footnote reference"/>
    <w:uiPriority w:val="99"/>
    <w:semiHidden/>
    <w:unhideWhenUsed/>
    <w:rsid w:val="00002BA6"/>
    <w:rPr>
      <w:vertAlign w:val="superscript"/>
    </w:rPr>
  </w:style>
  <w:style w:type="paragraph" w:styleId="BalloonText">
    <w:name w:val="Balloon Text"/>
    <w:basedOn w:val="Normal"/>
    <w:link w:val="BalloonTextChar"/>
    <w:uiPriority w:val="99"/>
    <w:semiHidden/>
    <w:unhideWhenUsed/>
    <w:rsid w:val="00986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49"/>
    <w:rPr>
      <w:rFonts w:ascii="Tahoma" w:hAnsi="Tahoma" w:cs="Tahoma"/>
      <w:sz w:val="16"/>
      <w:szCs w:val="16"/>
    </w:rPr>
  </w:style>
  <w:style w:type="paragraph" w:styleId="ListParagraph">
    <w:name w:val="List Paragraph"/>
    <w:basedOn w:val="Normal"/>
    <w:link w:val="ListParagraphChar"/>
    <w:uiPriority w:val="34"/>
    <w:qFormat/>
    <w:rsid w:val="00A56718"/>
    <w:pPr>
      <w:ind w:left="720"/>
      <w:contextualSpacing/>
    </w:pPr>
  </w:style>
  <w:style w:type="character" w:styleId="CommentReference">
    <w:name w:val="annotation reference"/>
    <w:basedOn w:val="DefaultParagraphFont"/>
    <w:uiPriority w:val="99"/>
    <w:semiHidden/>
    <w:unhideWhenUsed/>
    <w:rsid w:val="00A075E5"/>
    <w:rPr>
      <w:sz w:val="16"/>
      <w:szCs w:val="16"/>
    </w:rPr>
  </w:style>
  <w:style w:type="paragraph" w:styleId="CommentText">
    <w:name w:val="annotation text"/>
    <w:basedOn w:val="Normal"/>
    <w:link w:val="CommentTextChar"/>
    <w:uiPriority w:val="99"/>
    <w:unhideWhenUsed/>
    <w:rsid w:val="00A075E5"/>
    <w:pPr>
      <w:spacing w:line="240" w:lineRule="auto"/>
    </w:pPr>
    <w:rPr>
      <w:sz w:val="20"/>
      <w:szCs w:val="20"/>
    </w:rPr>
  </w:style>
  <w:style w:type="character" w:customStyle="1" w:styleId="CommentTextChar">
    <w:name w:val="Comment Text Char"/>
    <w:basedOn w:val="DefaultParagraphFont"/>
    <w:link w:val="CommentText"/>
    <w:uiPriority w:val="99"/>
    <w:rsid w:val="00A075E5"/>
    <w:rPr>
      <w:sz w:val="20"/>
      <w:szCs w:val="20"/>
    </w:rPr>
  </w:style>
  <w:style w:type="paragraph" w:styleId="CommentSubject">
    <w:name w:val="annotation subject"/>
    <w:basedOn w:val="CommentText"/>
    <w:next w:val="CommentText"/>
    <w:link w:val="CommentSubjectChar"/>
    <w:uiPriority w:val="99"/>
    <w:semiHidden/>
    <w:unhideWhenUsed/>
    <w:rsid w:val="00A075E5"/>
    <w:rPr>
      <w:b/>
      <w:bCs/>
    </w:rPr>
  </w:style>
  <w:style w:type="character" w:customStyle="1" w:styleId="CommentSubjectChar">
    <w:name w:val="Comment Subject Char"/>
    <w:basedOn w:val="CommentTextChar"/>
    <w:link w:val="CommentSubject"/>
    <w:uiPriority w:val="99"/>
    <w:semiHidden/>
    <w:rsid w:val="00A075E5"/>
    <w:rPr>
      <w:b/>
      <w:bCs/>
      <w:sz w:val="20"/>
      <w:szCs w:val="20"/>
    </w:rPr>
  </w:style>
  <w:style w:type="character" w:customStyle="1" w:styleId="ListParagraphChar">
    <w:name w:val="List Paragraph Char"/>
    <w:link w:val="ListParagraph"/>
    <w:uiPriority w:val="34"/>
    <w:locked/>
    <w:rsid w:val="00100080"/>
  </w:style>
  <w:style w:type="paragraph" w:styleId="Header">
    <w:name w:val="header"/>
    <w:basedOn w:val="Normal"/>
    <w:link w:val="HeaderChar"/>
    <w:uiPriority w:val="99"/>
    <w:unhideWhenUsed/>
    <w:rsid w:val="008544E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44EB"/>
  </w:style>
  <w:style w:type="paragraph" w:styleId="Footer">
    <w:name w:val="footer"/>
    <w:basedOn w:val="Normal"/>
    <w:link w:val="FooterChar"/>
    <w:uiPriority w:val="99"/>
    <w:unhideWhenUsed/>
    <w:rsid w:val="008544E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44EB"/>
  </w:style>
  <w:style w:type="paragraph" w:styleId="Revisio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Heading3Char">
    <w:name w:val="Heading 3 Char"/>
    <w:basedOn w:val="DefaultParagraphFont"/>
    <w:link w:val="Heading3"/>
    <w:uiPriority w:val="9"/>
    <w:rsid w:val="00A665B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1621</Words>
  <Characters>9241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DGOJ</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Liana Brili</cp:lastModifiedBy>
  <cp:revision>6</cp:revision>
  <cp:lastPrinted>2022-11-25T11:05:00Z</cp:lastPrinted>
  <dcterms:created xsi:type="dcterms:W3CDTF">2022-11-25T12:23:00Z</dcterms:created>
  <dcterms:modified xsi:type="dcterms:W3CDTF">2023-01-27T09:36:00Z</dcterms:modified>
</cp:coreProperties>
</file>