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PRANCŪZIJOS RESPUBLIKA</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Ekologinės pertvarkos ministerija</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Nutarimas Nr. 2022-...,</w:t>
      </w:r>
      <w:r>
        <w:t xml:space="preserve">                         </w:t>
      </w:r>
      <w:r>
        <w:t xml:space="preserve">priimtas ...</w:t>
      </w:r>
    </w:p>
    <w:p w14:paraId="735C2865" w14:textId="77777777" w:rsidR="00FB6E53" w:rsidRDefault="00902234" w:rsidP="00FB6E53">
      <w:pPr>
        <w:pStyle w:val="SNtitre"/>
      </w:pPr>
      <w:r>
        <w:t xml:space="preserve">dėl anglies dioksido kompensavimo ir teiginių apie anglies dioksido poveikio neutralumą reklamoje</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Tikslinė auditorija:</w:t>
      </w:r>
      <w:r>
        <w:rPr>
          <w:i/>
          <w:b w:val="0"/>
        </w:rPr>
        <w:t xml:space="preserve"> </w:t>
      </w:r>
      <w:r>
        <w:rPr>
          <w:i/>
          <w:b w:val="0"/>
        </w:rPr>
        <w:t xml:space="preserve">Reklamuotojai</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Objektas. </w:t>
      </w:r>
      <w:r>
        <w:rPr>
          <w:i/>
          <w:b w:val="0"/>
        </w:rPr>
        <w:t xml:space="preserve">2021 m. rugpjūčio 22 d. Įstatymo Nr. 2021–1104 dėl kovos su klimato kaita ir atsparumo jos poveikiui didinimo 12 straipsnio taikymas.</w:t>
      </w:r>
    </w:p>
    <w:p w14:paraId="24250E11" w14:textId="77777777" w:rsidR="00FB6E53" w:rsidRPr="00AC1942" w:rsidRDefault="00FB6E53" w:rsidP="00FB6E53">
      <w:pPr>
        <w:pStyle w:val="SNAutorit"/>
        <w:spacing w:before="120"/>
        <w:jc w:val="both"/>
        <w:rPr>
          <w:i/>
        </w:rPr>
      </w:pPr>
      <w:r>
        <w:rPr>
          <w:i/>
        </w:rPr>
        <w:t xml:space="preserve">Įsigaliojimas. </w:t>
      </w:r>
      <w:r>
        <w:rPr>
          <w:i/>
          <w:b w:val="0"/>
        </w:rPr>
        <w:t xml:space="preserve">Tekstas įsigalioja kitą dieną po jo paskelbimo, išskyrus 2 ir 3 straipsnius, kurie įsigalioja 2023 m. sausio 1 d.</w:t>
      </w:r>
    </w:p>
    <w:p w14:paraId="3C996B02" w14:textId="77777777" w:rsidR="00FB6E53" w:rsidRPr="009F1E9F" w:rsidRDefault="009F1E9F" w:rsidP="009F1E9F">
      <w:pPr>
        <w:pStyle w:val="SNAutorit"/>
        <w:spacing w:before="120"/>
        <w:jc w:val="both"/>
        <w:rPr>
          <w:b w:val="0"/>
          <w:i/>
        </w:rPr>
      </w:pPr>
      <w:r>
        <w:rPr>
          <w:i/>
        </w:rPr>
        <w:t xml:space="preserve">Santrauka.</w:t>
      </w:r>
      <w:r>
        <w:rPr>
          <w:i/>
        </w:rPr>
        <w:t xml:space="preserve"> </w:t>
      </w:r>
      <w:r>
        <w:rPr>
          <w:i/>
          <w:b w:val="0"/>
        </w:rPr>
        <w:t xml:space="preserve">Šiuo nutarimu nustatoma minėto Įstatymo Nr. 2021–1104 12 straipsnyje numatytos informacijos perdavimo, kurį atlieka reklamuotojai, įgyvendinimo tvarka.</w:t>
      </w:r>
      <w:r>
        <w:rPr>
          <w:i/>
          <w:b w:val="0"/>
        </w:rPr>
        <w:t xml:space="preserve"> </w:t>
      </w:r>
      <w:r>
        <w:rPr>
          <w:i/>
          <w:b w:val="0"/>
        </w:rPr>
        <w:t xml:space="preserve">Jis taikomas visoms reklamoms, transliuojamoms įsigaliojus tekstui.</w:t>
      </w:r>
      <w:r>
        <w:rPr>
          <w:i/>
        </w:rPr>
        <w:t xml:space="preserve"> </w:t>
      </w:r>
    </w:p>
    <w:p w14:paraId="64AAF47B" w14:textId="77777777" w:rsidR="00FB6E53" w:rsidRDefault="00FB6E53" w:rsidP="00FB6E53">
      <w:pPr>
        <w:pStyle w:val="SNAutorit"/>
        <w:spacing w:before="120"/>
        <w:jc w:val="both"/>
      </w:pPr>
      <w:r>
        <w:rPr>
          <w:i/>
        </w:rPr>
        <w:t xml:space="preserve">Nuorodos. </w:t>
      </w:r>
      <w:r>
        <w:rPr>
          <w:i/>
          <w:b w:val="0"/>
        </w:rPr>
        <w:t xml:space="preserve">Priimamos nutarimo nuostatos dėl 2021 m. rugpjūčio 22 d. Įstatymo Nr. 2021–1104 dėl kovos su klimato kaita ir atsparumo jos poveikiui didinimo 12 straipsnio taikymo.</w:t>
      </w:r>
      <w:r>
        <w:rPr>
          <w:i/>
          <w:b w:val="0"/>
        </w:rPr>
        <w:t xml:space="preserve"> </w:t>
      </w:r>
      <w:r>
        <w:rPr>
          <w:i/>
          <w:b w:val="0"/>
        </w:rPr>
        <w:t xml:space="preserve">Šį įstatymą ir nutarimą galima rasti „Légifrance“ interneto svetainėje (http://www.legifrance.gouv.fr).</w:t>
      </w:r>
    </w:p>
    <w:p w14:paraId="0D71FAD6" w14:textId="77777777" w:rsidR="00FB6E53" w:rsidRDefault="00FB6E53" w:rsidP="00FB6E53">
      <w:pPr>
        <w:pStyle w:val="SNAutorit"/>
      </w:pPr>
      <w:r>
        <w:t xml:space="preserve">Ministras Pirmininkas,</w:t>
      </w:r>
    </w:p>
    <w:p w14:paraId="68B0A9A6" w14:textId="77777777" w:rsidR="00FB6E53" w:rsidRDefault="00FB6E53" w:rsidP="00FB6E53">
      <w:pPr>
        <w:pStyle w:val="SNRapport"/>
      </w:pPr>
      <w:r>
        <w:t xml:space="preserve">remdamasis ekologinės pertvarkos ministrės ataskaita,</w:t>
      </w:r>
    </w:p>
    <w:p w14:paraId="5C693133" w14:textId="77777777" w:rsidR="0099494E" w:rsidRPr="0099494E" w:rsidRDefault="0099494E" w:rsidP="001E3BBD">
      <w:pPr>
        <w:pStyle w:val="SNRapport"/>
        <w:ind w:left="708" w:firstLine="12"/>
      </w:pPr>
      <w:r>
        <w:t xml:space="preserve">atsižvelgdamas į 2015 m. rugsėjo 9 d. Europos Parlamento ir Tarybos direktyvą (ES) 2015/1535, kuria nustatoma informacijos apie techninius reglamentus ir informacinės visuomenės paslaugų taisykles teikimo tvarka (kodifikuotas tekstas), ypač į pranešimą Nr. ...;</w:t>
      </w:r>
    </w:p>
    <w:p w14:paraId="4A9160F2" w14:textId="77777777" w:rsidR="008C2EFB" w:rsidRDefault="008C2EFB" w:rsidP="00FB6E53">
      <w:pPr>
        <w:pStyle w:val="SNRapport"/>
      </w:pPr>
      <w:r>
        <w:t xml:space="preserve">atsižvelgdamas į Aplinkosaugos kodeksą;</w:t>
      </w:r>
    </w:p>
    <w:p w14:paraId="46410193" w14:textId="77777777" w:rsidR="00FB6E53" w:rsidRDefault="00FB6E53" w:rsidP="00FB6E53">
      <w:pPr>
        <w:pStyle w:val="SNVisa"/>
        <w:ind w:left="708" w:firstLine="12"/>
      </w:pPr>
      <w:r>
        <w:t xml:space="preserve">atsižvelgdamas į 2021 m. rugpjūčio 22 d. Įstatymą Nr. 2021–1104 dėl kovos su klimato kaita ir atsparumo jos poveikiui didinimo, ypač į jo 12 ir 147 straipsnius;</w:t>
      </w:r>
    </w:p>
    <w:p w14:paraId="46E64030" w14:textId="77777777" w:rsidR="00DA728B" w:rsidRDefault="00DA728B" w:rsidP="00DA728B">
      <w:pPr>
        <w:pStyle w:val="SNVisa"/>
        <w:ind w:left="708" w:firstLine="12"/>
        <w:jc w:val="both"/>
      </w:pPr>
      <w:r>
        <w:t xml:space="preserve">atsižvelgdamas į 1997 m. gruodžio 19 d. Nutarimą Nr. 97–1198, kuriuo įgyvendinama 1997 m. sausio 15 d. Nutarimo Nr. 97–34 dėl individualių administracinių sprendimų dekoncentravimo ministrams, atsakingiems už ekologines ir solidarumo permainas, teritorinę sanglaudą ir santykius su vietos ir regionų valdžios institucijomis, 2 straipsnio pirmoji pastraipa;</w:t>
      </w:r>
    </w:p>
    <w:p w14:paraId="0A395ED6" w14:textId="77777777" w:rsidR="00FB6E53" w:rsidRPr="00FB6E53" w:rsidRDefault="00FB6E53" w:rsidP="00FB6E53">
      <w:pPr>
        <w:pStyle w:val="SNVisa"/>
        <w:ind w:left="708" w:firstLine="12"/>
      </w:pPr>
      <w:r>
        <w:t xml:space="preserve">atsižvelgdamas į 2020 m. balandžio 21 d. Nutarimą Nr. 2020–457 dėl nacionalinių anglies dioksido biudžetų ir nacionalinės mažo anglies dioksido kiekio strategijos;</w:t>
      </w:r>
    </w:p>
    <w:p w14:paraId="55F7F2B6" w14:textId="77777777" w:rsidR="00FB6E53" w:rsidRDefault="00FB6E53" w:rsidP="00FB6E53">
      <w:pPr>
        <w:pStyle w:val="SNVisa"/>
        <w:ind w:left="708" w:firstLine="12"/>
      </w:pPr>
      <w:r>
        <w:t xml:space="preserve">atsižvelgdamas į pastabas, pateiktas per viešas konsultacijas nuo ... iki ..., pagal Aplinkosaugos kodekso L. 123-19-1 straipsnį;</w:t>
      </w:r>
    </w:p>
    <w:p w14:paraId="24270816" w14:textId="77777777" w:rsidR="007B2607" w:rsidRPr="00975B1D" w:rsidRDefault="007B2607" w:rsidP="007B2607">
      <w:pPr>
        <w:pStyle w:val="SNVisa"/>
        <w:ind w:left="708" w:firstLine="12"/>
      </w:pPr>
      <w:r>
        <w:t xml:space="preserve">išklausęs Valstybės tarybą,</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Nutaria:</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1 straipsnis</w:t>
      </w:r>
    </w:p>
    <w:p w14:paraId="3D42B733" w14:textId="77777777" w:rsidR="007B2607" w:rsidRPr="007C21D8" w:rsidRDefault="007B2607" w:rsidP="007B2607">
      <w:pPr>
        <w:jc w:val="both"/>
      </w:pPr>
      <w:r>
        <w:t xml:space="preserve">Aplinkosaugos kodekso II knygos II antraštinės dalies IX skyriuje įterpiamas 7 skirsnis:</w:t>
      </w:r>
    </w:p>
    <w:p w14:paraId="437B06A1" w14:textId="77777777" w:rsidR="007B2607" w:rsidRPr="007C21D8" w:rsidRDefault="007B2607" w:rsidP="007B2607">
      <w:pPr>
        <w:jc w:val="both"/>
      </w:pPr>
    </w:p>
    <w:p w14:paraId="61BA25EE" w14:textId="77777777" w:rsidR="007B2607" w:rsidRPr="00175048" w:rsidRDefault="007B2607" w:rsidP="007B2607">
      <w:r>
        <w:t xml:space="preserve">„7 skirsnis:</w:t>
      </w:r>
      <w:r>
        <w:t xml:space="preserve"> </w:t>
      </w:r>
      <w:r>
        <w:t xml:space="preserve">Šiltnamio efektą sukeliančių dujų išmetimo mažinimas įgyvendinant kompensavimo projektus</w:t>
      </w:r>
    </w:p>
    <w:p w14:paraId="3D4DF454" w14:textId="77777777" w:rsidR="007B2607" w:rsidRDefault="007B2607" w:rsidP="007B2607"/>
    <w:p w14:paraId="72A2FE53" w14:textId="77777777" w:rsidR="007B2607" w:rsidRDefault="007B2607" w:rsidP="007B2607">
      <w:pPr>
        <w:jc w:val="both"/>
      </w:pPr>
      <w:r>
        <w:t xml:space="preserve">R. 229–103 straipsnis. L. 229–55 straipsnyje nustatyti principai turi atitikti šias įgyvendinimo procedūras:</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Galimybė šmatuoti: vykdant projektus išmetamas šiltnamio efektą sukeliančių dujų kiekis, kurio išvengiama arba kuris sulaikomas, kiekybiškai įvertinamas remiantis skaidria ir viešai prieinama metodika.</w:t>
      </w:r>
      <w:r>
        <w:t xml:space="preserve"> </w:t>
      </w:r>
      <w:r>
        <w:t xml:space="preserve">Kiekybinio įvertinimo metodas grindžiamas naujausiomis mokslo ir technikos žiniomis.</w:t>
      </w:r>
      <w:r>
        <w:t xml:space="preserve"> </w:t>
      </w:r>
      <w:r>
        <w:t xml:space="preserve">Matavimo duomenys yra aiškiai dokumentuojami ir gali būti patikrinti.</w:t>
      </w:r>
      <w:r>
        <w:t xml:space="preserve"> </w:t>
      </w:r>
      <w:r>
        <w:t xml:space="preserve">Metodikoje, kuria remiamasi įgyvendinant kompensavimo projektą, apibrėžiamas pagrindinis scenarijus, pagal kurį apskaičiuojamas projekto metu sumažintas išmetamųjų teršalų kiekis.</w:t>
      </w:r>
      <w:r>
        <w:t xml:space="preserve"> </w:t>
      </w:r>
      <w:r>
        <w:t xml:space="preserve">Pagrindinis scenarijus turi būti taikomas visam projektui ir atspindėti pastarojo meto šiltnamio efektą sukeliančių dujų išmetimo tendenciją ir esamos geriausios praktikos taikymą.</w:t>
      </w:r>
    </w:p>
    <w:p w14:paraId="3CA09DD7" w14:textId="77777777" w:rsidR="007B2607" w:rsidRPr="00416C68" w:rsidRDefault="007B2607" w:rsidP="007B2607">
      <w:pPr>
        <w:spacing w:after="160" w:line="259" w:lineRule="auto"/>
        <w:jc w:val="both"/>
      </w:pPr>
      <w:r>
        <w:t xml:space="preserve">Galimybė patikrinti: nuo projekto rėmėjo nepriklausomas auditorius patikrina, ar išvengta šiltnamio efektą sukeliančių dujų išmetimo, ar jos buvo sekvestruotos.</w:t>
      </w:r>
      <w:r>
        <w:t xml:space="preserve"> </w:t>
      </w:r>
      <w:r>
        <w:t xml:space="preserve">Auditorius, remdamasis dokumentų patikrinimais arba patikrinimais vietoje, patvirtina šiltnamio efektą sukeliančių dujų išmetimo sumažėjimą, kurį galima pasiekti projekto įgyvendinimo metu atliktais veiksmais.</w:t>
      </w:r>
    </w:p>
    <w:p w14:paraId="78D41360" w14:textId="77777777" w:rsidR="007B2607" w:rsidRPr="00416C68" w:rsidRDefault="007B2607" w:rsidP="007B2607">
      <w:pPr>
        <w:spacing w:after="160" w:line="259" w:lineRule="auto"/>
        <w:jc w:val="both"/>
      </w:pPr>
      <w:r>
        <w:t xml:space="preserve">Pastovumas: šiltnamio efektą sukeliančių dujų, kurių buvo išvengta arba kurios buvo sekvestruotos įgyvendinant kompensavimo projektus, buvo visam laikui išvengta.</w:t>
      </w:r>
      <w:r>
        <w:t xml:space="preserve"> </w:t>
      </w:r>
      <w:r>
        <w:t xml:space="preserve">Tam tikrais atvejais kiekybiniu metodu atsižvelgiama į nepastovumo riziką.</w:t>
      </w:r>
    </w:p>
    <w:p w14:paraId="7AF834A5" w14:textId="77777777" w:rsidR="007B2607" w:rsidRDefault="007B2607" w:rsidP="007B2607">
      <w:pPr>
        <w:spacing w:after="160" w:line="259" w:lineRule="auto"/>
        <w:jc w:val="both"/>
      </w:pPr>
      <w:r>
        <w:t xml:space="preserve">Galimybė papildyti: kompensavimo projektai negalėjo būti įgyvendinti be specialaus finansavimo, atsižvelgiant į esamas ekonomines paskatas, gerąją patirtį ir taikomus įpareigojimus.</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R. 229–104 straipsnis. Kompensavimo projektai turi atitikti skaidrumo principą.</w:t>
      </w:r>
      <w:r>
        <w:t xml:space="preserve"> </w:t>
      </w:r>
      <w:r>
        <w:t xml:space="preserve">Metodika, kuria pagrįstas kompensavimo projektas, ir aprašomieji projekto elementai, visų pirma susiję su išmetamo šiltnamio efektą sukeliančių dujų kiekio mažinimo nustatymu, vieta ir apskaita, turi būti viešai skelbiami ir lengvai prieinami.“</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2 straipsnis</w:t>
      </w:r>
    </w:p>
    <w:p w14:paraId="20E5A1ED" w14:textId="77777777" w:rsidR="002C342A" w:rsidRDefault="002C342A" w:rsidP="002C342A">
      <w:pPr>
        <w:pStyle w:val="BodyText"/>
      </w:pPr>
      <w:r>
        <w:t xml:space="preserve">Aplinkosaugos kodekso II knygos II antraštinės dalies IX skyrius papildomas taip:</w:t>
      </w:r>
    </w:p>
    <w:p w14:paraId="2481D22C" w14:textId="77777777" w:rsidR="002C342A" w:rsidRPr="00163F8A" w:rsidRDefault="002C342A" w:rsidP="002C342A">
      <w:pPr>
        <w:pStyle w:val="BodyText"/>
        <w:jc w:val="center"/>
        <w:rPr>
          <w:i/>
        </w:rPr>
      </w:pPr>
      <w:r>
        <w:rPr>
          <w:i/>
        </w:rPr>
        <w:t xml:space="preserve">„9 skirsnis</w:t>
      </w:r>
    </w:p>
    <w:p w14:paraId="2368A9FE" w14:textId="77777777" w:rsidR="002C342A" w:rsidRPr="00163F8A" w:rsidRDefault="002C342A" w:rsidP="002C342A">
      <w:pPr>
        <w:pStyle w:val="BodyText"/>
        <w:jc w:val="center"/>
        <w:rPr>
          <w:i/>
        </w:rPr>
      </w:pPr>
      <w:r>
        <w:rPr>
          <w:i/>
        </w:rPr>
        <w:t xml:space="preserve">„Aplinkosaugos teiginiai“</w:t>
      </w:r>
    </w:p>
    <w:p w14:paraId="014E3E1C" w14:textId="77777777" w:rsidR="002C342A" w:rsidRPr="007B2607" w:rsidRDefault="002C342A" w:rsidP="00FB6E53">
      <w:pPr>
        <w:pStyle w:val="BodyText"/>
        <w:spacing w:after="0"/>
        <w:rPr>
          <w:bCs/>
        </w:rPr>
      </w:pPr>
      <w:r>
        <w:t xml:space="preserve">D. 229–105 straipsnis. Reklamuotojas, reklamoje teigiantis, kad produktas ar paslauga yra neutralūs anglies dioksido atžvilgiu, arba naudojantis bet kokią lygiavertės reikšmės ar apimties formuluotę, privalo laikytis šio skirsnio nuostatų.</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Šis skirsnis taikomas fiziniams asmenims skirtai reklaminei korespondencijai, viešai platinamiems reklaminiams spaudiniams, reklaminiams plakatams, reklamai spaudos leidiniuose, kino teatruose transliuojamai reklamai, televizijos ar transliuotojų tarnybų skleidžiamai reklamai ir teikiant visuomenės informavimo internetu paslaugas, taip pat teiginiams ant prekių pakuočių.</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D. 229–106 straipsnis. D. 229–105 straipsnyje nurodytas reklamuotojas parengia atitinkamo produkto ar paslaugos išmetamų šiltnamio efektą sukeliančių dujų balansą, apimantį visą jo gyvavimo ciklą.</w:t>
      </w:r>
      <w:r>
        <w:t xml:space="preserve"> </w:t>
      </w:r>
      <w:r>
        <w:t xml:space="preserve">Šis balansas atnaujinamas kasmet.</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Šis balansas sudaromas pagal NF EN ISO 14067 standarto arba bet kurio kito standarto, atitinkančio to standarto reikalavimus, reikalavimus.</w:t>
      </w:r>
      <w:r>
        <w:t xml:space="preserve"> </w:t>
      </w:r>
      <w:r>
        <w:t xml:space="preserve">Aplinkos ministro įsakymu šie reikalavimai gali būti papildyti, kad išmetamųjų teršalų balanso metodika atitiktų šio kodekso L. 541–9–11 straipsnyje numatyto aplinkosauginio ženklinimo metodiką.</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D. 229-107 straipsnis.</w:t>
      </w:r>
      <w:r>
        <w:t xml:space="preserve"> </w:t>
      </w:r>
      <w:r>
        <w:t xml:space="preserve">D. 229–105 straipsnyje nurodytas reklamuotojas savo internetinėje viešosios komunikacijos svetainėje arba, jei tokios nėra, mobiliojoje programėlėje skelbia ataskaitos santrauką, kurioje aprašomas reklamuojamo produkto ar paslaugos anglies dioksido pėdsakas ir priemonės, kuriomis pirmiausia išvengiamas, vėliau sumažinamas ir galiausiai kompensuojamas išmetamų šiltnamio efektą sukeliančių dujų kiekis.</w:t>
      </w:r>
      <w:r>
        <w:t xml:space="preserve"> </w:t>
      </w:r>
      <w:r>
        <w:t xml:space="preserve">Šią ataskaitą sudaro trys priedai, kuriuose išsamiai išdėstomas jos turinys ir kurie pateikiami tokia tvarka:</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priedas, kuriame išdėstomi D. 229–106 straipsnyje numatyto balanso rezultatai ir to balanso sudarymo metodikos santrauka.</w:t>
      </w:r>
      <w:r>
        <w:t xml:space="preserve"> </w:t>
      </w:r>
      <w:r>
        <w:t xml:space="preserve">Toje santraukoje visų pirma nurodoma atitinkamo gaminio ar paslaugos apibrėžties taikymo sritis, naudojami funkciniai ar deklaruoti vienetai, atitinkamos sistemos ribos, gyvavimo ciklo pabaigos etapo apdorojimo metodas, duomenys apie išmetamųjų teršalų kiekį, į kuriuos atsižvelgiama, kai elektros energija ar dujos sunaudojamos iš tinklų.</w:t>
      </w:r>
      <w:r>
        <w:t xml:space="preserve"> </w:t>
      </w:r>
      <w:r>
        <w:t xml:space="preserve">Joje nurodoma šalis (-ys) arba geografinė (-ės) teritorija (-os), kurioje (-iose) išmetami teršalai ir tarptautinio transporto išmetami teršalai, jei tokių duomenų turima;</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priedas, kuriame nurodoma šiltnamio efektą sukeliančių dujų išmetimo mažinimo, susijusio su reklamuojamu produktu ar paslauga, tikslinė trajektorija su kiekybiškai išreikštais metiniais pažangos tikslais, apimantis ne mažiau kaip dešimt metų po ataskaitos paskelbimo;</w:t>
      </w:r>
    </w:p>
    <w:p w14:paraId="238DECC6" w14:textId="77777777" w:rsidR="006E7C91" w:rsidRPr="007B2607" w:rsidRDefault="008C2EFB" w:rsidP="00FB6E53">
      <w:pPr>
        <w:pStyle w:val="BodyText"/>
        <w:spacing w:after="0"/>
        <w:rPr>
          <w:bCs/>
        </w:rPr>
      </w:pPr>
      <w:r>
        <w:t xml:space="preserve">(3) priedas, kuriame išsamiai aprašoma likutinio išmetamųjų teršalų kiekio kompensavimo tvarka, visų pirma nurodant kompensavimo projektų pobūdį ir aprašymą.</w:t>
      </w:r>
      <w:r>
        <w:t xml:space="preserve"> </w:t>
      </w:r>
      <w:r>
        <w:t xml:space="preserve">Šiame priede taip pat gali būti savanoriškai pateikiama informacija apie jų išlaidas (bendras ir už toną CO</w:t>
      </w:r>
      <w:r>
        <w:rPr>
          <w:vertAlign w:val="subscript"/>
        </w:rPr>
        <w:t xml:space="preserve">2</w:t>
      </w:r>
      <w:r>
        <w:t xml:space="preserve">).</w:t>
      </w:r>
      <w:r>
        <w:t xml:space="preserve"> </w:t>
      </w:r>
      <w:r>
        <w:t xml:space="preserve">Šiame priede parodyta, kad dėl šios kompensacijos išvengtų arba sumažintų išmetamųjų teršalų kiekis atitinka visų parduotų produktų ar paslaugų, kuriems turėjo įtakos reklama, likutinį išmetamųjų teršalų kiekį.</w:t>
      </w:r>
      <w:r>
        <w:t xml:space="preserve">  </w:t>
      </w:r>
      <w:r>
        <w:t xml:space="preserve">Šiame priede taip pat nurodomos priemonės, kurias reklamuotojas taiko siekdamas užtikrinti, kad nebūtų dvigubai skaičiuojama pagal šiuos projektus teikiama kompensacija.</w:t>
      </w:r>
      <w:r>
        <w:t xml:space="preserve"> </w:t>
      </w:r>
      <w:r>
        <w:t xml:space="preserve">Jame visų pirma nustatomi išmetamųjų teršalų mažinimo pašalinimo iš rinkos, kai naudojami kompensaciniai kreditai, metodai.</w:t>
      </w:r>
      <w:r>
        <w:t xml:space="preserve"> </w:t>
      </w:r>
      <w:r>
        <w:t xml:space="preserve">Galiausiai šiame priede išsamiai aprašomos pastangos, kurių buvo imtasi siekiant užtikrinti kuo didesnį geografinių teritorijų, kuriose vykdomi projektai, ir teritorijų, kuriose išmetami teršalai, suderinamumą.</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Šis leidinys atnaujinamas kasmet per visą produkto ar paslaugos pardavimo laikotarpį.</w:t>
      </w:r>
      <w:r>
        <w:t xml:space="preserve"> </w:t>
      </w:r>
      <w:r>
        <w:t xml:space="preserve">Visų pirma atnaujinus išmetamųjų teršalų kiekį galima stebėti su produktu ar paslauga susijusių išmetamųjų teršalų kiekio kitimą, palyginti su pirmiau minėtu teršalų išmetimo mažinimo planu.</w:t>
      </w:r>
      <w:r>
        <w:t xml:space="preserve"> </w:t>
      </w:r>
      <w:r>
        <w:t xml:space="preserve">Reklamuotojas turės atsiimti D. 229–105 straipsnyje nurodytą prašymą, jei paaiškės, kad su gaminiu ar paslauga susijęs vieneto išmetamųjų teršalų kiekis augo dvejus metus iš eilės prieš kompensacijos išmokėjimą.</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Interneto nuoroda arba greitojo atsako kodas, kuriuo naudojantis galima susipažinti su šiuo leidiniu, nurodomi reklamoje arba ant pakuotės su teiginiu apie anglies dioksido neutralumą.</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D. 229–108 straipsnis.</w:t>
      </w:r>
      <w:r>
        <w:t xml:space="preserve"> </w:t>
      </w:r>
      <w:r>
        <w:t xml:space="preserve">D. 229–105 straipsnyje nurodyti reklamuotojo naudojami kompensavimo projektai turi atitikti R. 229–103 ir R. 229–104 straipsnių sąlygas.</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Kompensavimo projektai neturi pakenkti natūralių ekosistemų ir jų funkcijų išsaugojimui ir atkūrimui.</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Su Prancūzijoje vartojamais produktais ar paslaugomis susijęs išmetamas teršalų kiekis turi būti kompensuojamas daugiausia Prancūzijos teritorijoje.</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Laikoma, kad 2018 m. lapkričio 28 d. Nutarimu Nr. 2018–1043, kuriuo sukuriamas mažo anglies dioksido kiekio ženklas, pripažintas išmetamųjų teršalų kiekio sumažinimas atitinka R. 229–103 straipsnį.</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R. 229–109 straipsnis.</w:t>
      </w:r>
      <w:r>
        <w:t xml:space="preserve"> </w:t>
      </w:r>
      <w:r>
        <w:t xml:space="preserve">Pagal L. 229–69 straipsnį aplinkos ministras šiame straipsnyje nustatytomis sąlygomis gali bausti už L. 229–68 straipsnyje numatytos pareigos nevykdymą.</w:t>
      </w:r>
    </w:p>
    <w:p w14:paraId="5158D784" w14:textId="77777777" w:rsidR="00851850" w:rsidRPr="00851850" w:rsidRDefault="00851850" w:rsidP="00851850">
      <w:pPr>
        <w:pStyle w:val="BodyText"/>
        <w:rPr>
          <w:bCs/>
        </w:rPr>
      </w:pPr>
      <w:r>
        <w:t xml:space="preserve">L. 229–68 straipsnyje nustatytų įpareigojimų nevykdymą apibrėžia aplinkos ministro tam tikslui įgaliotas pareigūnas.</w:t>
      </w:r>
    </w:p>
    <w:p w14:paraId="5850D6DE" w14:textId="77777777" w:rsidR="00851850" w:rsidRPr="00851850" w:rsidRDefault="00851850" w:rsidP="00851850">
      <w:pPr>
        <w:pStyle w:val="BodyText"/>
        <w:rPr>
          <w:bCs/>
        </w:rPr>
      </w:pPr>
      <w:r>
        <w:t xml:space="preserve">Po to, kai reklamuotojui suteikiama galimybė raštu pateikti pastabas dėl jam pateiktų skundų, aplinkos ministras gali jį oficialiai įspėti, kad jis per ministro nustatytą laikotarpį įvykdytų šį įpareigojimą.</w:t>
      </w:r>
      <w:r>
        <w:t xml:space="preserve"> </w:t>
      </w:r>
      <w:r>
        <w:t xml:space="preserve">Ministras gali paskelbti šį oficialų pranešimą.</w:t>
      </w:r>
      <w:r>
        <w:t xml:space="preserve">  </w:t>
      </w:r>
    </w:p>
    <w:p w14:paraId="304FDC6A" w14:textId="77777777" w:rsidR="00851850" w:rsidRPr="007B2607" w:rsidRDefault="00851850" w:rsidP="00851850">
      <w:pPr>
        <w:pStyle w:val="BodyText"/>
        <w:spacing w:after="0"/>
        <w:rPr>
          <w:bCs/>
        </w:rPr>
      </w:pPr>
      <w:r>
        <w:t xml:space="preserve">Jei reklamuotojas nesilaiko šiame pranešime pateiktų įsipareigojimų per nustatytą terminą, aplinkos ministras gali nurodyti jam sumokėti Aplinkosaugos kodekso L. 229–69 straipsnyje numatytą baudą.“</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3 straipsnis</w:t>
      </w:r>
    </w:p>
    <w:p w14:paraId="3FB8E1D7" w14:textId="77777777" w:rsidR="00851850" w:rsidRDefault="00851850" w:rsidP="00851850">
      <w:pPr>
        <w:pStyle w:val="SNArticle"/>
        <w:jc w:val="left"/>
        <w:rPr>
          <w:b w:val="0"/>
        </w:rPr>
      </w:pPr>
      <w:r>
        <w:rPr>
          <w:b w:val="0"/>
        </w:rPr>
        <w:t xml:space="preserve">Minėtame 1997 m. gruodžio 19 d. Nutarimo 1 priede antraštė „Energetika ir klimatas“ papildoma taip:</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Oficialus pranešimas ir sankcijos dėl reklamoje pateikto teiginio, kad produktas ar paslauga yra neutralūs anglies dioksido atžvilgiu</w:t>
            </w:r>
          </w:p>
        </w:tc>
        <w:tc>
          <w:tcPr>
            <w:tcW w:w="2051" w:type="dxa"/>
          </w:tcPr>
          <w:p w14:paraId="33125CBC" w14:textId="77777777" w:rsidR="00851850" w:rsidRPr="00851850" w:rsidRDefault="00851850" w:rsidP="003C32DD">
            <w:pPr>
              <w:pStyle w:val="SNArticle"/>
              <w:jc w:val="left"/>
              <w:rPr>
                <w:b w:val="0"/>
              </w:rPr>
            </w:pPr>
            <w:r>
              <w:rPr>
                <w:b w:val="0"/>
              </w:rPr>
              <w:t xml:space="preserve">Aplinkosaugos kodeksas</w:t>
            </w:r>
          </w:p>
          <w:p w14:paraId="627C57FC" w14:textId="77777777" w:rsidR="00851850" w:rsidRPr="001D0716" w:rsidRDefault="00851850" w:rsidP="003C32DD">
            <w:pPr>
              <w:pStyle w:val="BodyText"/>
            </w:pPr>
            <w:r>
              <w:t xml:space="preserve">R. 229–109 straipsnis.</w:t>
            </w:r>
          </w:p>
        </w:tc>
        <w:tc>
          <w:tcPr>
            <w:tcW w:w="2336" w:type="dxa"/>
          </w:tcPr>
          <w:p w14:paraId="57484785" w14:textId="77777777" w:rsidR="00851850" w:rsidRPr="001D0716" w:rsidRDefault="00851850" w:rsidP="003C32DD">
            <w:pPr>
              <w:pStyle w:val="SNArticle"/>
              <w:jc w:val="left"/>
              <w:rPr>
                <w:b w:val="0"/>
              </w:rPr>
            </w:pPr>
            <w:r>
              <w:rPr>
                <w:b w:val="0"/>
              </w:rPr>
              <w:t xml:space="preserve">Aplinkos ministras</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4 straipsnis</w:t>
      </w:r>
    </w:p>
    <w:p w14:paraId="4B9BA7C2" w14:textId="77777777" w:rsidR="0061349E" w:rsidRDefault="00851850" w:rsidP="00BE3757">
      <w:pPr>
        <w:pStyle w:val="BodyText"/>
      </w:pPr>
      <w:r>
        <w:t xml:space="preserve">Šis nutarimas įsigalioja kitą dieną po jo paskelbimo, išskyrus 2 ir 3 straipsnius, kurie įsigalioja 2023 m. sausio 1 d.</w:t>
      </w:r>
    </w:p>
    <w:p w14:paraId="2D7F991E" w14:textId="77777777" w:rsidR="0061349E" w:rsidRDefault="0061349E" w:rsidP="00BE3757">
      <w:pPr>
        <w:pStyle w:val="BodyText"/>
      </w:pPr>
    </w:p>
    <w:p w14:paraId="1321CCFF" w14:textId="77777777" w:rsidR="00064968" w:rsidRDefault="0061349E" w:rsidP="00BE3757">
      <w:pPr>
        <w:pStyle w:val="BodyText"/>
      </w:pPr>
      <w:r>
        <w:t xml:space="preserve">Iki 2025 m. gruodžio 31 d. Prancūzijos teritorijoje įgyvendinamų projektų finansavimas yra lygiavertis reklamuotojui skiriamam išmetamųjų teršalų sumažinimui pagal D. 229-107 straipsnio 3 punkto nuostatas, jei reklamuotojas gali sutartimi pagrįsti, kad galiausiai bus pripažinta nauda už patvirtintą to projekto išmetamųjų teršalų sumažinimą.</w:t>
      </w:r>
      <w:r>
        <w:t xml:space="preserve"> </w:t>
      </w:r>
      <w:r>
        <w:t xml:space="preserve">Reklamuotojas užtikrina, kad būtų laikomasi jo išmetamųjų teršalų kompensavimo įsipareigojimų, prireikus įsigydamas papildomų anglies dioksido kreditų, atitinkančių patikrintų ir finansuotų projekto išmetamųjų teršalų sumažinimo skirtumą.</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5 straipsnis</w:t>
      </w:r>
    </w:p>
    <w:p w14:paraId="65149FAE" w14:textId="77777777" w:rsidR="00FB6E53" w:rsidRDefault="00FB6E53" w:rsidP="00FB6E53">
      <w:pPr>
        <w:pStyle w:val="BodyText"/>
      </w:pPr>
      <w:r>
        <w:t xml:space="preserve">Už šio nutarimo, kuris bus paskelbtas Prancūzijos Respublikos </w:t>
      </w:r>
      <w:r>
        <w:rPr>
          <w:i/>
        </w:rPr>
        <w:t xml:space="preserve">oficialiajame leidinyje</w:t>
      </w:r>
      <w:r>
        <w:t xml:space="preserve">, įgyvendinimą atsako ekologinės pertvarkos ministrė.</w:t>
      </w:r>
    </w:p>
    <w:p w14:paraId="633ECCBF" w14:textId="77777777" w:rsidR="00FB6E53" w:rsidRDefault="00FB6E53" w:rsidP="00FB6E53">
      <w:pPr>
        <w:pStyle w:val="SNDate"/>
      </w:pPr>
      <w:r>
        <w:t xml:space="preserve">Parengė [data]</w:t>
      </w:r>
    </w:p>
    <w:p w14:paraId="7B41A2DC" w14:textId="77777777" w:rsidR="00FB6E53" w:rsidRDefault="00FB6E53" w:rsidP="00FB6E53">
      <w:pPr>
        <w:ind w:left="567"/>
      </w:pPr>
      <w:r>
        <w:t xml:space="preserve">Ministras Pirmininkas:</w:t>
      </w:r>
    </w:p>
    <w:p w14:paraId="2011CC35" w14:textId="77777777" w:rsidR="00FB6E53" w:rsidRDefault="00FB6E53" w:rsidP="00FB6E53">
      <w:pPr>
        <w:pStyle w:val="SNSignatureGauche"/>
        <w:ind w:left="567" w:right="5669"/>
      </w:pPr>
      <w:r>
        <w:t xml:space="preserve">Ekologinės pertvarkos ministrė</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