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0" w:type="dxa"/>
        <w:tblInd w:w="-318" w:type="dxa"/>
        <w:tblLayout w:type="fixed"/>
        <w:tblCellMar>
          <w:left w:w="10" w:type="dxa"/>
          <w:right w:w="10" w:type="dxa"/>
        </w:tblCellMar>
        <w:tblLook w:val="04A0" w:firstRow="1" w:lastRow="0" w:firstColumn="1" w:lastColumn="0" w:noHBand="0" w:noVBand="1"/>
      </w:tblPr>
      <w:tblGrid>
        <w:gridCol w:w="9780"/>
      </w:tblGrid>
      <w:tr w:rsidR="00873667" w:rsidRPr="00404725" w14:paraId="0C3E33F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0BB20" w14:textId="6C1331AA" w:rsidR="00873667" w:rsidRDefault="00873667">
            <w:pPr>
              <w:pStyle w:val="Textbody"/>
              <w:spacing w:after="0" w:line="276" w:lineRule="auto"/>
              <w:jc w:val="both"/>
              <w:rPr>
                <w:rFonts w:ascii="Calibri" w:hAnsi="Calibri"/>
                <w:b/>
                <w:bCs/>
                <w:sz w:val="20"/>
                <w:szCs w:val="20"/>
              </w:rPr>
            </w:pPr>
            <w:r>
              <w:rPr>
                <w:rFonts w:ascii="Calibri" w:hAnsi="Calibri"/>
                <w:b/>
                <w:sz w:val="20"/>
              </w:rPr>
              <w:t>PRELIMINARUS POTVARKIO, KURIUO IŠ DALIES KEIČIAMAS 2007 M. KOVO 1 D. POTVARKIS DĖL APLINKOS APSAUGOS NUO GALIMO KENKSMINGO NEJONIZUOJANČIOSIOS SPINDULIUOTĖS POVEIKIO IR KENKSMINGŲ VEIKSNIŲ, 1997 M. BIRŽELIO 5 D. POTVARKIS DĖL APLINKOSAUGOS LEIDIMŲ</w:t>
            </w:r>
            <w:r>
              <w:rPr>
                <w:rFonts w:ascii="Calibri" w:hAnsi="Calibri"/>
                <w:sz w:val="22"/>
              </w:rPr>
              <w:t xml:space="preserve"> </w:t>
            </w:r>
            <w:r>
              <w:rPr>
                <w:rFonts w:ascii="Calibri" w:hAnsi="Calibri"/>
                <w:b/>
                <w:sz w:val="20"/>
              </w:rPr>
              <w:t>IR 2013 M. GEGUŽĖS 2 D. POTVARKIS DĖL BRIUSELIO ORO, KLIMATO IR ENERGIJOS VALDYMO KODEKSO, PROJEKTAS</w:t>
            </w:r>
          </w:p>
          <w:p w14:paraId="38F78F38" w14:textId="77777777" w:rsidR="00873667" w:rsidRDefault="00873667">
            <w:pPr>
              <w:pStyle w:val="Textbody"/>
              <w:spacing w:after="0" w:line="276" w:lineRule="auto"/>
              <w:jc w:val="both"/>
              <w:rPr>
                <w:rFonts w:ascii="Calibri" w:hAnsi="Calibri"/>
                <w:b/>
                <w:bCs/>
                <w:sz w:val="20"/>
                <w:szCs w:val="20"/>
                <w:lang w:val="fr-BE"/>
              </w:rPr>
            </w:pPr>
          </w:p>
        </w:tc>
      </w:tr>
      <w:tr w:rsidR="00873667" w14:paraId="34B1D41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C04F6"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Briuselio-sostinės regiono vyriausybė,</w:t>
            </w:r>
          </w:p>
          <w:p w14:paraId="6A372BBA" w14:textId="77777777" w:rsidR="00873667" w:rsidRPr="0089291D" w:rsidRDefault="00873667">
            <w:pPr>
              <w:spacing w:after="0" w:line="240" w:lineRule="auto"/>
              <w:jc w:val="both"/>
              <w:rPr>
                <w:rFonts w:asciiTheme="minorHAnsi" w:hAnsiTheme="minorHAnsi"/>
                <w:color w:val="000000" w:themeColor="text1"/>
                <w:sz w:val="20"/>
                <w:szCs w:val="20"/>
              </w:rPr>
            </w:pPr>
          </w:p>
          <w:p w14:paraId="61958105"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Atsižvelgdama į vertinimo ataskaitą, vadinamą lygių galimybių testu, kurio reikalaujama pagal 2018 m. spalio 4 d. potvarkio dėl lygių galimybių testo taikymo Briuselio-sostinės regiono politinėms kryptims 2 straipsnio 1 dalį ir į 2018 m. lapkričio 22 d. Briuselio-sostinės regiono vyriausybės dekreto, kuriuo įgyvendinamas šis potvarkis, 1 straipsnį; </w:t>
            </w:r>
          </w:p>
          <w:p w14:paraId="3F837FB9" w14:textId="77777777" w:rsidR="00873667" w:rsidRPr="0089291D" w:rsidRDefault="00873667">
            <w:pPr>
              <w:spacing w:after="0" w:line="240" w:lineRule="auto"/>
              <w:jc w:val="both"/>
              <w:rPr>
                <w:rFonts w:asciiTheme="minorHAnsi" w:hAnsiTheme="minorHAnsi"/>
                <w:color w:val="000000" w:themeColor="text1"/>
                <w:sz w:val="20"/>
                <w:szCs w:val="20"/>
              </w:rPr>
            </w:pPr>
          </w:p>
          <w:p w14:paraId="32C7AD0E"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Atsižvelgdama į 2018 m. gruodžio 11 d. Europos Parlamento ir Tarybos direktyvos (ES) 2018/1972, kuria nustatomas Europos elektroninių ryšių kodeksas, 57.5 straipsnį;</w:t>
            </w:r>
          </w:p>
          <w:p w14:paraId="3146CB8D" w14:textId="77777777" w:rsidR="00873667" w:rsidRPr="0089291D" w:rsidRDefault="00873667">
            <w:pPr>
              <w:spacing w:after="0" w:line="240" w:lineRule="auto"/>
              <w:jc w:val="both"/>
              <w:rPr>
                <w:rFonts w:asciiTheme="minorHAnsi" w:hAnsiTheme="minorHAnsi"/>
                <w:color w:val="000000" w:themeColor="text1"/>
                <w:sz w:val="20"/>
                <w:szCs w:val="20"/>
              </w:rPr>
            </w:pPr>
          </w:p>
          <w:p w14:paraId="03FBB56C" w14:textId="77777777" w:rsidR="00873667" w:rsidRPr="0089291D" w:rsidRDefault="00873667">
            <w:pPr>
              <w:spacing w:after="0" w:line="240" w:lineRule="auto"/>
              <w:jc w:val="both"/>
              <w:rPr>
                <w:rFonts w:asciiTheme="minorHAnsi" w:hAnsiTheme="minorHAnsi"/>
                <w:color w:val="000000" w:themeColor="text1"/>
                <w:sz w:val="20"/>
                <w:szCs w:val="20"/>
              </w:rPr>
            </w:pPr>
          </w:p>
          <w:p w14:paraId="6A6B9180"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Atsižvelgdama į 2007 m. kovo 1 d. potvarkį dėl aplinkos apsaugos nuo galimo kenksmingo nejonizuojančiosios spinduliuotės poveikio ir kenksmingų veiksnių su pakeitimais, padarytais 2014 m. balandžio 3 d., 2014 m. gegužės 8 d. ir 2016 m. birželio 27 d. potvarkiais;</w:t>
            </w:r>
          </w:p>
          <w:p w14:paraId="3BB9CE37" w14:textId="77777777" w:rsidR="00873667" w:rsidRPr="0089291D" w:rsidRDefault="00873667">
            <w:pPr>
              <w:spacing w:after="0" w:line="240" w:lineRule="auto"/>
              <w:jc w:val="both"/>
              <w:rPr>
                <w:rFonts w:asciiTheme="minorHAnsi" w:hAnsiTheme="minorHAnsi"/>
                <w:color w:val="000000" w:themeColor="text1"/>
                <w:sz w:val="20"/>
                <w:szCs w:val="20"/>
              </w:rPr>
            </w:pPr>
          </w:p>
          <w:p w14:paraId="6228F157"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Atsižvelgdama į 2021 m. lapkričio 18 d. pateiktą „Brupartners“ nuomonę; </w:t>
            </w:r>
          </w:p>
          <w:p w14:paraId="57BF7CE2" w14:textId="77777777" w:rsidR="00873667" w:rsidRPr="0089291D" w:rsidRDefault="00873667">
            <w:pPr>
              <w:spacing w:after="0" w:line="240" w:lineRule="auto"/>
              <w:jc w:val="both"/>
              <w:rPr>
                <w:rFonts w:asciiTheme="minorHAnsi" w:hAnsiTheme="minorHAnsi"/>
                <w:color w:val="000000" w:themeColor="text1"/>
                <w:sz w:val="20"/>
                <w:szCs w:val="20"/>
              </w:rPr>
            </w:pPr>
          </w:p>
          <w:p w14:paraId="6826C19E" w14:textId="77777777" w:rsidR="00873667" w:rsidRPr="0089291D" w:rsidRDefault="00873667">
            <w:pPr>
              <w:spacing w:after="0" w:line="240" w:lineRule="auto"/>
              <w:jc w:val="both"/>
              <w:rPr>
                <w:rFonts w:asciiTheme="minorHAnsi" w:hAnsiTheme="minorHAnsi"/>
                <w:color w:val="000000" w:themeColor="text1"/>
                <w:sz w:val="20"/>
                <w:szCs w:val="20"/>
              </w:rPr>
            </w:pPr>
          </w:p>
          <w:p w14:paraId="31DEAA3C"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Atsižvelgdama į Aplinkos tarybos nuomonę, pateiktą 2021 m. lapkričio 25 d.;</w:t>
            </w:r>
          </w:p>
          <w:p w14:paraId="46357F7C" w14:textId="77777777" w:rsidR="00873667" w:rsidRPr="0089291D" w:rsidRDefault="00873667">
            <w:pPr>
              <w:spacing w:after="0" w:line="240" w:lineRule="auto"/>
              <w:jc w:val="both"/>
              <w:rPr>
                <w:rFonts w:asciiTheme="minorHAnsi" w:hAnsiTheme="minorHAnsi"/>
                <w:color w:val="000000" w:themeColor="text1"/>
                <w:sz w:val="20"/>
                <w:szCs w:val="20"/>
              </w:rPr>
            </w:pPr>
          </w:p>
          <w:p w14:paraId="0D68A106"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Atsižvelgdama į 2022 m. vasario 4 d. pateiktą Nejonizuojančiosios spinduliuotės ekspertų komiteto nuomonę; </w:t>
            </w:r>
          </w:p>
          <w:p w14:paraId="01F62904" w14:textId="77777777" w:rsidR="00873667" w:rsidRPr="0089291D" w:rsidRDefault="00873667">
            <w:pPr>
              <w:spacing w:after="0" w:line="240" w:lineRule="auto"/>
              <w:jc w:val="both"/>
              <w:rPr>
                <w:rFonts w:asciiTheme="minorHAnsi" w:hAnsiTheme="minorHAnsi"/>
                <w:color w:val="000000" w:themeColor="text1"/>
                <w:sz w:val="20"/>
                <w:szCs w:val="20"/>
              </w:rPr>
            </w:pPr>
          </w:p>
          <w:p w14:paraId="5B903D04"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Atsižvelgdama į 2021 m. birželio 5 d. patariamojo komiteto, atsakingo už rekomendacijų dėl 5G diegimo Briuselio-sostinės regione teikimą, rekomendacijas, atsižvelgiant į aplinkos, sveikatos, ekonomikos, užimtumo ir technologinius aspektus;</w:t>
            </w:r>
          </w:p>
          <w:p w14:paraId="4781B5FF" w14:textId="77777777" w:rsidR="00873667" w:rsidRPr="0089291D" w:rsidRDefault="00873667">
            <w:pPr>
              <w:spacing w:after="0" w:line="240" w:lineRule="auto"/>
              <w:jc w:val="both"/>
              <w:rPr>
                <w:rFonts w:asciiTheme="minorHAnsi" w:hAnsiTheme="minorHAnsi"/>
                <w:color w:val="000000" w:themeColor="text1"/>
                <w:sz w:val="20"/>
                <w:szCs w:val="20"/>
              </w:rPr>
            </w:pPr>
          </w:p>
          <w:p w14:paraId="562FC590"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Atsižvelgdama į poveikio aplinkai vertinimą, atliktą pagal 2004 m. kovo 18 d. Potvarkio dėl tam tikrų planų ir programų pasekmių aplinkai vertinimo nuostatas; </w:t>
            </w:r>
          </w:p>
          <w:p w14:paraId="01BAFB8F" w14:textId="77777777" w:rsidR="00873667" w:rsidRPr="0089291D" w:rsidRDefault="00873667">
            <w:pPr>
              <w:spacing w:after="0" w:line="240" w:lineRule="auto"/>
              <w:jc w:val="both"/>
              <w:rPr>
                <w:rFonts w:asciiTheme="minorHAnsi" w:hAnsiTheme="minorHAnsi"/>
                <w:color w:val="000000" w:themeColor="text1"/>
                <w:sz w:val="20"/>
                <w:szCs w:val="20"/>
              </w:rPr>
            </w:pPr>
          </w:p>
          <w:p w14:paraId="7D51530B"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Atsižvelgdama į 1973 m. sausio 12 d. suderintus Valstybės Tarybos įstatymus, 3 straipsnio 1 ir 2 dalis;</w:t>
            </w:r>
          </w:p>
          <w:p w14:paraId="33EBD2BF" w14:textId="77777777" w:rsidR="00873667" w:rsidRPr="0089291D" w:rsidRDefault="00873667">
            <w:pPr>
              <w:spacing w:after="0" w:line="240" w:lineRule="auto"/>
              <w:jc w:val="both"/>
              <w:rPr>
                <w:rFonts w:asciiTheme="minorHAnsi" w:hAnsiTheme="minorHAnsi"/>
                <w:color w:val="000000" w:themeColor="text1"/>
                <w:sz w:val="20"/>
                <w:szCs w:val="20"/>
              </w:rPr>
            </w:pPr>
          </w:p>
          <w:p w14:paraId="7900BCA1"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Atsižvelgdama į Valstybės Tarybos nuomonę Nr. [*], pateiktą [*] d.;</w:t>
            </w:r>
          </w:p>
          <w:p w14:paraId="2C516520" w14:textId="77777777" w:rsidR="00873667" w:rsidRPr="0089291D" w:rsidRDefault="00873667">
            <w:pPr>
              <w:spacing w:after="0" w:line="240" w:lineRule="auto"/>
              <w:jc w:val="both"/>
              <w:rPr>
                <w:rFonts w:asciiTheme="minorHAnsi" w:hAnsiTheme="minorHAnsi"/>
                <w:color w:val="000000" w:themeColor="text1"/>
                <w:sz w:val="20"/>
                <w:szCs w:val="20"/>
              </w:rPr>
            </w:pPr>
          </w:p>
          <w:p w14:paraId="49A1412F"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Kadangi Privatumo komiteto nuomonės nereikalaujama, nes 2016 m. balandžio 27 d. Europos Parlamento ir Tarybos reglamentas (ES) 2016/679 dėl fizinių asmenų apsaugos tvarkant asmens duomenis ir dėl laisvo tokių duomenų judėjimo taikomas tik fizinių asmenų, o ne juridinių asmenų asmens duomenims; kadangi šis tekstas skirtas tik juridiniams asmenims (operatoriams), nedarant poveikio fizinių asmenų asmens duomenims; </w:t>
            </w:r>
          </w:p>
          <w:p w14:paraId="4A4E89A1" w14:textId="77777777" w:rsidR="00873667" w:rsidRPr="0089291D" w:rsidRDefault="00873667">
            <w:pPr>
              <w:spacing w:after="0" w:line="240" w:lineRule="auto"/>
              <w:jc w:val="both"/>
              <w:rPr>
                <w:rFonts w:asciiTheme="minorHAnsi" w:hAnsiTheme="minorHAnsi"/>
                <w:color w:val="000000" w:themeColor="text1"/>
                <w:sz w:val="20"/>
                <w:szCs w:val="20"/>
              </w:rPr>
            </w:pPr>
          </w:p>
          <w:p w14:paraId="4202D25C"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Ministro pirmininko ir aplinkos ministro siūlymu,</w:t>
            </w:r>
          </w:p>
          <w:p w14:paraId="014CEA58" w14:textId="77777777" w:rsidR="00873667" w:rsidRPr="0089291D" w:rsidRDefault="00873667">
            <w:pPr>
              <w:spacing w:after="0" w:line="240" w:lineRule="auto"/>
              <w:jc w:val="both"/>
              <w:rPr>
                <w:rFonts w:asciiTheme="minorHAnsi" w:hAnsiTheme="minorHAnsi"/>
                <w:color w:val="000000" w:themeColor="text1"/>
                <w:sz w:val="20"/>
                <w:szCs w:val="20"/>
                <w:lang w:val="es-ES"/>
              </w:rPr>
            </w:pPr>
          </w:p>
          <w:p w14:paraId="7EC6DA0D"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viską apsvarsčiusi,</w:t>
            </w:r>
          </w:p>
          <w:p w14:paraId="2DA82BBF" w14:textId="77777777" w:rsidR="00873667" w:rsidRDefault="00873667">
            <w:pPr>
              <w:spacing w:after="0" w:line="240" w:lineRule="auto"/>
              <w:jc w:val="both"/>
              <w:rPr>
                <w:rFonts w:asciiTheme="minorHAnsi" w:hAnsiTheme="minorHAnsi"/>
                <w:color w:val="000000" w:themeColor="text1"/>
                <w:sz w:val="20"/>
                <w:szCs w:val="20"/>
                <w:lang w:val="nl-NL"/>
              </w:rPr>
            </w:pPr>
          </w:p>
          <w:p w14:paraId="27A3098B" w14:textId="77777777" w:rsidR="00873667" w:rsidRDefault="00873667">
            <w:pPr>
              <w:spacing w:after="0" w:line="240" w:lineRule="auto"/>
              <w:jc w:val="both"/>
              <w:rPr>
                <w:rFonts w:asciiTheme="minorHAnsi" w:eastAsiaTheme="minorHAnsi" w:hAnsiTheme="minorHAnsi" w:cs="TimesNewRoman"/>
                <w:kern w:val="0"/>
                <w:sz w:val="18"/>
                <w:szCs w:val="18"/>
                <w:lang w:val="nl-NL"/>
              </w:rPr>
            </w:pPr>
          </w:p>
        </w:tc>
      </w:tr>
      <w:tr w:rsidR="00873667" w14:paraId="1C5587B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251D8" w14:textId="77777777" w:rsidR="00873667" w:rsidRDefault="00873667">
            <w:pPr>
              <w:spacing w:after="0" w:line="240" w:lineRule="auto"/>
              <w:jc w:val="center"/>
              <w:rPr>
                <w:rFonts w:asciiTheme="minorHAnsi" w:hAnsiTheme="minorHAnsi"/>
                <w:b/>
                <w:color w:val="000000" w:themeColor="text1"/>
                <w:sz w:val="20"/>
                <w:szCs w:val="20"/>
              </w:rPr>
            </w:pPr>
            <w:r>
              <w:rPr>
                <w:rFonts w:asciiTheme="minorHAnsi" w:hAnsiTheme="minorHAnsi"/>
                <w:b/>
                <w:color w:val="000000" w:themeColor="text1"/>
                <w:sz w:val="20"/>
              </w:rPr>
              <w:t>nutaria:</w:t>
            </w:r>
          </w:p>
          <w:p w14:paraId="30AA9CFE" w14:textId="77777777" w:rsidR="00873667" w:rsidRDefault="00873667">
            <w:pPr>
              <w:spacing w:after="0" w:line="240" w:lineRule="auto"/>
              <w:jc w:val="both"/>
              <w:rPr>
                <w:rFonts w:cs="Times New Roman"/>
                <w:b/>
                <w:sz w:val="20"/>
                <w:szCs w:val="20"/>
                <w:lang w:val="nl-NL"/>
              </w:rPr>
            </w:pPr>
          </w:p>
        </w:tc>
      </w:tr>
      <w:tr w:rsidR="00873667" w:rsidRPr="00404725" w14:paraId="5DCAAB3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4C10A"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Aplinkos ministrė yra atsakinga už šio potvarkio projekto pateikimą Parlamentui: </w:t>
            </w:r>
          </w:p>
          <w:p w14:paraId="20AE67A3" w14:textId="77777777" w:rsidR="00873667" w:rsidRDefault="00873667">
            <w:pPr>
              <w:spacing w:after="0" w:line="240" w:lineRule="auto"/>
              <w:jc w:val="both"/>
              <w:rPr>
                <w:bCs/>
                <w:sz w:val="20"/>
                <w:szCs w:val="20"/>
                <w:lang w:val="fr-BE"/>
              </w:rPr>
            </w:pPr>
          </w:p>
        </w:tc>
      </w:tr>
      <w:tr w:rsidR="00873667" w14:paraId="0AD90BD2"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80087" w14:textId="77777777" w:rsidR="00873667" w:rsidRDefault="00873667">
            <w:pPr>
              <w:spacing w:after="0" w:line="240" w:lineRule="auto"/>
              <w:jc w:val="both"/>
              <w:rPr>
                <w:rFonts w:asciiTheme="minorHAnsi" w:hAnsiTheme="minorHAnsi"/>
                <w:b/>
                <w:bCs/>
                <w:color w:val="000000" w:themeColor="text1"/>
                <w:sz w:val="20"/>
                <w:szCs w:val="20"/>
              </w:rPr>
            </w:pPr>
            <w:r>
              <w:rPr>
                <w:rFonts w:asciiTheme="minorHAnsi" w:hAnsiTheme="minorHAnsi"/>
                <w:b/>
                <w:color w:val="000000" w:themeColor="text1"/>
                <w:sz w:val="20"/>
              </w:rPr>
              <w:t>1 skyrius. Įžanginė nuostata</w:t>
            </w:r>
          </w:p>
        </w:tc>
      </w:tr>
      <w:tr w:rsidR="00873667" w:rsidRPr="00404725" w14:paraId="4EDF49A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7236C" w14:textId="77777777" w:rsidR="00873667" w:rsidRDefault="00873667">
            <w:pPr>
              <w:spacing w:after="0" w:line="240" w:lineRule="auto"/>
              <w:jc w:val="both"/>
              <w:rPr>
                <w:rFonts w:asciiTheme="minorHAnsi" w:hAnsiTheme="minorHAnsi"/>
                <w:b/>
                <w:color w:val="000000" w:themeColor="text1"/>
                <w:sz w:val="20"/>
                <w:szCs w:val="20"/>
              </w:rPr>
            </w:pPr>
            <w:r>
              <w:rPr>
                <w:rFonts w:asciiTheme="minorHAnsi" w:hAnsiTheme="minorHAnsi"/>
                <w:b/>
                <w:color w:val="000000" w:themeColor="text1"/>
                <w:sz w:val="20"/>
              </w:rPr>
              <w:t>1 straipsnis.</w:t>
            </w:r>
          </w:p>
          <w:p w14:paraId="7E06BF8C"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Šis potvarkis reglamentuoja Konstitucijos 39 straipsnyje nurodytą klausimą. </w:t>
            </w:r>
          </w:p>
          <w:p w14:paraId="63EF4B7A" w14:textId="77777777" w:rsidR="00873667" w:rsidRPr="0089291D" w:rsidRDefault="00873667">
            <w:pPr>
              <w:spacing w:after="0" w:line="240" w:lineRule="auto"/>
              <w:jc w:val="both"/>
              <w:rPr>
                <w:rFonts w:asciiTheme="minorHAnsi" w:hAnsiTheme="minorHAnsi"/>
                <w:sz w:val="20"/>
                <w:szCs w:val="20"/>
              </w:rPr>
            </w:pPr>
          </w:p>
          <w:p w14:paraId="6E2F7DA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Šiuo potvarkiu iš dalies perkeliama į nacionalinę teisę 2018 m. gruodžio 11 d. Europos Parlamento ir Tarybos direktyva </w:t>
            </w:r>
            <w:r>
              <w:rPr>
                <w:rFonts w:asciiTheme="minorHAnsi" w:hAnsiTheme="minorHAnsi"/>
                <w:sz w:val="20"/>
              </w:rPr>
              <w:lastRenderedPageBreak/>
              <w:t>(ES) 2018/1972, kuria nustatomas Europos elektroninių ryšių kodeksas.</w:t>
            </w:r>
          </w:p>
          <w:p w14:paraId="2EF3826D" w14:textId="77777777" w:rsidR="00873667" w:rsidRPr="0089291D" w:rsidRDefault="00873667">
            <w:pPr>
              <w:spacing w:after="0" w:line="240" w:lineRule="auto"/>
              <w:jc w:val="both"/>
              <w:rPr>
                <w:bCs/>
                <w:sz w:val="20"/>
                <w:szCs w:val="20"/>
              </w:rPr>
            </w:pPr>
          </w:p>
        </w:tc>
      </w:tr>
      <w:tr w:rsidR="00873667" w:rsidRPr="00404725" w14:paraId="6A06A42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9F63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2 skyrius. 2007 m. kovo 1 d. potvarkio dėl aplinkos apsaugos nuo galimo kenksmingo nejonizuojančiosios spinduliuotės poveikio ir kenksmingų veiksnių pakeitimai</w:t>
            </w:r>
          </w:p>
        </w:tc>
      </w:tr>
      <w:tr w:rsidR="00873667" w:rsidRPr="00404725" w14:paraId="29C7DA7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F4D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2 straipsnis.</w:t>
            </w:r>
          </w:p>
          <w:p w14:paraId="53C0BEAE"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2007 m. kovo 1 d. Potvarkio dėl aplinkos apsaugos nuo galimo kenksmingo nejonizuojančiosios spinduliuotės poveikio ir kenksmingų veiksnių, iš dalies pakeisto 2014 m. balandžio 3 d. potvarkiu ir iš dalies panaikinto Konstitucinio Teismo nutarimu Nr. 12/2016, 2 straipsnyje daromi šie pakeitimai:</w:t>
            </w:r>
          </w:p>
          <w:p w14:paraId="2460015D" w14:textId="77777777" w:rsidR="00873667" w:rsidRPr="0089291D" w:rsidRDefault="00873667">
            <w:pPr>
              <w:spacing w:after="0" w:line="240" w:lineRule="auto"/>
              <w:jc w:val="both"/>
              <w:rPr>
                <w:rFonts w:asciiTheme="minorHAnsi" w:hAnsiTheme="minorHAnsi"/>
                <w:sz w:val="20"/>
                <w:szCs w:val="20"/>
              </w:rPr>
            </w:pPr>
          </w:p>
          <w:p w14:paraId="122112B2"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1 dalies 2 punktas pakeičiamas taip: </w:t>
            </w:r>
          </w:p>
          <w:p w14:paraId="19D6FC33"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 „viešai prieinamos teritorijos patalpose“: pastato patalpos, kuriose žmonės gali arba gali reguliariai apsistoti, visų pirma apgyvendinimo patalpos, viešbučiai, mokyklos, lopšeliai, ligoninės, pagyvenusių žmonių namai ir reguliariai sportuojantiems ar reguliariems žaidimams skirti pastatai;</w:t>
            </w:r>
          </w:p>
          <w:p w14:paraId="6795F99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2a. „viešai prieinamos teritorijos lauke“ – lauko ar susijusios viešai prieinamos vietos, visų pirma sodai, erdviniai interjerai, parkų zonos, žaidimų aikštelės ir balkonai, uždengtos ir nepadengtos pastatų terasos, garažo kabinos, pastogės, žiemos sodai, šiltnamiai ir kitos panašios verandos;“;</w:t>
            </w:r>
          </w:p>
          <w:p w14:paraId="7F94A6C9" w14:textId="77777777" w:rsidR="00873667" w:rsidRPr="0089291D" w:rsidRDefault="00873667">
            <w:pPr>
              <w:spacing w:after="0" w:line="240" w:lineRule="auto"/>
              <w:jc w:val="both"/>
              <w:rPr>
                <w:rFonts w:asciiTheme="minorHAnsi" w:hAnsiTheme="minorHAnsi"/>
                <w:sz w:val="20"/>
                <w:szCs w:val="20"/>
              </w:rPr>
            </w:pPr>
          </w:p>
          <w:p w14:paraId="04CF6F2D"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1 dalies 4 punkto c papunktyje skyrybos ženklas „.“ pakeičiamas skyrybos ženklu „;“;</w:t>
            </w:r>
          </w:p>
          <w:p w14:paraId="24E8B21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E0504A9" w14:textId="62473454"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1 dalis papildoma 5, 6, 7, 8, 9 ir 10 punktais, kurie išdėstyti taip: </w:t>
            </w:r>
          </w:p>
          <w:p w14:paraId="719074E0"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„5) „antena“: spinduliuotės sistema, skirta radijo ryšio signalui skleisti elektromagnetinėmis bangomis;</w:t>
            </w:r>
          </w:p>
          <w:p w14:paraId="4DE09907"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6. „operatorius“: bet kuris juridinis asmuo, turintis teisę transliuoti, taip pat susijusios bendrovės, kaip apibrėžta Įmonių kodekse, ir apskritai bet kuris anteną eksploatuojantis asmuo, išskyrus transliuotojus;</w:t>
            </w:r>
          </w:p>
          <w:p w14:paraId="3C5B91DC"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7. „transliuotojas“: tinklo operatorius, nurodytas 2021 m. vasario 4 d. Prancūzų bendruomenės dekreto dėl audiovizualinės žiniasklaidos paslaugų ir dalijimosi vaizdo medžiaga paslaugų 1.3–1 straipsnio 33 punkte arba 2009 m. kovo 27 d. Flandrijos dekreto dėl transliavimo ir televizijos 2 straipsnio 22 punkte;</w:t>
            </w:r>
          </w:p>
          <w:p w14:paraId="1FF7897A"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8. „nepaprastoji padėtis“: bet koks vienkartinis įvykis, sukeliantis arba galintis sukelti žalingų pasekmių socialiniam gyvenimui, pavyzdžiui, rimtas visuomenės saugumo sutrikimas, rimta grėsmė asmenų gyvybei ar sveikatai ir (arba) svarbūs materialiniai interesai, ir dėl kurio reikia kompetentingų subjektų, įskaitant disciplinas, koordinavimo, kad būtų pašalinta grėsmė arba apribotos neigiamos įvykio pasekmės;</w:t>
            </w:r>
          </w:p>
          <w:p w14:paraId="7661DE04"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9. „ AKM (Eksploatavimo ir techninės priežiūros centras)“: pagrindinis techninis tinklo elementas, sukurtas jo valdymui užtikrinti ir visų pirma apimantis tinkle naudojamų konfigūracijų, skaitiklių ir statistinių duomenų atspindį;</w:t>
            </w:r>
          </w:p>
          <w:p w14:paraId="238F3159" w14:textId="77777777" w:rsidR="00873667" w:rsidRPr="0089291D" w:rsidRDefault="00873667">
            <w:pPr>
              <w:spacing w:after="0" w:line="240" w:lineRule="auto"/>
              <w:ind w:left="352"/>
              <w:jc w:val="both"/>
              <w:rPr>
                <w:rFonts w:asciiTheme="minorHAnsi" w:hAnsiTheme="minorHAnsi"/>
                <w:sz w:val="20"/>
                <w:szCs w:val="20"/>
              </w:rPr>
            </w:pPr>
          </w:p>
          <w:p w14:paraId="4764DA67" w14:textId="768F3E3C" w:rsidR="00873667" w:rsidRDefault="00873667">
            <w:pPr>
              <w:spacing w:after="0" w:line="240" w:lineRule="auto"/>
              <w:ind w:left="352"/>
              <w:jc w:val="both"/>
              <w:rPr>
                <w:rFonts w:asciiTheme="minorHAnsi" w:hAnsiTheme="minorHAnsi"/>
                <w:sz w:val="20"/>
                <w:szCs w:val="20"/>
              </w:rPr>
            </w:pPr>
            <w:r>
              <w:rPr>
                <w:rFonts w:asciiTheme="minorHAnsi" w:hAnsiTheme="minorHAnsi"/>
                <w:sz w:val="20"/>
              </w:rPr>
              <w:t>10. „Urbis-Adm 3D duomenų bazė“: duomenų bankas, kuriame pateikiama unikalios ir originalios vertės Briuselio-sostinės regionui informacija ir pateikiamos konkrečios garantijos dėl 2014 m. balandžio 18 d. Bendradarbiavimo susitarimo priede nurodytos informacijos tikslumo, išsamumo ir prieinamumo; tarp federalinės valstybės, Flandrijos regiono, Valonijos regiono ir Briuselio-sostinės regiono dėl paveldo informacijos koordinavimo struktūros.“;</w:t>
            </w:r>
          </w:p>
          <w:p w14:paraId="031B8EAB" w14:textId="77777777" w:rsidR="00873667" w:rsidRPr="0089291D" w:rsidRDefault="00873667">
            <w:pPr>
              <w:spacing w:after="0" w:line="240" w:lineRule="auto"/>
              <w:jc w:val="both"/>
              <w:rPr>
                <w:rFonts w:asciiTheme="minorHAnsi" w:hAnsiTheme="minorHAnsi"/>
                <w:sz w:val="20"/>
                <w:szCs w:val="20"/>
              </w:rPr>
            </w:pPr>
          </w:p>
          <w:p w14:paraId="533CE327"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2 dalies 2 punktas išdėstomas taip: </w:t>
            </w:r>
          </w:p>
          <w:p w14:paraId="61E32F60"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Šio potvarkio nuostatos netaikomos nepaprastosiose padėtyse.“.</w:t>
            </w:r>
          </w:p>
          <w:p w14:paraId="639D6F68" w14:textId="77777777" w:rsidR="00873667" w:rsidRPr="0089291D" w:rsidRDefault="00873667">
            <w:pPr>
              <w:spacing w:after="0" w:line="240" w:lineRule="auto"/>
              <w:ind w:left="352"/>
              <w:jc w:val="both"/>
              <w:rPr>
                <w:rFonts w:asciiTheme="minorHAnsi" w:hAnsiTheme="minorHAnsi"/>
                <w:sz w:val="20"/>
                <w:szCs w:val="20"/>
              </w:rPr>
            </w:pPr>
          </w:p>
        </w:tc>
      </w:tr>
      <w:tr w:rsidR="00873667" w:rsidRPr="00404725" w14:paraId="72ECC1B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4364E"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3 straipsnis.</w:t>
            </w:r>
          </w:p>
          <w:p w14:paraId="697447F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Šio potvarkio 3 straipsnis iš dalies keičiamas taip:</w:t>
            </w:r>
          </w:p>
          <w:p w14:paraId="2CF8E143" w14:textId="77777777" w:rsidR="00873667" w:rsidRPr="0089291D" w:rsidRDefault="00873667">
            <w:pPr>
              <w:spacing w:after="0" w:line="240" w:lineRule="auto"/>
              <w:jc w:val="both"/>
              <w:rPr>
                <w:rFonts w:asciiTheme="minorHAnsi" w:hAnsiTheme="minorHAnsi"/>
                <w:sz w:val="20"/>
                <w:szCs w:val="20"/>
              </w:rPr>
            </w:pPr>
          </w:p>
          <w:p w14:paraId="62E692B7"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1 dalies 2–4 pastraipos panaikinamos;</w:t>
            </w:r>
          </w:p>
          <w:p w14:paraId="42976C5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6243B18"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įterpiama ši 1a dalis:</w:t>
            </w:r>
          </w:p>
          <w:p w14:paraId="76FBDA5D" w14:textId="0D56135F" w:rsidR="00873667" w:rsidRDefault="00873667">
            <w:pPr>
              <w:spacing w:after="0" w:line="240" w:lineRule="auto"/>
              <w:ind w:left="352"/>
              <w:jc w:val="both"/>
              <w:rPr>
                <w:rFonts w:asciiTheme="minorHAnsi" w:hAnsiTheme="minorHAnsi"/>
                <w:sz w:val="20"/>
              </w:rPr>
            </w:pPr>
            <w:r>
              <w:rPr>
                <w:rFonts w:asciiTheme="minorHAnsi" w:hAnsiTheme="minorHAnsi"/>
                <w:sz w:val="20"/>
              </w:rPr>
              <w:t>„1a straipsnis. Nepažeidžiant 1a ir 4 dalių nuostatų, visose viešai prieinamose patalpose ir lauke nejonizuojančiosios spinduliuotės galios tankis jokiu metu neturi viršyti toliau nurodytų verčių viešai prieinamose patalpose (</w:t>
            </w:r>
            <w:r>
              <w:t xml:space="preserve"> </w:t>
            </w: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rPr>
                    <m:t>S</m:t>
                  </m:r>
                </m:e>
                <m:sub>
                  <m:r>
                    <w:rPr>
                      <w:rFonts w:ascii="Cambria Math" w:eastAsia="Times New Roman" w:hAnsi="Cambria Math" w:cstheme="minorHAnsi"/>
                      <w:color w:val="000000"/>
                      <w:kern w:val="0"/>
                      <w:sz w:val="20"/>
                      <w:szCs w:val="20"/>
                    </w:rPr>
                    <m:t>int</m:t>
                  </m:r>
                </m:sub>
              </m:sSub>
              <m:r>
                <w:rPr>
                  <w:rFonts w:ascii="Cambria Math" w:eastAsia="Times New Roman" w:hAnsi="Cambria Math" w:cstheme="minorHAnsi"/>
                  <w:color w:val="000000"/>
                  <w:kern w:val="0"/>
                  <w:sz w:val="20"/>
                  <w:szCs w:val="20"/>
                </w:rPr>
                <m:t>)</m:t>
              </m:r>
            </m:oMath>
            <w:r>
              <w:t xml:space="preserve"> </w:t>
            </w:r>
            <w:r>
              <w:rPr>
                <w:rFonts w:asciiTheme="minorHAnsi" w:hAnsiTheme="minorHAnsi"/>
                <w:sz w:val="20"/>
              </w:rPr>
              <w:t xml:space="preserve"> ir viešai prieinamose lauko vietose)</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rPr>
                    <m:t>S</m:t>
                  </m:r>
                </m:e>
                <m:sub>
                  <m:r>
                    <w:rPr>
                      <w:rFonts w:ascii="Cambria Math" w:eastAsia="Times New Roman" w:hAnsi="Cambria Math" w:cstheme="minorHAnsi"/>
                      <w:sz w:val="20"/>
                      <w:szCs w:val="20"/>
                    </w:rPr>
                    <m:t>ext</m:t>
                  </m:r>
                </m:sub>
              </m:sSub>
              <m:r>
                <w:rPr>
                  <w:rFonts w:ascii="Cambria Math" w:eastAsia="Times New Roman" w:hAnsi="Cambria Math" w:cstheme="minorHAnsi"/>
                  <w:sz w:val="20"/>
                  <w:szCs w:val="20"/>
                </w:rPr>
                <m:t>)</m:t>
              </m:r>
            </m:oMath>
            <w:r>
              <w:rPr>
                <w:rFonts w:asciiTheme="minorHAnsi" w:hAnsiTheme="minorHAnsi"/>
                <w:sz w:val="20"/>
              </w:rPr>
              <w:t xml:space="preserve">: </w:t>
            </w:r>
          </w:p>
          <w:p w14:paraId="3A31E79F" w14:textId="278F9CE0" w:rsidR="0089291D" w:rsidRDefault="0089291D">
            <w:pPr>
              <w:spacing w:after="0" w:line="240" w:lineRule="auto"/>
              <w:ind w:left="352"/>
              <w:jc w:val="both"/>
              <w:rPr>
                <w:rFonts w:asciiTheme="minorHAnsi" w:hAnsiTheme="minorHAnsi"/>
                <w:sz w:val="20"/>
              </w:rPr>
            </w:pPr>
          </w:p>
          <w:p w14:paraId="4B81F63F" w14:textId="53D0A38E" w:rsidR="0089291D" w:rsidRDefault="0089291D">
            <w:pPr>
              <w:spacing w:after="0" w:line="240" w:lineRule="auto"/>
              <w:ind w:left="352"/>
              <w:jc w:val="both"/>
              <w:rPr>
                <w:rFonts w:asciiTheme="minorHAnsi" w:hAnsiTheme="minorHAnsi"/>
                <w:sz w:val="20"/>
              </w:rPr>
            </w:pPr>
          </w:p>
          <w:p w14:paraId="061F622B" w14:textId="7D05CE74" w:rsidR="0089291D" w:rsidRDefault="0089291D">
            <w:pPr>
              <w:spacing w:after="0" w:line="240" w:lineRule="auto"/>
              <w:ind w:left="352"/>
              <w:jc w:val="both"/>
              <w:rPr>
                <w:rFonts w:asciiTheme="minorHAnsi" w:hAnsiTheme="minorHAnsi"/>
                <w:sz w:val="20"/>
              </w:rPr>
            </w:pPr>
          </w:p>
          <w:p w14:paraId="62CE393E" w14:textId="1C76D82B" w:rsidR="0089291D" w:rsidRDefault="0089291D">
            <w:pPr>
              <w:spacing w:after="0" w:line="240" w:lineRule="auto"/>
              <w:ind w:left="352"/>
              <w:jc w:val="both"/>
              <w:rPr>
                <w:rFonts w:asciiTheme="minorHAnsi" w:hAnsiTheme="minorHAnsi"/>
                <w:sz w:val="20"/>
              </w:rPr>
            </w:pPr>
          </w:p>
          <w:p w14:paraId="164F9887" w14:textId="77777777" w:rsidR="0089291D" w:rsidRDefault="0089291D">
            <w:pPr>
              <w:spacing w:after="0" w:line="240" w:lineRule="auto"/>
              <w:ind w:left="352"/>
              <w:jc w:val="both"/>
              <w:rPr>
                <w:rFonts w:asciiTheme="minorHAnsi" w:hAnsiTheme="minorHAnsi"/>
                <w:sz w:val="20"/>
              </w:rPr>
            </w:pPr>
          </w:p>
          <w:p w14:paraId="75ECE59E" w14:textId="1C31E546" w:rsidR="00C4092C" w:rsidRDefault="00C4092C">
            <w:pPr>
              <w:spacing w:after="0" w:line="240" w:lineRule="auto"/>
              <w:ind w:left="352"/>
              <w:jc w:val="both"/>
              <w:rPr>
                <w:rFonts w:asciiTheme="minorHAnsi" w:hAnsiTheme="minorHAnsi"/>
                <w:sz w:val="20"/>
              </w:rPr>
            </w:pPr>
          </w:p>
          <w:p w14:paraId="4135601B" w14:textId="77777777" w:rsidR="00C4092C" w:rsidRDefault="00C4092C">
            <w:pPr>
              <w:spacing w:after="0" w:line="240" w:lineRule="auto"/>
              <w:ind w:left="352"/>
              <w:jc w:val="both"/>
              <w:rPr>
                <w:rFonts w:asciiTheme="minorHAnsi" w:hAnsiTheme="minorHAnsi"/>
                <w:sz w:val="20"/>
                <w:szCs w:val="20"/>
              </w:rPr>
            </w:pPr>
          </w:p>
          <w:tbl>
            <w:tblPr>
              <w:tblStyle w:val="TableGrid"/>
              <w:tblW w:w="4245" w:type="dxa"/>
              <w:tblInd w:w="342" w:type="dxa"/>
              <w:tblLayout w:type="fixed"/>
              <w:tblLook w:val="04A0" w:firstRow="1" w:lastRow="0" w:firstColumn="1" w:lastColumn="0" w:noHBand="0" w:noVBand="1"/>
            </w:tblPr>
            <w:tblGrid>
              <w:gridCol w:w="1553"/>
              <w:gridCol w:w="1223"/>
              <w:gridCol w:w="1469"/>
            </w:tblGrid>
            <w:tr w:rsidR="00873667" w14:paraId="5D540DF3"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36F5090A"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 xml:space="preserve">Dažniai </w:t>
                  </w:r>
                </w:p>
              </w:tc>
              <w:tc>
                <w:tcPr>
                  <w:tcW w:w="1224" w:type="dxa"/>
                  <w:tcBorders>
                    <w:top w:val="single" w:sz="4" w:space="0" w:color="auto"/>
                    <w:left w:val="single" w:sz="4" w:space="0" w:color="auto"/>
                    <w:bottom w:val="single" w:sz="4" w:space="0" w:color="auto"/>
                    <w:right w:val="single" w:sz="4" w:space="0" w:color="auto"/>
                  </w:tcBorders>
                  <w:noWrap/>
                  <w:hideMark/>
                </w:tcPr>
                <w:p w14:paraId="716883CB" w14:textId="77777777" w:rsidR="00873667" w:rsidRDefault="00000000">
                  <w:pPr>
                    <w:widowControl/>
                    <w:suppressAutoHyphens w:val="0"/>
                    <w:spacing w:after="0" w:line="240" w:lineRule="auto"/>
                    <w:jc w:val="center"/>
                    <w:rPr>
                      <w:rFonts w:asciiTheme="minorHAnsi" w:eastAsia="Times New Roman" w:hAnsiTheme="minorHAnsi" w:cstheme="minorHAnsi"/>
                      <w:b/>
                      <w:bCs/>
                      <w:color w:val="000000"/>
                      <w:kern w:val="0"/>
                      <w:sz w:val="20"/>
                      <w:szCs w:val="20"/>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ext</m:t>
                          </m:r>
                        </m:sub>
                      </m:sSub>
                    </m:oMath>
                  </m:oMathPara>
                </w:p>
              </w:tc>
              <w:tc>
                <w:tcPr>
                  <w:tcW w:w="1470" w:type="dxa"/>
                  <w:tcBorders>
                    <w:top w:val="single" w:sz="4" w:space="0" w:color="auto"/>
                    <w:left w:val="single" w:sz="4" w:space="0" w:color="auto"/>
                    <w:bottom w:val="single" w:sz="4" w:space="0" w:color="auto"/>
                    <w:right w:val="single" w:sz="4" w:space="0" w:color="auto"/>
                  </w:tcBorders>
                  <w:noWrap/>
                  <w:hideMark/>
                </w:tcPr>
                <w:p w14:paraId="519507AB" w14:textId="77777777" w:rsidR="00873667" w:rsidRDefault="00000000">
                  <w:pPr>
                    <w:widowControl/>
                    <w:suppressAutoHyphens w:val="0"/>
                    <w:spacing w:after="0" w:line="240" w:lineRule="auto"/>
                    <w:jc w:val="center"/>
                    <w:rPr>
                      <w:rFonts w:asciiTheme="minorHAnsi" w:eastAsia="Times New Roman" w:hAnsiTheme="minorHAnsi" w:cstheme="minorHAnsi"/>
                      <w:b/>
                      <w:bCs/>
                      <w:color w:val="000000"/>
                      <w:kern w:val="0"/>
                      <w:sz w:val="20"/>
                      <w:szCs w:val="20"/>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int</m:t>
                          </m:r>
                        </m:sub>
                      </m:sSub>
                    </m:oMath>
                  </m:oMathPara>
                </w:p>
              </w:tc>
            </w:tr>
            <w:tr w:rsidR="00873667" w:rsidRPr="00404725" w14:paraId="651329AF"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7CA81384" w14:textId="77777777" w:rsidR="00873667" w:rsidRDefault="00873667">
                  <w:pPr>
                    <w:rPr>
                      <w:rFonts w:asciiTheme="minorHAnsi" w:eastAsia="Times New Roman" w:hAnsiTheme="minorHAnsi" w:cstheme="minorHAnsi"/>
                      <w:b/>
                      <w:bCs/>
                      <w:color w:val="000000"/>
                      <w:kern w:val="0"/>
                      <w:sz w:val="20"/>
                      <w:szCs w:val="20"/>
                      <w:lang w:val="nl-NL"/>
                    </w:rPr>
                  </w:pPr>
                </w:p>
              </w:tc>
              <w:tc>
                <w:tcPr>
                  <w:tcW w:w="1224" w:type="dxa"/>
                  <w:tcBorders>
                    <w:top w:val="single" w:sz="4" w:space="0" w:color="auto"/>
                    <w:left w:val="single" w:sz="4" w:space="0" w:color="auto"/>
                    <w:bottom w:val="single" w:sz="4" w:space="0" w:color="auto"/>
                    <w:right w:val="single" w:sz="4" w:space="0" w:color="auto"/>
                  </w:tcBorders>
                  <w:noWrap/>
                  <w:hideMark/>
                </w:tcPr>
                <w:p w14:paraId="5701B2E7" w14:textId="77777777" w:rsidR="00873667" w:rsidRDefault="00873667">
                  <w:pPr>
                    <w:widowControl/>
                    <w:suppressAutoHyphens w:val="0"/>
                    <w:spacing w:after="0" w:line="240" w:lineRule="auto"/>
                    <w:jc w:val="center"/>
                    <w:rPr>
                      <w:rFonts w:asciiTheme="minorHAnsi" w:eastAsia="Times New Roman" w:hAnsiTheme="minorHAnsi" w:cstheme="minorHAnsi"/>
                      <w:b/>
                      <w:bCs/>
                      <w:color w:val="000000"/>
                      <w:kern w:val="0"/>
                      <w:sz w:val="20"/>
                      <w:szCs w:val="20"/>
                    </w:rPr>
                  </w:pPr>
                  <w:r>
                    <w:rPr>
                      <w:rFonts w:asciiTheme="minorHAnsi" w:hAnsiTheme="minorHAnsi"/>
                      <w:b/>
                      <w:color w:val="000000"/>
                      <w:sz w:val="20"/>
                    </w:rPr>
                    <w:t>W/m</w:t>
                  </w:r>
                  <w:r>
                    <w:rPr>
                      <w:rFonts w:asciiTheme="minorHAnsi" w:hAnsiTheme="minorHAnsi"/>
                      <w:b/>
                      <w:color w:val="000000"/>
                      <w:sz w:val="20"/>
                      <w:vertAlign w:val="superscript"/>
                    </w:rPr>
                    <w:t>2</w:t>
                  </w:r>
                </w:p>
              </w:tc>
              <w:tc>
                <w:tcPr>
                  <w:tcW w:w="1470" w:type="dxa"/>
                  <w:tcBorders>
                    <w:top w:val="single" w:sz="4" w:space="0" w:color="auto"/>
                    <w:left w:val="single" w:sz="4" w:space="0" w:color="auto"/>
                    <w:bottom w:val="single" w:sz="4" w:space="0" w:color="auto"/>
                    <w:right w:val="single" w:sz="4" w:space="0" w:color="auto"/>
                  </w:tcBorders>
                  <w:noWrap/>
                  <w:hideMark/>
                </w:tcPr>
                <w:p w14:paraId="77391CCF" w14:textId="77777777" w:rsidR="00873667" w:rsidRDefault="00873667">
                  <w:pPr>
                    <w:widowControl/>
                    <w:suppressAutoHyphens w:val="0"/>
                    <w:spacing w:after="0" w:line="240" w:lineRule="auto"/>
                    <w:jc w:val="center"/>
                    <w:rPr>
                      <w:rFonts w:asciiTheme="minorHAnsi" w:eastAsia="Times New Roman" w:hAnsiTheme="minorHAnsi" w:cstheme="minorHAnsi"/>
                      <w:b/>
                      <w:bCs/>
                      <w:color w:val="000000"/>
                      <w:kern w:val="0"/>
                      <w:sz w:val="20"/>
                      <w:szCs w:val="20"/>
                    </w:rPr>
                  </w:pPr>
                  <w:r>
                    <w:rPr>
                      <w:rFonts w:asciiTheme="minorHAnsi" w:hAnsiTheme="minorHAnsi"/>
                      <w:b/>
                      <w:color w:val="000000"/>
                      <w:sz w:val="20"/>
                    </w:rPr>
                    <w:t>W/m</w:t>
                  </w:r>
                  <w:r>
                    <w:rPr>
                      <w:rFonts w:asciiTheme="minorHAnsi" w:hAnsiTheme="minorHAnsi"/>
                      <w:b/>
                      <w:color w:val="000000"/>
                      <w:sz w:val="20"/>
                      <w:vertAlign w:val="superscript"/>
                    </w:rPr>
                    <w:t>2</w:t>
                  </w:r>
                </w:p>
              </w:tc>
            </w:tr>
            <w:tr w:rsidR="00873667" w:rsidRPr="00404725" w14:paraId="3B896DC8"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B32FB69"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0,1–400 MHz</w:t>
                  </w:r>
                </w:p>
              </w:tc>
              <w:tc>
                <w:tcPr>
                  <w:tcW w:w="1224" w:type="dxa"/>
                  <w:tcBorders>
                    <w:top w:val="single" w:sz="4" w:space="0" w:color="auto"/>
                    <w:left w:val="single" w:sz="4" w:space="0" w:color="auto"/>
                    <w:bottom w:val="single" w:sz="4" w:space="0" w:color="auto"/>
                    <w:right w:val="single" w:sz="4" w:space="0" w:color="auto"/>
                  </w:tcBorders>
                  <w:noWrap/>
                  <w:hideMark/>
                </w:tcPr>
                <w:p w14:paraId="5DE3C701"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0,2497</w:t>
                  </w:r>
                </w:p>
              </w:tc>
              <w:tc>
                <w:tcPr>
                  <w:tcW w:w="1470" w:type="dxa"/>
                  <w:tcBorders>
                    <w:top w:val="single" w:sz="4" w:space="0" w:color="auto"/>
                    <w:left w:val="single" w:sz="4" w:space="0" w:color="auto"/>
                    <w:bottom w:val="single" w:sz="4" w:space="0" w:color="auto"/>
                    <w:right w:val="single" w:sz="4" w:space="0" w:color="auto"/>
                  </w:tcBorders>
                  <w:noWrap/>
                  <w:hideMark/>
                </w:tcPr>
                <w:p w14:paraId="065665BB"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0,0994</w:t>
                  </w:r>
                </w:p>
              </w:tc>
            </w:tr>
            <w:tr w:rsidR="00873667" w:rsidRPr="00404725" w14:paraId="093A4907"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2456A00"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400–2000 MHz</w:t>
                  </w:r>
                </w:p>
              </w:tc>
              <w:tc>
                <w:tcPr>
                  <w:tcW w:w="1224" w:type="dxa"/>
                  <w:tcBorders>
                    <w:top w:val="single" w:sz="4" w:space="0" w:color="auto"/>
                    <w:left w:val="single" w:sz="4" w:space="0" w:color="auto"/>
                    <w:bottom w:val="single" w:sz="4" w:space="0" w:color="auto"/>
                    <w:right w:val="single" w:sz="4" w:space="0" w:color="auto"/>
                  </w:tcBorders>
                  <w:noWrap/>
                  <w:hideMark/>
                </w:tcPr>
                <w:p w14:paraId="5C003B65"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m:oMath>
                    <m:r>
                      <w:rPr>
                        <w:rFonts w:ascii="Cambria Math" w:eastAsia="Times New Roman" w:hAnsi="Cambria Math" w:cstheme="minorHAnsi"/>
                        <w:color w:val="000000"/>
                        <w:kern w:val="0"/>
                        <w:sz w:val="20"/>
                        <w:szCs w:val="20"/>
                        <w:lang w:val="nl-NL"/>
                      </w:rPr>
                      <m:t>f</m:t>
                    </m:r>
                    <m:r>
                      <w:rPr>
                        <w:rFonts w:ascii="Cambria Math" w:eastAsia="Times New Roman" w:hAnsi="Cambria Math" w:cstheme="minorHAnsi"/>
                        <w:color w:val="000000"/>
                        <w:kern w:val="0"/>
                        <w:sz w:val="20"/>
                        <w:szCs w:val="20"/>
                        <w:lang w:val="nl-NL"/>
                      </w:rPr>
                      <m:t xml:space="preserve"> </m:t>
                    </m:r>
                  </m:oMath>
                  <w:r>
                    <w:rPr>
                      <w:rFonts w:asciiTheme="minorHAnsi" w:hAnsiTheme="minorHAnsi"/>
                      <w:color w:val="000000"/>
                      <w:sz w:val="20"/>
                    </w:rPr>
                    <w:t>/1597,28</w:t>
                  </w:r>
                </w:p>
              </w:tc>
              <w:tc>
                <w:tcPr>
                  <w:tcW w:w="1470" w:type="dxa"/>
                  <w:tcBorders>
                    <w:top w:val="single" w:sz="4" w:space="0" w:color="auto"/>
                    <w:left w:val="single" w:sz="4" w:space="0" w:color="auto"/>
                    <w:bottom w:val="single" w:sz="4" w:space="0" w:color="auto"/>
                    <w:right w:val="single" w:sz="4" w:space="0" w:color="auto"/>
                  </w:tcBorders>
                  <w:noWrap/>
                  <w:hideMark/>
                </w:tcPr>
                <w:p w14:paraId="0FF370C7"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f/4012.19</w:t>
                  </w:r>
                </w:p>
              </w:tc>
            </w:tr>
            <w:tr w:rsidR="00873667" w:rsidRPr="00404725" w14:paraId="4F14AD5C"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1C105701"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2–300 GHz</w:t>
                  </w:r>
                </w:p>
              </w:tc>
              <w:tc>
                <w:tcPr>
                  <w:tcW w:w="1224" w:type="dxa"/>
                  <w:tcBorders>
                    <w:top w:val="single" w:sz="4" w:space="0" w:color="auto"/>
                    <w:left w:val="single" w:sz="4" w:space="0" w:color="auto"/>
                    <w:bottom w:val="single" w:sz="4" w:space="0" w:color="auto"/>
                    <w:right w:val="single" w:sz="4" w:space="0" w:color="auto"/>
                  </w:tcBorders>
                  <w:noWrap/>
                  <w:hideMark/>
                </w:tcPr>
                <w:p w14:paraId="39E68373"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1.2539</w:t>
                  </w:r>
                </w:p>
              </w:tc>
              <w:tc>
                <w:tcPr>
                  <w:tcW w:w="1470" w:type="dxa"/>
                  <w:tcBorders>
                    <w:top w:val="single" w:sz="4" w:space="0" w:color="auto"/>
                    <w:left w:val="single" w:sz="4" w:space="0" w:color="auto"/>
                    <w:bottom w:val="single" w:sz="4" w:space="0" w:color="auto"/>
                    <w:right w:val="single" w:sz="4" w:space="0" w:color="auto"/>
                  </w:tcBorders>
                  <w:noWrap/>
                  <w:hideMark/>
                </w:tcPr>
                <w:p w14:paraId="5B4DB48F"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0,4992</w:t>
                  </w:r>
                </w:p>
              </w:tc>
            </w:tr>
          </w:tbl>
          <w:p w14:paraId="674B9356" w14:textId="77777777" w:rsidR="00873667" w:rsidRDefault="00873667">
            <w:pPr>
              <w:spacing w:after="0" w:line="240" w:lineRule="auto"/>
              <w:ind w:left="352"/>
              <w:jc w:val="both"/>
              <w:rPr>
                <w:rFonts w:asciiTheme="minorHAnsi" w:hAnsiTheme="minorHAnsi"/>
                <w:sz w:val="20"/>
                <w:szCs w:val="20"/>
              </w:rPr>
            </w:pPr>
            <w:r>
              <w:rPr>
                <w:rFonts w:ascii="Times New Roman" w:hAnsi="Times New Roman"/>
                <w:sz w:val="20"/>
              </w:rPr>
              <w:t xml:space="preserve">kai </w:t>
            </w:r>
            <m:oMath>
              <m:r>
                <w:rPr>
                  <w:rFonts w:ascii="Cambria Math" w:hAnsi="Cambria Math"/>
                  <w:sz w:val="20"/>
                  <w:szCs w:val="20"/>
                  <w:lang w:val="nl-NL"/>
                </w:rPr>
                <m:t>f</m:t>
              </m:r>
              <m:r>
                <w:rPr>
                  <w:rFonts w:ascii="Cambria Math" w:hAnsi="Cambria Math"/>
                  <w:sz w:val="20"/>
                  <w:szCs w:val="20"/>
                  <w:lang w:val="nl-NL"/>
                </w:rPr>
                <m:t xml:space="preserve"> </m:t>
              </m:r>
            </m:oMath>
            <w:r>
              <w:rPr>
                <w:rFonts w:asciiTheme="minorHAnsi" w:hAnsiTheme="minorHAnsi"/>
                <w:sz w:val="20"/>
              </w:rPr>
              <w:t>yra Mhz išreikštas dažnis.</w:t>
            </w:r>
          </w:p>
          <w:p w14:paraId="2801D7D3" w14:textId="77777777" w:rsidR="00AC2FE0" w:rsidRDefault="00873667">
            <w:pPr>
              <w:pStyle w:val="ListParagraph"/>
              <w:widowControl/>
              <w:suppressAutoHyphens w:val="0"/>
              <w:spacing w:after="0" w:line="240" w:lineRule="auto"/>
              <w:ind w:left="360"/>
              <w:jc w:val="both"/>
              <w:rPr>
                <w:rFonts w:asciiTheme="minorHAnsi" w:eastAsia="Times New Roman" w:hAnsiTheme="minorHAnsi" w:cstheme="minorHAnsi"/>
                <w:sz w:val="20"/>
                <w:szCs w:val="20"/>
              </w:rPr>
            </w:pPr>
            <w:r>
              <w:rPr>
                <w:rFonts w:asciiTheme="minorHAnsi" w:hAnsiTheme="minorHAnsi"/>
                <w:sz w:val="20"/>
              </w:rPr>
              <w:t xml:space="preserve">Pavyzdžiui, esant 900 MHz, standartas </w:t>
            </w:r>
          </w:p>
          <w:p w14:paraId="5960402E" w14:textId="451DEC5F" w:rsidR="00873667" w:rsidRDefault="00000000">
            <w:pPr>
              <w:pStyle w:val="ListParagraph"/>
              <w:widowControl/>
              <w:suppressAutoHyphens w:val="0"/>
              <w:spacing w:after="0" w:line="240" w:lineRule="auto"/>
              <w:ind w:left="360"/>
              <w:jc w:val="both"/>
              <w:rPr>
                <w:rFonts w:asciiTheme="minorHAnsi" w:hAnsiTheme="minorHAnsi"/>
                <w:sz w:val="20"/>
                <w:szCs w:val="20"/>
              </w:rPr>
            </w:pP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rPr>
                    <m:t>S</m:t>
                  </m:r>
                </m:e>
                <m:sub>
                  <m:r>
                    <w:rPr>
                      <w:rFonts w:ascii="Cambria Math" w:eastAsia="Times New Roman" w:hAnsi="Cambria Math" w:cstheme="minorHAnsi"/>
                      <w:color w:val="000000"/>
                      <w:kern w:val="0"/>
                      <w:sz w:val="20"/>
                      <w:szCs w:val="20"/>
                    </w:rPr>
                    <m:t>int</m:t>
                  </m:r>
                </m:sub>
              </m:sSub>
            </m:oMath>
            <w:r w:rsidR="00C4092C">
              <w:t xml:space="preserve"> </w:t>
            </w:r>
            <w:r w:rsidR="00C4092C">
              <w:rPr>
                <w:rFonts w:asciiTheme="minorHAnsi" w:hAnsiTheme="minorHAnsi"/>
                <w:sz w:val="20"/>
              </w:rPr>
              <w:t xml:space="preserve"> = 0,2243 W/m² atitinka elektros lauką, </w:t>
            </w:r>
            <w:r w:rsidR="00C4092C">
              <w:t xml:space="preserve">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int</m:t>
                  </m:r>
                </m:sub>
              </m:sSub>
            </m:oMath>
            <w:r w:rsidR="00C4092C">
              <w:t xml:space="preserve"> </w:t>
            </w:r>
            <w:r w:rsidR="00C4092C">
              <w:rPr>
                <w:rFonts w:asciiTheme="minorHAnsi" w:hAnsiTheme="minorHAnsi"/>
                <w:sz w:val="20"/>
              </w:rPr>
              <w:t xml:space="preserve"> = 9,19 V/m;  o</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rPr>
                    <m:t>S</m:t>
                  </m:r>
                </m:e>
                <m:sub>
                  <m:r>
                    <w:rPr>
                      <w:rFonts w:ascii="Cambria Math" w:eastAsia="Times New Roman" w:hAnsi="Cambria Math" w:cstheme="minorHAnsi"/>
                      <w:sz w:val="20"/>
                      <w:szCs w:val="20"/>
                    </w:rPr>
                    <m:t>ext</m:t>
                  </m:r>
                </m:sub>
              </m:sSub>
            </m:oMath>
            <w:r w:rsidR="00C4092C">
              <w:rPr>
                <w:rFonts w:asciiTheme="minorHAnsi" w:hAnsiTheme="minorHAnsi"/>
                <w:sz w:val="20"/>
              </w:rPr>
              <w:t xml:space="preserve">= 0.5635 W/m² standartas atitinka elektros lauką,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ext</m:t>
                  </m:r>
                </m:sub>
              </m:sSub>
            </m:oMath>
            <w:r w:rsidR="00C4092C">
              <w:rPr>
                <w:rFonts w:asciiTheme="minorHAnsi" w:hAnsiTheme="minorHAnsi"/>
                <w:sz w:val="20"/>
              </w:rPr>
              <w:t xml:space="preserve"> = 14.57 V/m.</w:t>
            </w:r>
          </w:p>
          <w:p w14:paraId="5C8AFAC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Priešingai nei nurodyta ankstesnėje pastraipoje, nejonizuojančiosios spinduliuotės galios tankis, taikomas viešai prieinamose lauke esančiose vietose, taip pat taikomas viešosioms patalpoms, kai tose zonose atidaromi langai ar durys, atidaromi į išorę.“;</w:t>
            </w:r>
          </w:p>
          <w:p w14:paraId="5AC47F5C" w14:textId="77777777" w:rsidR="00873667" w:rsidRPr="0089291D" w:rsidRDefault="00873667">
            <w:pPr>
              <w:widowControl/>
              <w:suppressAutoHyphens w:val="0"/>
              <w:spacing w:after="0" w:line="240" w:lineRule="auto"/>
              <w:jc w:val="both"/>
              <w:rPr>
                <w:rFonts w:asciiTheme="minorHAnsi" w:hAnsiTheme="minorHAnsi"/>
                <w:sz w:val="20"/>
                <w:szCs w:val="20"/>
              </w:rPr>
            </w:pPr>
          </w:p>
          <w:p w14:paraId="3F56D40C"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įterpiama 1b dalis, kuri išdėstoma taip:</w:t>
            </w:r>
          </w:p>
          <w:p w14:paraId="0111B238"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„1b straipsnis. Kalbant apie sudėtinius elektromagnetinius laukus, patalpose ir lauke esančiose vietose elektromagnetiniams laukams taikomi šie apribojimai:</w:t>
            </w:r>
          </w:p>
          <w:p w14:paraId="1EEECA5D" w14:textId="77777777" w:rsidR="00873667" w:rsidRDefault="00873667">
            <w:pPr>
              <w:spacing w:after="0" w:line="240" w:lineRule="auto"/>
              <w:ind w:left="352"/>
              <w:jc w:val="both"/>
              <w:rPr>
                <w:rFonts w:asciiTheme="minorHAnsi" w:hAnsiTheme="minorHAnsi"/>
                <w:sz w:val="20"/>
                <w:szCs w:val="20"/>
              </w:rPr>
            </w:pPr>
            <m:oMathPara>
              <m:oMath>
                <m:r>
                  <w:rPr>
                    <w:rFonts w:ascii="Cambria Math" w:hAnsi="Cambria Math"/>
                    <w:sz w:val="20"/>
                    <w:szCs w:val="20"/>
                  </w:rPr>
                  <m:t> </m:t>
                </m:r>
                <m:nary>
                  <m:naryPr>
                    <m:chr m:val="∑"/>
                    <m:ctrlPr>
                      <w:rPr>
                        <w:rFonts w:ascii="Cambria Math" w:hAnsi="Cambria Math"/>
                        <w:i/>
                        <w:iCs/>
                        <w:lang w:val="nl-NL"/>
                      </w:rPr>
                    </m:ctrlPr>
                  </m:naryPr>
                  <m:sub>
                    <m:r>
                      <w:rPr>
                        <w:rFonts w:ascii="Cambria Math" w:hAnsi="Cambria Math"/>
                        <w:sz w:val="20"/>
                        <w:szCs w:val="20"/>
                        <w:lang w:val="nl-NL"/>
                      </w:rPr>
                      <m:t>100 KHz</m:t>
                    </m:r>
                  </m:sub>
                  <m:sup>
                    <m:r>
                      <w:rPr>
                        <w:rFonts w:ascii="Cambria Math" w:hAnsi="Cambria Math"/>
                        <w:sz w:val="20"/>
                        <w:szCs w:val="20"/>
                        <w:lang w:val="nl-NL"/>
                      </w:rPr>
                      <m:t>300 GHz</m:t>
                    </m:r>
                  </m:sup>
                  <m:e>
                    <m:d>
                      <m:dPr>
                        <m:ctrlPr>
                          <w:rPr>
                            <w:rFonts w:ascii="Cambria Math" w:hAnsi="Cambria Math"/>
                            <w:i/>
                            <w:iCs/>
                            <w:lang w:val="nl-NL"/>
                          </w:rPr>
                        </m:ctrlPr>
                      </m:dPr>
                      <m:e>
                        <m:f>
                          <m:fPr>
                            <m:ctrlPr>
                              <w:rPr>
                                <w:rFonts w:ascii="Cambria Math" w:hAnsi="Cambria Math"/>
                                <w:i/>
                                <w:iCs/>
                                <w:lang w:val="nl-NL"/>
                              </w:rPr>
                            </m:ctrlPr>
                          </m:fPr>
                          <m:num>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i</m:t>
                                </m:r>
                              </m:sub>
                            </m:sSub>
                          </m:num>
                          <m:den>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 r i</m:t>
                                </m:r>
                              </m:sub>
                            </m:sSub>
                          </m:den>
                        </m:f>
                      </m:e>
                    </m:d>
                  </m:e>
                </m:nary>
                <m:r>
                  <w:rPr>
                    <w:rFonts w:ascii="Cambria Math" w:hAnsi="Cambria Math"/>
                    <w:sz w:val="20"/>
                    <w:szCs w:val="20"/>
                    <w:lang w:val="nl-NL"/>
                  </w:rPr>
                  <m:t>≤1</m:t>
                </m:r>
              </m:oMath>
            </m:oMathPara>
          </w:p>
          <w:p w14:paraId="49D61838"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kur:</w:t>
            </w:r>
          </w:p>
          <w:p w14:paraId="356BF7CB" w14:textId="77777777" w:rsidR="00873667" w:rsidRDefault="00000000" w:rsidP="00242999">
            <w:pPr>
              <w:pStyle w:val="ListParagraph"/>
              <w:numPr>
                <w:ilvl w:val="0"/>
                <w:numId w:val="3"/>
              </w:numPr>
              <w:spacing w:after="0" w:line="240" w:lineRule="auto"/>
              <w:jc w:val="both"/>
              <w:rPr>
                <w:rFonts w:asciiTheme="minorHAnsi" w:hAnsiTheme="minorHAnsi"/>
                <w:sz w:val="20"/>
                <w:szCs w:val="20"/>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i</m:t>
                  </m:r>
                </m:sub>
              </m:sSub>
            </m:oMath>
            <w:r w:rsidR="00C4092C">
              <w:t xml:space="preserve"> </w:t>
            </w:r>
            <w:r w:rsidR="00C4092C">
              <w:rPr>
                <w:rFonts w:asciiTheme="minorHAnsi" w:hAnsiTheme="minorHAnsi"/>
                <w:sz w:val="20"/>
              </w:rPr>
              <w:t>yra galios tankis i dažniu;</w:t>
            </w:r>
          </w:p>
          <w:p w14:paraId="0A0E0802" w14:textId="77777777" w:rsidR="00873667" w:rsidRDefault="00000000" w:rsidP="00242999">
            <w:pPr>
              <w:pStyle w:val="ListParagraph"/>
              <w:numPr>
                <w:ilvl w:val="0"/>
                <w:numId w:val="3"/>
              </w:numPr>
              <w:spacing w:after="0" w:line="240" w:lineRule="auto"/>
              <w:jc w:val="both"/>
              <w:rPr>
                <w:rFonts w:asciiTheme="minorHAnsi" w:hAnsiTheme="minorHAnsi"/>
                <w:sz w:val="20"/>
                <w:szCs w:val="20"/>
              </w:rPr>
            </w:pPr>
            <m:oMath>
              <m:sSub>
                <m:sSubPr>
                  <m:ctrlPr>
                    <w:rPr>
                      <w:rFonts w:ascii="Cambria Math" w:hAnsi="Cambria Math"/>
                      <w:i/>
                      <w:lang w:val="nl-NL"/>
                    </w:rPr>
                  </m:ctrlPr>
                </m:sSubPr>
                <m:e>
                  <m:r>
                    <w:rPr>
                      <w:rFonts w:ascii="Cambria Math" w:hAnsi="Cambria Math"/>
                      <w:sz w:val="20"/>
                      <w:szCs w:val="20"/>
                    </w:rPr>
                    <m:t>S</m:t>
                  </m:r>
                </m:e>
                <m:sub>
                  <m:r>
                    <w:rPr>
                      <w:rFonts w:ascii="Cambria Math" w:hAnsi="Cambria Math"/>
                      <w:sz w:val="20"/>
                      <w:szCs w:val="20"/>
                    </w:rPr>
                    <m:t>ri</m:t>
                  </m:r>
                </m:sub>
              </m:sSub>
            </m:oMath>
            <w:r w:rsidR="00C4092C">
              <w:rPr>
                <w:rFonts w:asciiTheme="minorHAnsi" w:hAnsiTheme="minorHAnsi"/>
                <w:sz w:val="20"/>
              </w:rPr>
              <w:t xml:space="preserve"> galios tankio riba esant dažniui i yra kaip apibrėžiama šio straipsnio 1a dalyje nurodytoje lentelėje. </w:t>
            </w:r>
          </w:p>
          <w:p w14:paraId="5755DF5C"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Spinduliuotės galios tankis apskaičiuojamas ir (ar) matuojamas Vyriausybės nustatyta tvarka, ypač remiantis kompetentingų tarptautinių institucijų patarimais ir rekomendacijomis.“;</w:t>
            </w:r>
          </w:p>
          <w:p w14:paraId="1466B3D3"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30D729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5F26CB0"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040879B"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įterpiama 1c dalis, kuri išdėstoma taip: </w:t>
            </w:r>
          </w:p>
          <w:p w14:paraId="769F464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„1c straipsnis.  Antenos, skleidžiančios nejonizuojančiąją spinduliuotę 20–300 GHz dažnių intervale, yra draudžiamos. Vyriausybė yra įgaliota leisti šias antenas pagal kitų lygių valdžios institucijų išduotus leidimus.</w:t>
            </w:r>
          </w:p>
          <w:p w14:paraId="5757430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Mikrobangų ryšio tipo antenos nepatenka į pirmesnėje pastraipoje nurodyto draudimo taikymo sritį.“;</w:t>
            </w:r>
          </w:p>
          <w:p w14:paraId="49B3DA95"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13D55AF3"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2 dalies 1 pastraipoje žodis „devyni“ pakeičiamas žodžiais „nuo septynių iki trylikos“;</w:t>
            </w:r>
          </w:p>
          <w:p w14:paraId="7B0EE76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5D147EC"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2 dalies 3 pastraipoje žodžiai „ekonominių ir visuomenės sveikatos reikalavimų“ pakeičiami žodžiais „ekonominių, visuomenės sveikatos ir aplinkos apsaugos reikalavimų“; </w:t>
            </w:r>
          </w:p>
          <w:p w14:paraId="48C0DE0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2A11D230"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2 dalies 3 pastraipos sakinys „Ataskaita paskelbiama Briuselio aplinkosaugos vadybos instituto interneto svetainėje per tris mėnesius nuo tos dienos, kai ją gauna Vyriausybė.“ pakeičiamas sakiniu „Vyriausybė kasmet pateikia ataskaitą parlamentui, o organizacija „Briuselio aplinka“ ją paskelbia savo interneto svetainėje per tris mėnesius nuo tos dienos, kai ją priima Vyriausybė.“;</w:t>
            </w:r>
          </w:p>
          <w:p w14:paraId="08B93EA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5A53D85"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2 dalies 3 pastraipos sakinys „Pirmoji ataskaita Vyriausybei pateikiama ne vėliau kaip 2014 m. rugsėjo 1 d.“ panaikinamas;</w:t>
            </w:r>
          </w:p>
          <w:p w14:paraId="6F3601A3" w14:textId="77777777" w:rsidR="00873667" w:rsidRDefault="00873667">
            <w:pPr>
              <w:pStyle w:val="ListParagraph"/>
              <w:rPr>
                <w:rFonts w:asciiTheme="minorHAnsi" w:hAnsiTheme="minorHAnsi"/>
                <w:sz w:val="20"/>
                <w:szCs w:val="20"/>
              </w:rPr>
            </w:pPr>
          </w:p>
          <w:p w14:paraId="05E9C0C1"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2 dalies 4 pastraipoje žodžiai „įrenginių, galinčių gaminti arba perduoti nejonizuojančiąją spinduliuotę, operatoriai“ ir „„Briuselio aplinka““ pakeičiami žodžiais „operatoriai ir transliuotojai“ ir „organizacijos „Briuselio aplinka“ ir „Briuselio miesto planavimas ir paveldas““;</w:t>
            </w:r>
          </w:p>
          <w:p w14:paraId="73946D5F" w14:textId="77777777" w:rsidR="00873667" w:rsidRDefault="00873667">
            <w:pPr>
              <w:pStyle w:val="ListParagraph"/>
              <w:rPr>
                <w:rFonts w:asciiTheme="minorHAnsi" w:hAnsiTheme="minorHAnsi"/>
                <w:sz w:val="20"/>
                <w:szCs w:val="20"/>
              </w:rPr>
            </w:pPr>
          </w:p>
          <w:p w14:paraId="2034DDBC" w14:textId="77777777" w:rsidR="00873667" w:rsidRDefault="00873667" w:rsidP="00C4092C">
            <w:pPr>
              <w:pStyle w:val="ListParagraph"/>
              <w:keepNext/>
              <w:widowControl/>
              <w:numPr>
                <w:ilvl w:val="0"/>
                <w:numId w:val="2"/>
              </w:numPr>
              <w:suppressAutoHyphens w:val="0"/>
              <w:spacing w:after="0" w:line="240" w:lineRule="auto"/>
              <w:ind w:left="357" w:hanging="357"/>
              <w:jc w:val="both"/>
              <w:rPr>
                <w:rFonts w:asciiTheme="minorHAnsi" w:hAnsiTheme="minorHAnsi"/>
                <w:sz w:val="20"/>
                <w:szCs w:val="20"/>
              </w:rPr>
            </w:pPr>
            <w:r>
              <w:rPr>
                <w:rFonts w:asciiTheme="minorHAnsi" w:hAnsiTheme="minorHAnsi"/>
                <w:sz w:val="20"/>
              </w:rPr>
              <w:t>2 dalis papildoma nauja pastraipa, kuri išdėstoma taip:</w:t>
            </w:r>
          </w:p>
          <w:p w14:paraId="272B317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 Komitetas pateikia nuomonę dėl visų šio potvarkio pakeitimų projektų ir dėl jo įgyvendinimo priemonių priėmimo ar pakeitimo. </w:t>
            </w:r>
          </w:p>
          <w:p w14:paraId="3F15769A"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lastRenderedPageBreak/>
              <w:t>Komitetas gali bendradarbiauti su bet kuriuo tarptautiniu, federaliniu, regioniniu ar vietos lygiu įsteigtu mokslo ekspertu ar ekspertų grupe.“;</w:t>
            </w:r>
          </w:p>
          <w:p w14:paraId="3573B9A7" w14:textId="77777777" w:rsidR="00873667" w:rsidRPr="0089291D" w:rsidRDefault="00873667">
            <w:pPr>
              <w:widowControl/>
              <w:suppressAutoHyphens w:val="0"/>
              <w:spacing w:after="0" w:line="240" w:lineRule="auto"/>
              <w:jc w:val="both"/>
              <w:rPr>
                <w:rFonts w:asciiTheme="minorHAnsi" w:hAnsiTheme="minorHAnsi"/>
                <w:sz w:val="20"/>
                <w:szCs w:val="20"/>
              </w:rPr>
            </w:pPr>
          </w:p>
          <w:p w14:paraId="33A60EFD"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įterpiama ši 3 dalis: </w:t>
            </w:r>
          </w:p>
          <w:p w14:paraId="0499D927"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„3. Vyriausybė su operatoriais sudaro gero elgesio chartiją, kuria visų pirma siekiama užtikrinti piliečiams kuo didesnį skaidrumą plėtojant judriojo telefono ryšio tinklus, nustatyti vieną ar kelias operatorių elgesio kryptis techniniu, aplinkos ir visuomenės sveikatos lygmenimis ir (arba) nustatyti su atliekų tvarkymu susijusius tikslus operatoriams, susijusius su judriojo telefono ryšio tinklų plėtra.</w:t>
            </w:r>
          </w:p>
          <w:p w14:paraId="1D2C6D7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Operatoriai kartu gali sudaryti, iš dalies pakeisti arba atnaujinti aplinkos apsaugos susitarimą su regionu pagal 2004 m. balandžio 29 d. potvarkio dėl aplinkos apsaugos susitarimų nuostatas.“;</w:t>
            </w:r>
          </w:p>
          <w:p w14:paraId="4C6FF580" w14:textId="77777777" w:rsidR="00873667" w:rsidRPr="0089291D" w:rsidRDefault="00873667">
            <w:pPr>
              <w:spacing w:after="0" w:line="240" w:lineRule="auto"/>
              <w:ind w:left="352"/>
              <w:jc w:val="both"/>
              <w:rPr>
                <w:rFonts w:asciiTheme="minorHAnsi" w:hAnsiTheme="minorHAnsi"/>
                <w:sz w:val="20"/>
                <w:szCs w:val="20"/>
              </w:rPr>
            </w:pPr>
          </w:p>
          <w:p w14:paraId="7E29FAB9" w14:textId="77777777" w:rsidR="00873667" w:rsidRDefault="00873667" w:rsidP="00242999">
            <w:pPr>
              <w:pStyle w:val="ListParagraph"/>
              <w:numPr>
                <w:ilvl w:val="0"/>
                <w:numId w:val="2"/>
              </w:numPr>
              <w:spacing w:after="0" w:line="240" w:lineRule="auto"/>
              <w:jc w:val="both"/>
              <w:rPr>
                <w:rFonts w:asciiTheme="minorHAnsi" w:hAnsiTheme="minorHAnsi"/>
                <w:sz w:val="20"/>
                <w:szCs w:val="20"/>
              </w:rPr>
            </w:pPr>
            <w:r>
              <w:rPr>
                <w:rFonts w:asciiTheme="minorHAnsi" w:hAnsiTheme="minorHAnsi"/>
                <w:sz w:val="20"/>
              </w:rPr>
              <w:t>įterpiama ši 4 dalis:</w:t>
            </w:r>
          </w:p>
          <w:p w14:paraId="2B84997F"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„4. Kai viršijami 1a dalyje nurodyti standartai, taikoma ši dalis. </w:t>
            </w:r>
          </w:p>
          <w:p w14:paraId="19017495"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Operatoriai, kurių antenos viršija 1a dalyje nurodytus standartus, savo antenų skleidžiamą elektrinį lauką sumažina taip, kad būtų laikomasi 1a dalyje nurodytų standartų, prireikus konsultuojantis tarpusavyje ir su transliuotojais.</w:t>
            </w:r>
          </w:p>
          <w:p w14:paraId="67E22AA1"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Transliuotojai, kurių antenos viršija 1a dalyje nurodytus standartus, operatoriams ir organizacijai „Briuselio aplinka“ teikia visą techninę informaciją, susijusią su atitinkamų antenų skleidžiama nejonizuojančiąja spinduliuote, jei jos skiriasi nuo pagal 4 straipsnį teikiamos informacijos. </w:t>
            </w:r>
          </w:p>
          <w:p w14:paraId="6A8A4CA9"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Vyriausybė gali nurodyti šių konsultacijų sąlygas ir metodą, kurį turi taikyti operatoriai, kad prireikus sumažintų atitinkamą jų dalį, susijusią su galios tankiu, viršijančiu 1a dalyje nurodytus standartus. Operatorių susitarimo atveju Vyriausybė nustato sąlygas, o nesant susitarimo – įsipareigojimus, kurie gali būti jiems nustatyti. </w:t>
            </w:r>
          </w:p>
          <w:p w14:paraId="56ABD7FE"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Nukrypstant nuo 1a dalies, jei pagal ankstesnę pastraipą operatoriams nustatyti įpareigojimai arba bet kokios kitos operatorių ar transliuotojo įgyvendintos priemonės neleidžia pakankamai sumažinti atitinkamų antenų galios tankio, kad būtų užtikrintas 1a dalyje nurodytų standartų laikymasis, tik su reikalavimų viršijimu susiję operatoriai privalo kartu ir atsižvelgdami į informaciją, pateiktą pagal 3 dalį ir 4 straipsnį, laikytis 42,6 % ir 17 % 1a dalyje nurodytų standartų atitinkamai viešosiose patalpose ir viešai lauke prieinamose vietose. </w:t>
            </w:r>
          </w:p>
          <w:p w14:paraId="198A1AFF"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Ankstesnėje pastraipoje nurodytas išimčių režimas jokiu metu negali būti susijęs su nejonizuojančiosios spinduliuotės tankiu viešai prieinamose patalpose ir viešai prieinamose vietose lauke, didesnėse nei nurodytos 1999 m. liepos 12 d. Tarybos rekomendacijoje 1999/519/EB dėl elektromagnetinių laukų poveikio žmonėms apribojimo (nuo 0 Hz iki 300 GHz) ir jos būsimos plėtros, ir gali būti taikomas tik 0,0065 % Urbis-Adm 3D duomenų bazėje esančių pastatų žemės paviršių ir apvalkalų. Vyriausybė turi teisę nustatyti žemesnes ribas. Organizacija „Briuselio aplinka“ sudaro Vyriausybės ir Komiteto sąrašą, kuriame išvardyti 5 pastraipoje nurodyti taikymo atvejai.“.</w:t>
            </w:r>
          </w:p>
          <w:p w14:paraId="623A5571" w14:textId="77777777" w:rsidR="00873667" w:rsidRPr="0089291D" w:rsidRDefault="00873667">
            <w:pPr>
              <w:spacing w:after="0" w:line="240" w:lineRule="auto"/>
              <w:jc w:val="both"/>
              <w:rPr>
                <w:rFonts w:asciiTheme="minorHAnsi" w:hAnsiTheme="minorHAnsi"/>
                <w:sz w:val="20"/>
                <w:szCs w:val="20"/>
              </w:rPr>
            </w:pPr>
          </w:p>
        </w:tc>
      </w:tr>
      <w:tr w:rsidR="00873667" w:rsidRPr="00404725" w14:paraId="7F775EB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0785F"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4 straipsnis.</w:t>
            </w:r>
          </w:p>
          <w:p w14:paraId="7BA6CE1E"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1. Tame pačiame potvarkyje po 3 straipsnio įterpiama ši antraštė: „ Bendroji operatorių pareiga“.</w:t>
            </w:r>
          </w:p>
          <w:p w14:paraId="493E4D9C" w14:textId="77777777" w:rsidR="00873667" w:rsidRPr="0089291D" w:rsidRDefault="00873667">
            <w:pPr>
              <w:spacing w:after="0" w:line="240" w:lineRule="auto"/>
              <w:jc w:val="both"/>
              <w:rPr>
                <w:rFonts w:asciiTheme="minorHAnsi" w:hAnsiTheme="minorHAnsi"/>
                <w:sz w:val="20"/>
                <w:szCs w:val="20"/>
              </w:rPr>
            </w:pPr>
          </w:p>
          <w:p w14:paraId="7634251F" w14:textId="77777777" w:rsidR="00873667" w:rsidRPr="0089291D" w:rsidRDefault="00873667">
            <w:pPr>
              <w:spacing w:after="0" w:line="240" w:lineRule="auto"/>
              <w:jc w:val="both"/>
              <w:rPr>
                <w:rFonts w:asciiTheme="minorHAnsi" w:hAnsiTheme="minorHAnsi"/>
                <w:sz w:val="20"/>
                <w:szCs w:val="20"/>
              </w:rPr>
            </w:pPr>
          </w:p>
          <w:p w14:paraId="49811318"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2. Tame pačiame potvarkyje po antraštės, įterptos 1 dalimi, įterpiamas 3a straipsnis:</w:t>
            </w:r>
          </w:p>
          <w:p w14:paraId="77C64ADE"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3a straipsnis. Nepažeidžiant 3 straipsnio, bet kuris operatorius ir transliuotojas, eksploatuojantis anteną Briuselio-sostinės regiono teritorijoje, gali bet kuriuo metu pagrįsti, kad laikomasi 3 straipsnyje nurodyto imisijos standarto, ir nedelsdamas imtis visų būtinų priemonių, jei jis bet kokiomis priemonėmis žino, kad nesilaikoma 3 straipsnyje nurodyto emisijos standarto.“.</w:t>
            </w:r>
          </w:p>
          <w:p w14:paraId="0D332DF9" w14:textId="77777777" w:rsidR="00873667" w:rsidRPr="0089291D" w:rsidRDefault="00873667">
            <w:pPr>
              <w:spacing w:after="0" w:line="240" w:lineRule="auto"/>
              <w:jc w:val="both"/>
              <w:rPr>
                <w:rFonts w:asciiTheme="minorHAnsi" w:hAnsiTheme="minorHAnsi"/>
                <w:sz w:val="20"/>
                <w:szCs w:val="20"/>
              </w:rPr>
            </w:pPr>
          </w:p>
        </w:tc>
      </w:tr>
      <w:tr w:rsidR="00873667" w14:paraId="32D11D4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A0B6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5 straipsnis.</w:t>
            </w:r>
          </w:p>
          <w:p w14:paraId="6213E50D"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1. Šio potvarkio 3a straipsnio ir 4 straipsnio antraštė „Operatorių informavimo įpareigojimai“ pakeičiama antrašte „Operatorių ir transliuotojų pareiga teikti informaciją“.</w:t>
            </w:r>
          </w:p>
          <w:p w14:paraId="304708E1" w14:textId="77777777" w:rsidR="00873667" w:rsidRPr="0089291D" w:rsidRDefault="00873667">
            <w:pPr>
              <w:spacing w:after="0" w:line="240" w:lineRule="auto"/>
              <w:jc w:val="both"/>
              <w:rPr>
                <w:rFonts w:asciiTheme="minorHAnsi" w:hAnsiTheme="minorHAnsi"/>
                <w:sz w:val="20"/>
                <w:szCs w:val="20"/>
              </w:rPr>
            </w:pPr>
          </w:p>
          <w:p w14:paraId="302C5B75"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2. To paties potvarkio 4 straipsnis pakeičiamas taip: </w:t>
            </w:r>
          </w:p>
          <w:p w14:paraId="30BD686D"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4 straipsnis. 1.  Operatoriai ir transliuotojai privalo informuoti organizacijas „Briuselio aplinka“ ir „Briuselio miesto planavimas ir paveldas“ bei savivaldybę, kurios teritorijoje ji yra, apie bet kokią nejonizuojančią spinduliuotę skleidžiančią anteną, kurių sąrašą nustato Vyriausybė, apie šios antenos eksploatavimo charakteristikas. Šios charakteristikos visų pirma apima tikslią įrenginio vietą ir vietą, spinduliuotės schemą, antenos tipą, emisijos dažnį, antenų pokrypio kampą, antenos aukštį ir matmenį bei spinduliuotės galią. Vyriausybė gali nurodyti šių charakteristikų sąrašą, diferencijuoti jas pagal gavėjus arba pridėti kitas charakteristikas. Organizacijos „Briuselio aplinka“ ir „Briuselio miesto planavimas ir paveldas“ bei savivaldybės gali numatyti, kad joms siųsti nurodytą informaciją būtų naudojama tam tikra forma. </w:t>
            </w:r>
          </w:p>
          <w:p w14:paraId="6D5BFE07"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lastRenderedPageBreak/>
              <w:t>Jei antena yra mažiau nei 200 metrų nuo savivaldybės ribos, šis įpareigojimas išplečiamas atitinkamai besiribojančiai savivaldybei. </w:t>
            </w:r>
          </w:p>
          <w:p w14:paraId="7D2D49FA"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2. Operatoriai ir transliuotojai, gavę pirmąjį prašymą, „Briuselio aplinka“ organizacijai turi perduoti visą prašomą informaciją, įskaitant, jei reikia, išrašą iš savo tinklo konfigūracijos duomenų bazių iš AKM (Eksploatavimo ir techninės priežiūros centro). Šis išrašas ar kita informacija gali būti susijusi su visomis organizacijos „Briuselio aplinka“ nurodytomis antenomis ir bus pateikta elektroniniu būdu per 20 dienų nuo prašymo gavimo dienos. Šioje informacijoje nurodoma bent didžiausia švyturių galia techninės įrangos išvesties vietose, nešlio dažnių skaičius ir elektriniai posvyriai, jei jie sukonfigūruoti nuotoliniu būdu iš AKM (Eksploatavimo ir techninės priežiūros centro). Organizacija „Briuselio aplinka“ gali nurodyti pateiktino išrašo informaciją ir jos formą.</w:t>
            </w:r>
          </w:p>
          <w:p w14:paraId="4D7BEA57"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3. Operatoriai, kurių sąrašą nustato Vyriausybė, kasmet perduoda organizacijai „Briuselio aplinka“ ataskaitą apie antenų ir jų tinklo energijos vartojimo efektyvumą pagal technologijas ir energijos suvartojimą. Vyriausybė nustato minimalų ataskaitos turinį.“.</w:t>
            </w:r>
          </w:p>
          <w:p w14:paraId="25D9E273" w14:textId="77777777" w:rsidR="00873667" w:rsidRDefault="00873667">
            <w:pPr>
              <w:spacing w:after="0" w:line="240" w:lineRule="auto"/>
              <w:jc w:val="both"/>
              <w:rPr>
                <w:rFonts w:asciiTheme="minorHAnsi" w:hAnsiTheme="minorHAnsi"/>
                <w:sz w:val="20"/>
                <w:szCs w:val="20"/>
                <w:lang w:val="nl-NL"/>
              </w:rPr>
            </w:pPr>
          </w:p>
        </w:tc>
      </w:tr>
      <w:tr w:rsidR="00873667" w:rsidRPr="00404725" w14:paraId="39830A3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C51C2"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6 straipsnis.</w:t>
            </w:r>
          </w:p>
          <w:p w14:paraId="3FB93EB7"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Šio potvarkio 5 straipsnis papildomas šia pastraipa: </w:t>
            </w:r>
          </w:p>
          <w:p w14:paraId="40A7D802"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Vyriausybė gali nustatyti diferencijuotą ir specifinę tvarką tam tikrų tipų antenoms pagal jų specifines charakteristikas.“. </w:t>
            </w:r>
          </w:p>
          <w:p w14:paraId="0216A34A" w14:textId="77777777" w:rsidR="00873667" w:rsidRPr="0089291D" w:rsidRDefault="00873667">
            <w:pPr>
              <w:spacing w:after="0" w:line="240" w:lineRule="auto"/>
              <w:jc w:val="both"/>
              <w:rPr>
                <w:rFonts w:asciiTheme="minorHAnsi" w:hAnsiTheme="minorHAnsi"/>
                <w:sz w:val="20"/>
                <w:szCs w:val="20"/>
              </w:rPr>
            </w:pPr>
          </w:p>
        </w:tc>
      </w:tr>
      <w:tr w:rsidR="00873667" w14:paraId="752366D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B28D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7 straipsnis.</w:t>
            </w:r>
          </w:p>
          <w:p w14:paraId="59CA7035"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Šio potvarkio 8 straipsnis iš dalies keičiamas taip:</w:t>
            </w:r>
          </w:p>
          <w:p w14:paraId="463F92C5" w14:textId="77777777" w:rsidR="00873667" w:rsidRPr="0089291D" w:rsidRDefault="00873667">
            <w:pPr>
              <w:spacing w:after="0" w:line="240" w:lineRule="auto"/>
              <w:jc w:val="both"/>
              <w:rPr>
                <w:rFonts w:asciiTheme="minorHAnsi" w:hAnsiTheme="minorHAnsi"/>
                <w:sz w:val="20"/>
                <w:szCs w:val="20"/>
              </w:rPr>
            </w:pPr>
          </w:p>
          <w:p w14:paraId="0FEE7087" w14:textId="77777777" w:rsidR="00873667" w:rsidRDefault="00873667" w:rsidP="00242999">
            <w:pPr>
              <w:pStyle w:val="ListParagraph"/>
              <w:widowControl/>
              <w:numPr>
                <w:ilvl w:val="0"/>
                <w:numId w:val="4"/>
              </w:numPr>
              <w:suppressAutoHyphens w:val="0"/>
              <w:spacing w:after="0" w:line="240" w:lineRule="auto"/>
              <w:jc w:val="both"/>
              <w:rPr>
                <w:rFonts w:asciiTheme="minorHAnsi" w:hAnsiTheme="minorHAnsi"/>
                <w:sz w:val="20"/>
                <w:szCs w:val="20"/>
              </w:rPr>
            </w:pPr>
            <w:r>
              <w:rPr>
                <w:rFonts w:asciiTheme="minorHAnsi" w:hAnsiTheme="minorHAnsi"/>
                <w:sz w:val="20"/>
              </w:rPr>
              <w:t xml:space="preserve">1 dalis pakeičiama taip: </w:t>
            </w:r>
          </w:p>
          <w:p w14:paraId="495FA02B"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„1. Vyriausybė yra atsakinga už antenų, kurių sąrašą nustato Vyriausybė, registro atnaujinimą ir viešinimą. Šiame registre pateikiami kiekvienos antenos techniniai duomenys, visų pirma tiksli antenos vieta, jos tipas, matmenys, orientacija, emisijos galia ir kiti techniniai duomenys, pagal kuriuos nustatomas galios tankis viešai prieinamose vietose. Vyriausybė gali nurodyti techninius duomenis ir pridėti kitų savybių. </w:t>
            </w:r>
          </w:p>
          <w:p w14:paraId="74906324"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Šis siųstuvų registras skelbiamas organizacijos „Briuselio aplinka“ interneto svetainėje, kad kiekvienas pilietis galėtų bet kuriuo metu pateikti skundą organizacijai dėl 3 straipsnyje nurodyto imisijos standarto ir (arba) atitinkamų antenų veikimo sąlygų laikymosi. Nepažeidžiant šiame potvarkyje numatytų sankcijų ir kitų priemonių, jeigu organizacija „Briuselio aplinka“ mano, kad šis skundas yra pagrįstas, ji imasi priemonių užtikrinti, kad būtų laikomasi šio potvarkio nuostatų.“;</w:t>
            </w:r>
          </w:p>
          <w:p w14:paraId="62384DE4" w14:textId="77777777" w:rsidR="00873667" w:rsidRPr="0089291D" w:rsidRDefault="00873667">
            <w:pPr>
              <w:spacing w:after="0" w:line="240" w:lineRule="auto"/>
              <w:ind w:left="352"/>
              <w:jc w:val="both"/>
              <w:rPr>
                <w:rFonts w:asciiTheme="minorHAnsi" w:hAnsiTheme="minorHAnsi"/>
                <w:sz w:val="20"/>
                <w:szCs w:val="20"/>
              </w:rPr>
            </w:pPr>
          </w:p>
          <w:p w14:paraId="251120BC" w14:textId="77777777" w:rsidR="00873667" w:rsidRDefault="00873667" w:rsidP="00242999">
            <w:pPr>
              <w:pStyle w:val="ListParagraph"/>
              <w:widowControl/>
              <w:numPr>
                <w:ilvl w:val="0"/>
                <w:numId w:val="4"/>
              </w:numPr>
              <w:suppressAutoHyphens w:val="0"/>
              <w:spacing w:after="0" w:line="240" w:lineRule="auto"/>
              <w:jc w:val="both"/>
              <w:rPr>
                <w:rFonts w:asciiTheme="minorHAnsi" w:hAnsiTheme="minorHAnsi"/>
                <w:sz w:val="20"/>
                <w:szCs w:val="20"/>
              </w:rPr>
            </w:pPr>
            <w:r>
              <w:rPr>
                <w:rFonts w:asciiTheme="minorHAnsi" w:hAnsiTheme="minorHAnsi"/>
                <w:sz w:val="20"/>
              </w:rPr>
              <w:t xml:space="preserve">2 dalies 1 pastraipa išdėstoma taip: </w:t>
            </w:r>
          </w:p>
          <w:p w14:paraId="1D219E4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 Vyriausybė kuria valstybės institucijų užimamų pastatų stogų registrą, kuriame būtų galima įrengti antenas. Šis registras reguliariai atnaujinamas.“.</w:t>
            </w:r>
          </w:p>
          <w:p w14:paraId="2DC18BF8" w14:textId="77777777" w:rsidR="00873667" w:rsidRDefault="00873667">
            <w:pPr>
              <w:spacing w:after="0" w:line="240" w:lineRule="auto"/>
              <w:jc w:val="both"/>
              <w:rPr>
                <w:rFonts w:asciiTheme="minorHAnsi" w:hAnsiTheme="minorHAnsi"/>
                <w:sz w:val="20"/>
                <w:szCs w:val="20"/>
                <w:lang w:val="nl-NL"/>
              </w:rPr>
            </w:pPr>
          </w:p>
        </w:tc>
      </w:tr>
      <w:tr w:rsidR="00873667" w:rsidRPr="00404725" w14:paraId="3C371DE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CECFE"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8 straipsnis.</w:t>
            </w:r>
          </w:p>
          <w:p w14:paraId="588CB09A"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1. Tame pačiame potvarkyje po 8 straipsnio įterpiama ši antraštė: „ Bendroji operatorių pareiga“.</w:t>
            </w:r>
          </w:p>
          <w:p w14:paraId="020B4B57" w14:textId="77777777" w:rsidR="00873667" w:rsidRPr="0089291D" w:rsidRDefault="00873667">
            <w:pPr>
              <w:spacing w:after="0" w:line="240" w:lineRule="auto"/>
              <w:jc w:val="both"/>
              <w:rPr>
                <w:rFonts w:asciiTheme="minorHAnsi" w:hAnsiTheme="minorHAnsi"/>
                <w:bCs/>
                <w:sz w:val="20"/>
                <w:szCs w:val="20"/>
              </w:rPr>
            </w:pPr>
          </w:p>
          <w:p w14:paraId="0655FE8F"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2. Tame pačiame potvarkyje po antraštės, įterptos 1 dalimi, įterpiamas 8a straipsnis:</w:t>
            </w:r>
          </w:p>
          <w:p w14:paraId="2C135F09"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8a straipsnis. Operatoriai, kurių sąrašą sudaro Vyriausybė, privalo rengti ir remti informavimo kampanijas, kad būtų didinamas informuotumas apie atliekų, susidarančių dėl jų veiklos, prevenciją, ypač atsižvelgiant į technologinę plėtrą ir prijungtų įrenginių atnaujinimą. </w:t>
            </w:r>
          </w:p>
          <w:p w14:paraId="7E31B7BE"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Šiomis informavimo kampanijomis visuomenė informuojama visų pirma apie aplinką tausojantį prietaisų naudojimą, prijungtų įrenginių pakartotinio naudojimo ir parengimo pakartotiniam naudojimui vertę ir galiausiai apie atliekų surinkimo ir tvarkymo sistemas. </w:t>
            </w:r>
          </w:p>
          <w:p w14:paraId="54630306"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Vyriausybė gali nustatyti įgyvendintinų informacinių kampanijų turinį, dažnumą ir sąlygas, taip pat jų tikslinę auditoriją pagal norimus tikslus.“;</w:t>
            </w:r>
          </w:p>
          <w:p w14:paraId="7577DD4F" w14:textId="77777777" w:rsidR="00873667" w:rsidRPr="0089291D" w:rsidRDefault="00873667">
            <w:pPr>
              <w:spacing w:after="0" w:line="240" w:lineRule="auto"/>
              <w:jc w:val="both"/>
              <w:rPr>
                <w:rFonts w:asciiTheme="minorHAnsi" w:hAnsiTheme="minorHAnsi"/>
                <w:bCs/>
                <w:sz w:val="20"/>
                <w:szCs w:val="20"/>
              </w:rPr>
            </w:pPr>
          </w:p>
          <w:p w14:paraId="127221A1"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3. Tame pačiame potvarkyje po antraštės, įterptos 1 dalimi, įterpiamas 8b straipsnis, kuris išdėstytas taip: </w:t>
            </w:r>
          </w:p>
          <w:p w14:paraId="3F80CFC4"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„8b straipsnis. Operatoriai, kurių sąrašą sudaro Vyriausybė, privalo rinkti statistinius duomenis apie prietaisus, kuriuos jie pateikia rinkai ir kurie surenkami kaip atliekos arba pakartotinai naudojami, kaip apibrėžta 2012 m. birželio 14 d. Potvarkio dėl atliekų nuostatose.“; </w:t>
            </w:r>
          </w:p>
          <w:p w14:paraId="4BAF6779" w14:textId="77777777" w:rsidR="00873667" w:rsidRPr="0089291D" w:rsidRDefault="00873667">
            <w:pPr>
              <w:spacing w:after="0" w:line="240" w:lineRule="auto"/>
              <w:jc w:val="both"/>
              <w:rPr>
                <w:rFonts w:asciiTheme="minorHAnsi" w:hAnsiTheme="minorHAnsi"/>
                <w:bCs/>
                <w:sz w:val="20"/>
                <w:szCs w:val="20"/>
              </w:rPr>
            </w:pPr>
          </w:p>
          <w:p w14:paraId="23215B8F"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4. Tame pačiame potvarkyje po 1 dalimi įterptos antraštės įterpiamas 8c straipsnis, kuris išdėstomas taip: </w:t>
            </w:r>
          </w:p>
          <w:p w14:paraId="51C2452E"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8c straipsnis. Ne vėliau kaip iki kiekvienų metų balandžio 1 d., operatoriai atskirai arba kartu pateikia organizacijai „Briuselio aplinka“ praėjusių metų metinę ataskaitą (laikotarpis nuo sausio 1 d. iki gruodžio 31 d.), kurioje visų pirma </w:t>
            </w:r>
            <w:r>
              <w:rPr>
                <w:rFonts w:asciiTheme="minorHAnsi" w:hAnsiTheme="minorHAnsi"/>
                <w:sz w:val="20"/>
              </w:rPr>
              <w:lastRenderedPageBreak/>
              <w:t>nurodomi įgyvendinti veiksmai, išleistos sumos ir nustatytas poveikis, susijęs su pagal 8a straipsnį įgyvendinamomis priemonėmis, taip pat 8b straipsnyje nurodytų statistinių duomenų ataskaita.</w:t>
            </w:r>
          </w:p>
          <w:p w14:paraId="24E4D373"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Vyriausybė gali nurodyti ankstesnėje pastraipoje nurodytos metinės ataskaitos turinį ir numatyti, kad į šią ataskaitą būtų įtraukta daugiau informacijos.“. </w:t>
            </w:r>
          </w:p>
          <w:p w14:paraId="79909F2B" w14:textId="77777777" w:rsidR="00873667" w:rsidRPr="0089291D" w:rsidRDefault="00873667">
            <w:pPr>
              <w:spacing w:after="0" w:line="240" w:lineRule="auto"/>
              <w:jc w:val="both"/>
              <w:rPr>
                <w:rFonts w:asciiTheme="minorHAnsi" w:hAnsiTheme="minorHAnsi"/>
                <w:b/>
                <w:sz w:val="20"/>
                <w:szCs w:val="20"/>
              </w:rPr>
            </w:pPr>
          </w:p>
        </w:tc>
      </w:tr>
      <w:tr w:rsidR="00873667" w:rsidRPr="00404725" w14:paraId="471265F9"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2BBF9"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9 straipsnis.</w:t>
            </w:r>
          </w:p>
          <w:p w14:paraId="17721ADF"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1. Antraštė „Pažeidimai ir baudžiamosios sankcijos“, esanti tarp potvarkio 8 straipsnio ir 9 straipsnio, pakeičiama antrašte „Pažeidimai“. </w:t>
            </w:r>
          </w:p>
          <w:p w14:paraId="0F7DA792" w14:textId="77777777" w:rsidR="00873667" w:rsidRPr="0089291D" w:rsidRDefault="00873667">
            <w:pPr>
              <w:spacing w:after="0" w:line="240" w:lineRule="auto"/>
              <w:jc w:val="both"/>
              <w:rPr>
                <w:rFonts w:asciiTheme="minorHAnsi" w:hAnsiTheme="minorHAnsi"/>
                <w:sz w:val="20"/>
                <w:szCs w:val="20"/>
              </w:rPr>
            </w:pPr>
          </w:p>
          <w:p w14:paraId="6292353F"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2. To paties potvarkio 9 straipsnis pakeičiamas taip: </w:t>
            </w:r>
          </w:p>
          <w:p w14:paraId="1E11AE58"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Baudžiamas 1999 m. kovo 25 d. Kodekso dėl nusikaltimų aplinkai ir atsakomybės aplinkai tikrinimo, prevencijos, nustatymo ir baudimo už juos 31 straipsnio 1 dalyje numatyta sankcija, kuri:</w:t>
            </w:r>
          </w:p>
          <w:p w14:paraId="275A347F"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neatitinka 3 straipsnyje nurodytų standartų arba jo įgyvendinimo priemonių;</w:t>
            </w:r>
          </w:p>
          <w:p w14:paraId="4A9CAD66"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neatitinka 4 straipsnyje nurodytų įpareigojimų teikti informaciją arba jo įgyvendinimo priemonių;</w:t>
            </w:r>
          </w:p>
          <w:p w14:paraId="77B503E8"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neatitinka 5 straipsnyje nurodytų veiklos standartų arba jo įgyvendinimo priemonių;</w:t>
            </w:r>
          </w:p>
          <w:p w14:paraId="7663E406"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 xml:space="preserve">nesilaiko 8a, 8b ir 8c straipsniuose nurodytų informavimo ir ataskaitų teikimo įpareigojimų arba jų įgyvendinimo priemonių; </w:t>
            </w:r>
          </w:p>
          <w:p w14:paraId="712FA70C"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neatitinka 7 straipsnyje nurodytų bendrųjų standartų ar sąlygų arba jo įgyvendinimo priemonių.“.</w:t>
            </w:r>
          </w:p>
          <w:p w14:paraId="4C2874B7" w14:textId="77777777" w:rsidR="00873667" w:rsidRPr="0089291D" w:rsidRDefault="00873667">
            <w:pPr>
              <w:spacing w:after="0" w:line="240" w:lineRule="auto"/>
              <w:jc w:val="both"/>
              <w:rPr>
                <w:rFonts w:asciiTheme="minorHAnsi" w:hAnsiTheme="minorHAnsi"/>
                <w:b/>
                <w:sz w:val="20"/>
                <w:szCs w:val="20"/>
              </w:rPr>
            </w:pPr>
          </w:p>
        </w:tc>
      </w:tr>
      <w:tr w:rsidR="00873667" w:rsidRPr="00404725" w14:paraId="2D0293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EE4F7"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3 skyrius. 1997 m. birželio 5 d. Potvarkio dėl aplinkosaugos leidimų pakeitimas</w:t>
            </w:r>
          </w:p>
        </w:tc>
      </w:tr>
      <w:tr w:rsidR="00873667" w:rsidRPr="00404725" w14:paraId="26B5069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5337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10 straipsnis.</w:t>
            </w:r>
          </w:p>
          <w:p w14:paraId="31F34E3E"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1997 m. birželio 5 d. Potvarkio dėl aplinkosaugos leidimų 100 straipsnio 1 dalis papildoma šia pastraipa: </w:t>
            </w:r>
          </w:p>
          <w:p w14:paraId="5E0D7258"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Nukrypstant nuo 1 pastraipos, III arba IC klasės deklaracijai paraiškos mokestis nemokamas.“.</w:t>
            </w:r>
          </w:p>
          <w:p w14:paraId="44E8814B" w14:textId="77777777" w:rsidR="00873667" w:rsidRPr="0089291D" w:rsidRDefault="00873667">
            <w:pPr>
              <w:spacing w:after="0" w:line="240" w:lineRule="auto"/>
              <w:jc w:val="both"/>
              <w:rPr>
                <w:rFonts w:asciiTheme="minorHAnsi" w:hAnsiTheme="minorHAnsi"/>
                <w:b/>
                <w:sz w:val="20"/>
                <w:szCs w:val="20"/>
              </w:rPr>
            </w:pPr>
          </w:p>
        </w:tc>
      </w:tr>
      <w:tr w:rsidR="00873667" w:rsidRPr="00404725" w14:paraId="42769B2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AC1B9"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4 skyrius. 2013 m. gegužės 2 d. potvarkio dėl Briuselio oro, klimato ir energetikos kontrolės kodekso pakeitimas</w:t>
            </w:r>
          </w:p>
        </w:tc>
      </w:tr>
      <w:tr w:rsidR="00873667" w:rsidRPr="00404725" w14:paraId="7CDD59C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A921D"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 xml:space="preserve">11 straipsnis. </w:t>
            </w:r>
          </w:p>
          <w:p w14:paraId="0B343ACE"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1. 2013 m. gegužės 2 d. Potvarkio dėl Briuselio oro, klimato ir energetikos kontrolės kodekso 2 knygos 5 antraštinėje dalyje įterpiamas 3 skyrius „3 skyrius. - Tvarus ir atsakingas skaitmeninis planas“.</w:t>
            </w:r>
          </w:p>
          <w:p w14:paraId="6DC0A343" w14:textId="77777777" w:rsidR="00873667" w:rsidRPr="0089291D" w:rsidRDefault="00873667">
            <w:pPr>
              <w:spacing w:after="0" w:line="240" w:lineRule="auto"/>
              <w:jc w:val="both"/>
              <w:rPr>
                <w:rFonts w:asciiTheme="minorHAnsi" w:hAnsiTheme="minorHAnsi"/>
                <w:bCs/>
                <w:sz w:val="20"/>
                <w:szCs w:val="20"/>
              </w:rPr>
            </w:pPr>
          </w:p>
          <w:p w14:paraId="1244248C"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2. 3 skyriuje, įterptame 1 dalimi, įterpiamas 2.5.8 straipsnis: </w:t>
            </w:r>
          </w:p>
          <w:p w14:paraId="5B3AD537"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2.5.8 straipsnis. 2007 m. kovo 1 d. potvarkyje dėl aplinkos apsaugos nuo galimo nejonizuojančiosios spinduliuotės sukeliamo žalingo poveikio ir kenksmingų veiksnių nurodyti operatoriai ir transliuotojai, nurodyti Vyriausybės sąraše, privalo iki Vyriausybės nustatytos datos ir ne vėliau kaip per 2 metus nuo šio straipsnio įsigaliojimo įgyvendinti „tvarų ir atsakingą skaitmeninį planą“, kuriuo siekiama sumažinti energijos suvartojimą ir išmetamą šiltnamio efektą sukeliančių dujų kiekį savo veikloje, visų pirma didinant informuotumą apie didėjantį mobiliųjų duomenų naudojimą. Planas skirtas 5 metų laikotarpiui ir atnaujinamas kiekvienam iš eilės einančiam penkerių metų laikotarpiui. Planą prieš jį įgyvendinant patvirtina organizacija „Briuselio aplinka“. </w:t>
            </w:r>
          </w:p>
          <w:p w14:paraId="7B128E52"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Vyriausybė nustato šio plano rengimo ir įgyvendinimo sąlygas. Visų pirma jame nustatomas minimalus plano turinys ir jo priėmimo, keitimo ir atnaujinimo sąlygos, taip pat kiekybiniai tikslai, kurių turi būti siekiama planu. Vyriausybė taip pat gali išplėsti įpareigojimą įgyvendinti „tvarų ir atsakingą skaitmeninį planą“ kitiems juridiniams asmenims. </w:t>
            </w:r>
          </w:p>
          <w:p w14:paraId="11EADCD9" w14:textId="77777777" w:rsidR="00873667" w:rsidRPr="0089291D" w:rsidRDefault="00873667">
            <w:pPr>
              <w:spacing w:after="0" w:line="240" w:lineRule="auto"/>
              <w:jc w:val="both"/>
              <w:rPr>
                <w:rFonts w:asciiTheme="minorHAnsi" w:hAnsiTheme="minorHAnsi"/>
                <w:b/>
                <w:sz w:val="20"/>
                <w:szCs w:val="20"/>
              </w:rPr>
            </w:pPr>
          </w:p>
          <w:p w14:paraId="7A272A73"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3. To paties potvarkio 2.6.6 straipsnis papildomas f punktu, kuris išdėstytas taip:</w:t>
            </w:r>
          </w:p>
          <w:p w14:paraId="4B9471C4"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„f) operatoriai, transliuotojai ir juridiniai asmenys, kurie, laikydamiesi 2.5.8 straipsnio arba pagal jį nustatyto įpareigojimo, jo nesilaiko.“.</w:t>
            </w:r>
          </w:p>
          <w:p w14:paraId="18DD4CF0" w14:textId="77777777" w:rsidR="00873667" w:rsidRPr="0089291D" w:rsidRDefault="00873667">
            <w:pPr>
              <w:spacing w:after="0" w:line="240" w:lineRule="auto"/>
              <w:jc w:val="both"/>
              <w:rPr>
                <w:rFonts w:asciiTheme="minorHAnsi" w:hAnsiTheme="minorHAnsi"/>
                <w:b/>
                <w:sz w:val="20"/>
                <w:szCs w:val="20"/>
              </w:rPr>
            </w:pPr>
          </w:p>
        </w:tc>
      </w:tr>
      <w:tr w:rsidR="00873667" w:rsidRPr="00404725" w14:paraId="1FB6048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9B873"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5 skyrius. Iš dalies keičiančios, pereinamojo laikotarpio ir įsigaliojimo nuostatos</w:t>
            </w:r>
          </w:p>
        </w:tc>
      </w:tr>
      <w:tr w:rsidR="00873667" w:rsidRPr="00404725" w14:paraId="75774D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93080"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12 straipsnis.</w:t>
            </w:r>
          </w:p>
          <w:p w14:paraId="3B265679"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Panaikinamas 2007 m. kovo 1 d. Potvarkio dėl aplinkos apsaugos nuo nejonizuojančiosios spinduliuotės sukeliamo kenksmingo poveikio ir kenksmingų veiksnių 10 straipsnis. </w:t>
            </w:r>
          </w:p>
          <w:p w14:paraId="48D02DBB" w14:textId="77777777" w:rsidR="00873667" w:rsidRPr="0089291D" w:rsidRDefault="00873667">
            <w:pPr>
              <w:spacing w:after="0" w:line="240" w:lineRule="auto"/>
              <w:jc w:val="both"/>
              <w:rPr>
                <w:rFonts w:asciiTheme="minorHAnsi" w:hAnsiTheme="minorHAnsi"/>
                <w:b/>
                <w:sz w:val="20"/>
                <w:szCs w:val="20"/>
              </w:rPr>
            </w:pPr>
          </w:p>
        </w:tc>
      </w:tr>
      <w:tr w:rsidR="00873667" w:rsidRPr="00404725" w14:paraId="1453FE5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F1A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13 straipsnis.</w:t>
            </w:r>
          </w:p>
          <w:p w14:paraId="0F8B4BF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Per 30 dienų nuo šio potvarkio įsigaliojimo organizacija „Briuselio aplinka“ praneša operatoriams, kurių aplinkosaugos leidimai susiję su galimu 2007 m. kovo 1 d. potvarkio dėl aplinkos apsaugos nuo nejonizuojančiosios spinduliuotės sukeliamo kenksmingo poveikio ir kenksmingų veiksnių, įtraukto šiuo potvarkiu, 3 straipsnio 1a dalyje nurodytų normų viršijimu, jų pareiga yra per du mėnesius pateikti paraišką aplinkosaugos leidimui gauti, kad būtų laikomasi 2007 m. kovo 1 d. potvarkyje dėl aplinkos apsaugos nuo nejonizuojančiosios spinduliuotės sukeliamo kenksmingo poveikio ir </w:t>
            </w:r>
            <w:r>
              <w:rPr>
                <w:rFonts w:asciiTheme="minorHAnsi" w:hAnsiTheme="minorHAnsi"/>
                <w:sz w:val="20"/>
              </w:rPr>
              <w:lastRenderedPageBreak/>
              <w:t xml:space="preserve">kenksmingų veiksnių, iš dalies pakeistame šiuo potvarkiu, nustatytų įpareigojimų. </w:t>
            </w:r>
          </w:p>
          <w:p w14:paraId="6DED1FE9"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Operatoriai gali ir toliau naudoti atitinkamas antenas, nepaisydami standartų, nurodytų 2007 m. kovo 1 d. potvarkio dėl aplinkos apsaugos nuo galimo nejonizuojančiosios spinduliuotės žalingo poveikio ir kenksmingų veiksnių 3 straipsnio 1a dalyje, kaip įterpta šiuo potvarkiu, kol bus pranešta apie sprendimą dėl prašymo išduoti aplinkosaugos leidimą. </w:t>
            </w:r>
          </w:p>
          <w:p w14:paraId="3CEE12CC" w14:textId="77777777" w:rsidR="00873667" w:rsidRPr="0089291D" w:rsidRDefault="00873667">
            <w:pPr>
              <w:spacing w:after="0" w:line="240" w:lineRule="auto"/>
              <w:jc w:val="both"/>
              <w:rPr>
                <w:rFonts w:asciiTheme="minorHAnsi" w:hAnsiTheme="minorHAnsi"/>
                <w:b/>
                <w:sz w:val="20"/>
                <w:szCs w:val="20"/>
              </w:rPr>
            </w:pPr>
          </w:p>
        </w:tc>
      </w:tr>
      <w:tr w:rsidR="00873667" w:rsidRPr="00404725" w14:paraId="6715F84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2E76"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 xml:space="preserve">14 straipsnis. </w:t>
            </w:r>
          </w:p>
          <w:p w14:paraId="4670636C" w14:textId="77777777" w:rsidR="00873667" w:rsidRDefault="00873667">
            <w:pPr>
              <w:spacing w:after="0" w:line="240" w:lineRule="auto"/>
              <w:jc w:val="both"/>
              <w:rPr>
                <w:rFonts w:asciiTheme="minorHAnsi" w:hAnsiTheme="minorHAnsi"/>
                <w:b/>
                <w:sz w:val="20"/>
                <w:szCs w:val="20"/>
              </w:rPr>
            </w:pPr>
            <w:r>
              <w:rPr>
                <w:rFonts w:asciiTheme="minorHAnsi" w:hAnsiTheme="minorHAnsi"/>
                <w:sz w:val="20"/>
              </w:rPr>
              <w:t xml:space="preserve">Šis potvarkis įsigalioja pirmąją mėnesio dieną praėjus dešimčiai dienų nuo jo paskelbimo Belgijos oficialiajame leidinyje, išskyrus 5 straipsnio 2 dalį (tik kiek tai susiję su 2007 m. kovo 1 d. potvarkio dėl aplinkos apsaugos nuo galimo nejonizuojančiosios spinduliuotės žalingo poveikio ir kenksmingų veiksnių 4 straipsnio 3 dalimi, potvarkio ateitimi) ir 8 bei 11 straipsnius, kurių įsigaliojimo datą nustato Vyriausybė. </w:t>
            </w:r>
          </w:p>
          <w:p w14:paraId="60A2F821" w14:textId="77777777" w:rsidR="00873667" w:rsidRPr="0089291D" w:rsidRDefault="00873667">
            <w:pPr>
              <w:spacing w:after="0" w:line="240" w:lineRule="auto"/>
              <w:jc w:val="both"/>
              <w:rPr>
                <w:rFonts w:asciiTheme="minorHAnsi" w:hAnsiTheme="minorHAnsi"/>
                <w:b/>
                <w:sz w:val="20"/>
                <w:szCs w:val="20"/>
              </w:rPr>
            </w:pPr>
          </w:p>
        </w:tc>
      </w:tr>
    </w:tbl>
    <w:p w14:paraId="155A3904" w14:textId="414A1C9B" w:rsidR="00873667" w:rsidRPr="0089291D" w:rsidRDefault="00873667" w:rsidP="00873667"/>
    <w:tbl>
      <w:tblPr>
        <w:tblW w:w="9782" w:type="dxa"/>
        <w:tblInd w:w="-318" w:type="dxa"/>
        <w:tblLayout w:type="fixed"/>
        <w:tblCellMar>
          <w:left w:w="10" w:type="dxa"/>
          <w:right w:w="10" w:type="dxa"/>
        </w:tblCellMar>
        <w:tblLook w:val="04A0" w:firstRow="1" w:lastRow="0" w:firstColumn="1" w:lastColumn="0" w:noHBand="0" w:noVBand="1"/>
      </w:tblPr>
      <w:tblGrid>
        <w:gridCol w:w="4821"/>
        <w:gridCol w:w="4961"/>
      </w:tblGrid>
      <w:tr w:rsidR="00873667" w:rsidRPr="00746272" w14:paraId="3DDA5F8F" w14:textId="77777777" w:rsidTr="00242999">
        <w:trPr>
          <w:gridAfter w:val="1"/>
          <w:wAfter w:w="4961" w:type="dxa"/>
        </w:trPr>
        <w:tc>
          <w:tcPr>
            <w:tcW w:w="4821" w:type="dxa"/>
            <w:tcMar>
              <w:top w:w="0" w:type="dxa"/>
              <w:left w:w="108" w:type="dxa"/>
              <w:bottom w:w="0" w:type="dxa"/>
              <w:right w:w="108" w:type="dxa"/>
            </w:tcMar>
          </w:tcPr>
          <w:p w14:paraId="143E8754" w14:textId="77777777" w:rsidR="00873667" w:rsidRPr="00746272" w:rsidRDefault="00873667" w:rsidP="00242999">
            <w:pPr>
              <w:spacing w:after="0" w:line="240" w:lineRule="auto"/>
              <w:jc w:val="both"/>
              <w:rPr>
                <w:rFonts w:asciiTheme="minorHAnsi" w:hAnsiTheme="minorHAnsi"/>
                <w:sz w:val="20"/>
                <w:szCs w:val="20"/>
              </w:rPr>
            </w:pPr>
            <w:r>
              <w:rPr>
                <w:rFonts w:asciiTheme="minorHAnsi" w:hAnsiTheme="minorHAnsi"/>
                <w:sz w:val="20"/>
              </w:rPr>
              <w:t>Briuselis,</w:t>
            </w:r>
          </w:p>
        </w:tc>
      </w:tr>
      <w:tr w:rsidR="00873667" w:rsidRPr="00404725" w14:paraId="334B20E3" w14:textId="77777777" w:rsidTr="00242999">
        <w:trPr>
          <w:gridAfter w:val="1"/>
          <w:wAfter w:w="4961" w:type="dxa"/>
        </w:trPr>
        <w:tc>
          <w:tcPr>
            <w:tcW w:w="4821" w:type="dxa"/>
            <w:tcMar>
              <w:top w:w="0" w:type="dxa"/>
              <w:left w:w="108" w:type="dxa"/>
              <w:bottom w:w="0" w:type="dxa"/>
              <w:right w:w="108" w:type="dxa"/>
            </w:tcMar>
          </w:tcPr>
          <w:p w14:paraId="7D90B3B5" w14:textId="77777777" w:rsidR="00873667" w:rsidRPr="00873667" w:rsidRDefault="00873667" w:rsidP="00242999">
            <w:pPr>
              <w:spacing w:after="0" w:line="240" w:lineRule="auto"/>
              <w:jc w:val="both"/>
              <w:rPr>
                <w:rFonts w:asciiTheme="minorHAnsi" w:hAnsiTheme="minorHAnsi"/>
                <w:sz w:val="20"/>
                <w:szCs w:val="20"/>
              </w:rPr>
            </w:pPr>
            <w:r>
              <w:rPr>
                <w:rFonts w:asciiTheme="minorHAnsi" w:hAnsiTheme="minorHAnsi"/>
                <w:sz w:val="20"/>
              </w:rPr>
              <w:t>Briuselio-sostinės regiono vyriausybės vardu,</w:t>
            </w:r>
          </w:p>
        </w:tc>
      </w:tr>
      <w:tr w:rsidR="00873667" w:rsidRPr="00404725" w14:paraId="55B38421" w14:textId="77777777" w:rsidTr="00242999">
        <w:tc>
          <w:tcPr>
            <w:tcW w:w="4821" w:type="dxa"/>
            <w:shd w:val="clear" w:color="auto" w:fill="auto"/>
            <w:tcMar>
              <w:top w:w="0" w:type="dxa"/>
              <w:left w:w="108" w:type="dxa"/>
              <w:bottom w:w="0" w:type="dxa"/>
              <w:right w:w="108" w:type="dxa"/>
            </w:tcMar>
          </w:tcPr>
          <w:p w14:paraId="52DDBFBC" w14:textId="77777777" w:rsidR="00873667" w:rsidRPr="0089291D" w:rsidRDefault="00873667" w:rsidP="00873667">
            <w:pPr>
              <w:spacing w:after="0" w:line="240" w:lineRule="auto"/>
              <w:rPr>
                <w:rFonts w:asciiTheme="minorHAnsi" w:hAnsiTheme="minorHAnsi"/>
                <w:sz w:val="20"/>
                <w:szCs w:val="20"/>
                <w:lang w:val="it-IT"/>
              </w:rPr>
            </w:pPr>
          </w:p>
        </w:tc>
        <w:tc>
          <w:tcPr>
            <w:tcW w:w="4961" w:type="dxa"/>
            <w:shd w:val="clear" w:color="auto" w:fill="auto"/>
          </w:tcPr>
          <w:p w14:paraId="20116099" w14:textId="77777777" w:rsidR="00873667" w:rsidRPr="0089291D" w:rsidRDefault="00873667" w:rsidP="00242999">
            <w:pPr>
              <w:suppressAutoHyphens w:val="0"/>
              <w:autoSpaceDE w:val="0"/>
              <w:adjustRightInd w:val="0"/>
              <w:spacing w:after="0" w:line="240" w:lineRule="auto"/>
              <w:jc w:val="both"/>
              <w:rPr>
                <w:rFonts w:asciiTheme="minorHAnsi" w:eastAsiaTheme="minorHAnsi" w:hAnsiTheme="minorHAnsi" w:cs="TimesNewRoman"/>
                <w:kern w:val="0"/>
                <w:sz w:val="20"/>
                <w:szCs w:val="20"/>
                <w:lang w:val="it-IT"/>
              </w:rPr>
            </w:pPr>
          </w:p>
        </w:tc>
      </w:tr>
    </w:tbl>
    <w:p w14:paraId="62E0C8D1" w14:textId="77777777" w:rsidR="00873667" w:rsidRPr="0089291D" w:rsidRDefault="00873667" w:rsidP="00873667">
      <w:pPr>
        <w:spacing w:after="0" w:line="240" w:lineRule="auto"/>
        <w:jc w:val="both"/>
        <w:rPr>
          <w:rFonts w:asciiTheme="minorHAnsi" w:hAnsiTheme="minorHAnsi" w:cstheme="minorHAnsi"/>
          <w:sz w:val="20"/>
          <w:szCs w:val="20"/>
          <w:lang w:val="it-IT"/>
        </w:rPr>
      </w:pPr>
    </w:p>
    <w:p w14:paraId="6484EA2B" w14:textId="77777777" w:rsidR="00873667" w:rsidRPr="0089291D" w:rsidRDefault="00873667" w:rsidP="00873667">
      <w:pPr>
        <w:spacing w:after="0" w:line="240" w:lineRule="auto"/>
        <w:jc w:val="both"/>
        <w:rPr>
          <w:rFonts w:asciiTheme="minorHAnsi" w:hAnsiTheme="minorHAnsi" w:cstheme="minorHAnsi"/>
          <w:sz w:val="20"/>
          <w:szCs w:val="20"/>
          <w:lang w:val="it-IT"/>
        </w:rPr>
      </w:pPr>
    </w:p>
    <w:p w14:paraId="5A185135"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R. VERVOORT</w:t>
      </w:r>
    </w:p>
    <w:p w14:paraId="4D31CE76" w14:textId="3E9F61CF"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Briuselio-sostinės regiono ministras pirmininkas.</w:t>
      </w:r>
    </w:p>
    <w:p w14:paraId="0ACA50B3" w14:textId="77777777" w:rsidR="00873667" w:rsidRPr="0089291D" w:rsidRDefault="00873667" w:rsidP="00873667">
      <w:pPr>
        <w:spacing w:after="0" w:line="240" w:lineRule="auto"/>
        <w:jc w:val="center"/>
        <w:rPr>
          <w:rFonts w:asciiTheme="minorHAnsi" w:hAnsiTheme="minorHAnsi" w:cstheme="minorHAnsi"/>
          <w:sz w:val="20"/>
          <w:szCs w:val="20"/>
          <w:lang w:val="it-IT"/>
        </w:rPr>
      </w:pPr>
    </w:p>
    <w:p w14:paraId="0E868F9D"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E. VAN DEN BRANDT</w:t>
      </w:r>
    </w:p>
    <w:p w14:paraId="0FD79330" w14:textId="037809FC" w:rsid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Mobilumo, viešųjų darbų ir kelių eismo saugos ministrė.</w:t>
      </w:r>
    </w:p>
    <w:p w14:paraId="2F23BC79" w14:textId="77777777" w:rsidR="00873667" w:rsidRPr="0089291D" w:rsidRDefault="00873667" w:rsidP="00873667">
      <w:pPr>
        <w:spacing w:after="0" w:line="240" w:lineRule="auto"/>
        <w:jc w:val="center"/>
        <w:rPr>
          <w:rFonts w:asciiTheme="minorHAnsi" w:hAnsiTheme="minorHAnsi" w:cstheme="minorHAnsi"/>
          <w:sz w:val="20"/>
          <w:szCs w:val="20"/>
          <w:lang w:val="it-IT"/>
        </w:rPr>
      </w:pPr>
    </w:p>
    <w:p w14:paraId="5C36561A" w14:textId="77777777" w:rsidR="00873667" w:rsidRPr="00404725"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A. MARON</w:t>
      </w:r>
    </w:p>
    <w:p w14:paraId="67F20717" w14:textId="3CC9598F" w:rsidR="00873667" w:rsidRPr="00AD5588"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Su klimato kaita susijusios pertvarkos, aplinkos, energetikos ir dalyvaujamosios demokratijos ministras.</w:t>
      </w:r>
    </w:p>
    <w:p w14:paraId="4B06F6AA"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S. GATZ</w:t>
      </w:r>
    </w:p>
    <w:p w14:paraId="215BED01" w14:textId="5190AA1C"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Finansų, biudžeto, valstybės tarnybos, daugiakalbystės skatinimo ir Briuselio įvaizdžio</w:t>
      </w:r>
      <w:r>
        <w:rPr>
          <w:rFonts w:asciiTheme="minorHAnsi" w:hAnsiTheme="minorHAnsi"/>
          <w:color w:val="333333"/>
          <w:sz w:val="20"/>
          <w:shd w:val="clear" w:color="auto" w:fill="FFFFFF"/>
        </w:rPr>
        <w:t xml:space="preserve"> </w:t>
      </w:r>
      <w:r>
        <w:rPr>
          <w:rFonts w:asciiTheme="minorHAnsi" w:hAnsiTheme="minorHAnsi"/>
          <w:sz w:val="20"/>
        </w:rPr>
        <w:t>ministras.</w:t>
      </w:r>
    </w:p>
    <w:p w14:paraId="5E9FF636" w14:textId="77777777" w:rsidR="00873667" w:rsidRPr="0089291D" w:rsidRDefault="00873667" w:rsidP="00873667">
      <w:pPr>
        <w:spacing w:after="0" w:line="240" w:lineRule="auto"/>
        <w:jc w:val="center"/>
        <w:rPr>
          <w:rFonts w:asciiTheme="minorHAnsi" w:hAnsiTheme="minorHAnsi" w:cstheme="minorHAnsi"/>
          <w:sz w:val="20"/>
          <w:szCs w:val="20"/>
        </w:rPr>
      </w:pPr>
    </w:p>
    <w:p w14:paraId="39B54DF5"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B. CERLFAYT</w:t>
      </w:r>
    </w:p>
    <w:p w14:paraId="5443ECE7" w14:textId="4C81C041"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Užimtumo ir profesinio mokymo, skaitmeninės pertvarkos, vietos valdžios institucijų ir gyvūnų gerovės ministras.</w:t>
      </w:r>
    </w:p>
    <w:p w14:paraId="76D391AC" w14:textId="77777777" w:rsidR="00873667" w:rsidRPr="0089291D" w:rsidRDefault="00873667" w:rsidP="00873667">
      <w:pPr>
        <w:spacing w:after="0" w:line="240" w:lineRule="auto"/>
        <w:jc w:val="center"/>
        <w:rPr>
          <w:rFonts w:asciiTheme="minorHAnsi" w:hAnsiTheme="minorHAnsi" w:cstheme="minorHAnsi"/>
          <w:sz w:val="20"/>
          <w:szCs w:val="20"/>
        </w:rPr>
      </w:pPr>
    </w:p>
    <w:p w14:paraId="2D887231"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N. BEN HAMOU</w:t>
      </w:r>
    </w:p>
    <w:p w14:paraId="66917B45" w14:textId="77777777" w:rsidR="00873667" w:rsidRPr="00B93F33"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Valstybės sekretorė, atsakinga už būsto ir lygių galimybių klausimus.</w:t>
      </w:r>
    </w:p>
    <w:p w14:paraId="6FA2FE24" w14:textId="77777777" w:rsidR="00873667" w:rsidRPr="0089291D" w:rsidRDefault="00873667" w:rsidP="00873667">
      <w:pPr>
        <w:spacing w:after="0" w:line="240" w:lineRule="auto"/>
        <w:jc w:val="center"/>
        <w:rPr>
          <w:rFonts w:asciiTheme="minorHAnsi" w:hAnsiTheme="minorHAnsi" w:cstheme="minorHAnsi"/>
          <w:sz w:val="20"/>
          <w:szCs w:val="20"/>
        </w:rPr>
      </w:pPr>
    </w:p>
    <w:p w14:paraId="5AFC9699"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B. TRACHTE</w:t>
      </w:r>
    </w:p>
    <w:p w14:paraId="272A5E99" w14:textId="77777777" w:rsidR="00873667" w:rsidRPr="00B93F33"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Ekonomikos pertvarkos ir mokslinių tyrimų valstybės sekretorė.</w:t>
      </w:r>
    </w:p>
    <w:p w14:paraId="42F74CF6" w14:textId="77777777" w:rsidR="00873667" w:rsidRPr="0089291D" w:rsidRDefault="00873667" w:rsidP="00873667">
      <w:pPr>
        <w:spacing w:after="0" w:line="240" w:lineRule="auto"/>
        <w:rPr>
          <w:rFonts w:asciiTheme="minorHAnsi" w:hAnsiTheme="minorHAnsi" w:cstheme="minorHAnsi"/>
          <w:sz w:val="20"/>
          <w:szCs w:val="20"/>
        </w:rPr>
      </w:pPr>
    </w:p>
    <w:p w14:paraId="03B3C3B2"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P. SMET</w:t>
      </w:r>
    </w:p>
    <w:p w14:paraId="2267296E" w14:textId="77777777" w:rsidR="00873667" w:rsidRPr="00B93F33" w:rsidRDefault="00873667" w:rsidP="00873667">
      <w:pPr>
        <w:spacing w:after="0" w:line="240" w:lineRule="auto"/>
        <w:jc w:val="center"/>
        <w:rPr>
          <w:rFonts w:asciiTheme="minorHAnsi" w:hAnsiTheme="minorHAnsi" w:cstheme="minorHAnsi"/>
          <w:b/>
          <w:bCs/>
          <w:caps/>
          <w:sz w:val="20"/>
          <w:szCs w:val="20"/>
          <w:u w:val="single"/>
        </w:rPr>
      </w:pPr>
      <w:r>
        <w:rPr>
          <w:rFonts w:asciiTheme="minorHAnsi" w:hAnsiTheme="minorHAnsi"/>
          <w:sz w:val="20"/>
        </w:rPr>
        <w:t>Valstybės sekretorius, atsakingas už miestų planavimą ir paveldą, Europos ir tarptautinius santykius, užsienio prekybą ir kovą su ugnimi ir skubia medicinos pagalba.</w:t>
      </w:r>
    </w:p>
    <w:p w14:paraId="53382B18" w14:textId="28B96DA2" w:rsidR="00873667" w:rsidRPr="0089291D" w:rsidRDefault="00873667" w:rsidP="00873667"/>
    <w:sectPr w:rsidR="00873667" w:rsidRPr="008929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79A7"/>
    <w:multiLevelType w:val="hybridMultilevel"/>
    <w:tmpl w:val="7E88C574"/>
    <w:lvl w:ilvl="0" w:tplc="3982BAE0">
      <w:numFmt w:val="bullet"/>
      <w:lvlText w:val="-"/>
      <w:lvlJc w:val="left"/>
      <w:pPr>
        <w:ind w:left="712" w:hanging="360"/>
      </w:pPr>
      <w:rPr>
        <w:rFonts w:ascii="Arial" w:eastAsia="Times New Roman" w:hAnsi="Arial" w:cs="Arial" w:hint="default"/>
      </w:rPr>
    </w:lvl>
    <w:lvl w:ilvl="1" w:tplc="080C0003">
      <w:start w:val="1"/>
      <w:numFmt w:val="bullet"/>
      <w:lvlText w:val="o"/>
      <w:lvlJc w:val="left"/>
      <w:pPr>
        <w:ind w:left="1432" w:hanging="360"/>
      </w:pPr>
      <w:rPr>
        <w:rFonts w:ascii="Courier New" w:hAnsi="Courier New" w:cs="Courier New" w:hint="default"/>
      </w:rPr>
    </w:lvl>
    <w:lvl w:ilvl="2" w:tplc="080C0005">
      <w:start w:val="1"/>
      <w:numFmt w:val="bullet"/>
      <w:lvlText w:val=""/>
      <w:lvlJc w:val="left"/>
      <w:pPr>
        <w:ind w:left="2152" w:hanging="360"/>
      </w:pPr>
      <w:rPr>
        <w:rFonts w:ascii="Wingdings" w:hAnsi="Wingdings" w:hint="default"/>
      </w:rPr>
    </w:lvl>
    <w:lvl w:ilvl="3" w:tplc="080C0001">
      <w:start w:val="1"/>
      <w:numFmt w:val="bullet"/>
      <w:lvlText w:val=""/>
      <w:lvlJc w:val="left"/>
      <w:pPr>
        <w:ind w:left="2872" w:hanging="360"/>
      </w:pPr>
      <w:rPr>
        <w:rFonts w:ascii="Symbol" w:hAnsi="Symbol" w:hint="default"/>
      </w:rPr>
    </w:lvl>
    <w:lvl w:ilvl="4" w:tplc="080C0003">
      <w:start w:val="1"/>
      <w:numFmt w:val="bullet"/>
      <w:lvlText w:val="o"/>
      <w:lvlJc w:val="left"/>
      <w:pPr>
        <w:ind w:left="3592" w:hanging="360"/>
      </w:pPr>
      <w:rPr>
        <w:rFonts w:ascii="Courier New" w:hAnsi="Courier New" w:cs="Courier New" w:hint="default"/>
      </w:rPr>
    </w:lvl>
    <w:lvl w:ilvl="5" w:tplc="080C0005">
      <w:start w:val="1"/>
      <w:numFmt w:val="bullet"/>
      <w:lvlText w:val=""/>
      <w:lvlJc w:val="left"/>
      <w:pPr>
        <w:ind w:left="4312" w:hanging="360"/>
      </w:pPr>
      <w:rPr>
        <w:rFonts w:ascii="Wingdings" w:hAnsi="Wingdings" w:hint="default"/>
      </w:rPr>
    </w:lvl>
    <w:lvl w:ilvl="6" w:tplc="080C0001">
      <w:start w:val="1"/>
      <w:numFmt w:val="bullet"/>
      <w:lvlText w:val=""/>
      <w:lvlJc w:val="left"/>
      <w:pPr>
        <w:ind w:left="5032" w:hanging="360"/>
      </w:pPr>
      <w:rPr>
        <w:rFonts w:ascii="Symbol" w:hAnsi="Symbol" w:hint="default"/>
      </w:rPr>
    </w:lvl>
    <w:lvl w:ilvl="7" w:tplc="080C0003">
      <w:start w:val="1"/>
      <w:numFmt w:val="bullet"/>
      <w:lvlText w:val="o"/>
      <w:lvlJc w:val="left"/>
      <w:pPr>
        <w:ind w:left="5752" w:hanging="360"/>
      </w:pPr>
      <w:rPr>
        <w:rFonts w:ascii="Courier New" w:hAnsi="Courier New" w:cs="Courier New" w:hint="default"/>
      </w:rPr>
    </w:lvl>
    <w:lvl w:ilvl="8" w:tplc="080C0005">
      <w:start w:val="1"/>
      <w:numFmt w:val="bullet"/>
      <w:lvlText w:val=""/>
      <w:lvlJc w:val="left"/>
      <w:pPr>
        <w:ind w:left="6472" w:hanging="360"/>
      </w:pPr>
      <w:rPr>
        <w:rFonts w:ascii="Wingdings" w:hAnsi="Wingdings" w:hint="default"/>
      </w:rPr>
    </w:lvl>
  </w:abstractNum>
  <w:abstractNum w:abstractNumId="1" w15:restartNumberingAfterBreak="0">
    <w:nsid w:val="358434A5"/>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2" w15:restartNumberingAfterBreak="0">
    <w:nsid w:val="35FC517B"/>
    <w:multiLevelType w:val="hybridMultilevel"/>
    <w:tmpl w:val="C5BE886A"/>
    <w:lvl w:ilvl="0" w:tplc="BB6A7E18">
      <w:start w:val="1"/>
      <w:numFmt w:val="decimal"/>
      <w:lvlText w:val="%1."/>
      <w:lvlJc w:val="left"/>
      <w:pPr>
        <w:ind w:left="560" w:hanging="360"/>
      </w:pPr>
    </w:lvl>
    <w:lvl w:ilvl="1" w:tplc="080C0019">
      <w:start w:val="1"/>
      <w:numFmt w:val="lowerLetter"/>
      <w:lvlText w:val="%2."/>
      <w:lvlJc w:val="left"/>
      <w:pPr>
        <w:ind w:left="1280" w:hanging="360"/>
      </w:pPr>
    </w:lvl>
    <w:lvl w:ilvl="2" w:tplc="080C001B">
      <w:start w:val="1"/>
      <w:numFmt w:val="lowerRoman"/>
      <w:lvlText w:val="%3."/>
      <w:lvlJc w:val="right"/>
      <w:pPr>
        <w:ind w:left="2000" w:hanging="180"/>
      </w:pPr>
    </w:lvl>
    <w:lvl w:ilvl="3" w:tplc="080C000F">
      <w:start w:val="1"/>
      <w:numFmt w:val="decimal"/>
      <w:lvlText w:val="%4."/>
      <w:lvlJc w:val="left"/>
      <w:pPr>
        <w:ind w:left="2720" w:hanging="360"/>
      </w:pPr>
    </w:lvl>
    <w:lvl w:ilvl="4" w:tplc="080C0019">
      <w:start w:val="1"/>
      <w:numFmt w:val="lowerLetter"/>
      <w:lvlText w:val="%5."/>
      <w:lvlJc w:val="left"/>
      <w:pPr>
        <w:ind w:left="3440" w:hanging="360"/>
      </w:pPr>
    </w:lvl>
    <w:lvl w:ilvl="5" w:tplc="080C001B">
      <w:start w:val="1"/>
      <w:numFmt w:val="lowerRoman"/>
      <w:lvlText w:val="%6."/>
      <w:lvlJc w:val="right"/>
      <w:pPr>
        <w:ind w:left="4160" w:hanging="180"/>
      </w:pPr>
    </w:lvl>
    <w:lvl w:ilvl="6" w:tplc="080C000F">
      <w:start w:val="1"/>
      <w:numFmt w:val="decimal"/>
      <w:lvlText w:val="%7."/>
      <w:lvlJc w:val="left"/>
      <w:pPr>
        <w:ind w:left="4880" w:hanging="360"/>
      </w:pPr>
    </w:lvl>
    <w:lvl w:ilvl="7" w:tplc="080C0019">
      <w:start w:val="1"/>
      <w:numFmt w:val="lowerLetter"/>
      <w:lvlText w:val="%8."/>
      <w:lvlJc w:val="left"/>
      <w:pPr>
        <w:ind w:left="5600" w:hanging="360"/>
      </w:pPr>
    </w:lvl>
    <w:lvl w:ilvl="8" w:tplc="080C001B">
      <w:start w:val="1"/>
      <w:numFmt w:val="lowerRoman"/>
      <w:lvlText w:val="%9."/>
      <w:lvlJc w:val="right"/>
      <w:pPr>
        <w:ind w:left="6320" w:hanging="180"/>
      </w:pPr>
    </w:lvl>
  </w:abstractNum>
  <w:abstractNum w:abstractNumId="3" w15:restartNumberingAfterBreak="0">
    <w:nsid w:val="4DB14E4F"/>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4" w15:restartNumberingAfterBreak="0">
    <w:nsid w:val="539B2EF4"/>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num w:numId="1" w16cid:durableId="196163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034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330790">
    <w:abstractNumId w:val="0"/>
  </w:num>
  <w:num w:numId="4" w16cid:durableId="166369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91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67"/>
    <w:rsid w:val="003D1F7F"/>
    <w:rsid w:val="00404725"/>
    <w:rsid w:val="00457E53"/>
    <w:rsid w:val="00873667"/>
    <w:rsid w:val="0089291D"/>
    <w:rsid w:val="00AC2FE0"/>
    <w:rsid w:val="00C4092C"/>
    <w:rsid w:val="00DA34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94F7"/>
  <w15:chartTrackingRefBased/>
  <w15:docId w15:val="{36913070-18DD-44A6-BEE9-0B7FBDBF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67"/>
    <w:pPr>
      <w:widowControl w:val="0"/>
      <w:suppressAutoHyphens/>
      <w:autoSpaceDN w:val="0"/>
      <w:spacing w:after="200" w:line="276" w:lineRule="auto"/>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873667"/>
    <w:rPr>
      <w:rFonts w:ascii="Calibri" w:eastAsia="SimSun" w:hAnsi="Calibri" w:cs="Calibri"/>
      <w:kern w:val="3"/>
    </w:rPr>
  </w:style>
  <w:style w:type="paragraph" w:styleId="ListParagraph">
    <w:name w:val="List Paragraph"/>
    <w:basedOn w:val="Normal"/>
    <w:link w:val="ListParagraphChar"/>
    <w:uiPriority w:val="34"/>
    <w:qFormat/>
    <w:rsid w:val="00873667"/>
    <w:pPr>
      <w:ind w:left="720"/>
      <w:contextualSpacing/>
    </w:pPr>
  </w:style>
  <w:style w:type="paragraph" w:customStyle="1" w:styleId="Textbody">
    <w:name w:val="Text body"/>
    <w:basedOn w:val="Normal"/>
    <w:rsid w:val="00873667"/>
    <w:pPr>
      <w:widowControl/>
      <w:spacing w:after="120" w:line="200" w:lineRule="exact"/>
    </w:pPr>
    <w:rPr>
      <w:rFonts w:ascii="Times New Roman" w:eastAsia="Times New Roman" w:hAnsi="Times New Roman" w:cs="Times New Roman"/>
      <w:sz w:val="18"/>
      <w:szCs w:val="24"/>
      <w:lang w:eastAsia="ar-SA"/>
    </w:rPr>
  </w:style>
  <w:style w:type="table" w:styleId="TableGrid">
    <w:name w:val="Table Grid"/>
    <w:basedOn w:val="TableNormal"/>
    <w:uiPriority w:val="59"/>
    <w:rsid w:val="008736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3667"/>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3577</Words>
  <Characters>20393</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 Naim</dc:creator>
  <cp:keywords/>
  <dc:description/>
  <cp:lastModifiedBy>Dimitris Dimitriadis</cp:lastModifiedBy>
  <cp:revision>6</cp:revision>
  <dcterms:created xsi:type="dcterms:W3CDTF">2022-10-04T13:25:00Z</dcterms:created>
  <dcterms:modified xsi:type="dcterms:W3CDTF">2022-10-19T14:29:00Z</dcterms:modified>
</cp:coreProperties>
</file>