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Reino da Bélgica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SERVIÇO PÚBLICO FEDERAL DE SAÚDE PÚBLICA, SEGURANÇA DA CADEIA ALIMENTAR E MEIO AMBIENTE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Decreto Real que proíbe o fabrico e a colocação no mercado de determinados produtos similares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FILIPE, Rei dos belgas,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A todos os presentes e aos que estão por vir, Saudações.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Tendo em conta o artigo 6.º (1)(a), da Lei de 24 de janeiro de 1977 relativa à proteção da saúde dos consumidores no que diz respeito aos géneros alimentícios e outros produtos, com a redação que lhe foi dada pela Lei de 22 de março de 1989, e o artigo 18.º (1), substituído pela Lei de 22 de março de 1989 e alterado pela Lei de 22 de dezembro de 2003;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Tendo em conta o parecer da Inspeção Financeira emitido em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Tendo em conta o acordo do Secretário de Estado para o Orçamento, emitido em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Tendo em conta a avaliação de impacto da regulamentação do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realizada nos termos dos artigos 6.º e 7.º da Lei de 15 de dezembro de 2013, que contém várias disposições relativas à simplificação administrativa;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Tendo em conta a Comunicação à Comissão Europeia, de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em conformidade com o Artigo 5(1) da Diretiva (UE) 2015/1535 do Parlamento Europeu e do Conselho, de 9 de setembro de 2015, relativa a um procedimento de informação no domínio das regulamentações técnicas e das regras relativas aos serviços da Sociedade da Informação;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[Considerando a observação da Comissão Europeia na sequência da comunicação......... de...............;]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Tendo em conta o parecer </w:t>
            </w:r>
            <w:r>
              <w:rPr>
                <w:highlight w:val="yellow"/>
                <w:rFonts w:ascii="Garamond" w:hAnsi="Garamond"/>
              </w:rPr>
              <w:t xml:space="preserve">XX</w:t>
            </w:r>
            <w:r>
              <w:rPr>
                <w:rFonts w:ascii="Garamond" w:hAnsi="Garamond"/>
              </w:rPr>
              <w:t xml:space="preserve"> do Conselho de Estado, emitido em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nos termos do artigo 84.º, ponto 1(1)(2), das Leis sobre o Conselho de Estado, consolidadas em 12 de janeiro de 1973;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Sob proposta do Ministro da Saúde Pública,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DECRETEI E DECRETO: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Artigo 1.º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Definições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Para a aplicação do presente Decreto, entende-se por: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(1) bolsas de nicotina: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qualquer produto isento de tabaco, para uso oral, constituído por nicotina sintética ou natural, total ou parcial, sob a forma de pó, partículas ou pasta ou em qualquer combinação destas formas, nomeadamente os produtos divididos em saquetas ou em saquetas porosas;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(2) bolsa canabinóide: qualquer produto para uso oral que consista de ou que contenha um ou mais canabinóides ou seus derivados, sob a forma de pó, partículas ou pasta ou em qualquer combinação destas formas, incluindo os produtos divididos em saquetas ou em saquetas porosas;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(3) colocação no mercado: colocação dos produtos à disposição dos consumidores belgas, independentemente do seu local de fabrico, mediante pagamento ou não, incluindo através de vendas à distância;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(4) fabricante: qualquer pessoa singular ou coletiva que fabrique um produto ou mande conceber ou fabricar um produto e que o comercialize em seu próprio nome ou marca;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(5) importador na Bélgica: o proprietário ou a pessoa habilitada a dispor dos produtos introduzidos no território da Bélgica;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retalhista: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qualquer ponto de venda em que os produtos sejam colocados no mercado, incluindo por uma pessoa singular.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Artigo 2.º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Proibido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É proibido colocar bolsas de nicotina e bolsas canabinóides no mercado.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Artigo 3.º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Sanções penais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Ponto 1.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Os produtos enumerados no artigo 2.º da presente Portaria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são considerados prejudiciais na aceção do artigo 18.º da Lei de 24 de janeiro de 1977 relativa à proteção da saúde dos consumidores em relação aos géneros alimentícios e outros produtos.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Ponto 2.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Infrações a esta Portaria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são procuradas, detetadas e processadas em conformidade com as disposições da Lei de 24 de janeiro de 1977 acima referida.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Ponto 3.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As sanções previstas no artigo 13.º da Lei de 24 de janeiro de 1977 relativa à proteção da saúde dos consumidores em relação aos géneros alimentícios e outros produtos são punidas se violarem a proibição prevista no artigo 2.º do presente Decreto.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Ponto 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O fabricante, o importador na Bélgica e o retalhista podem ser responsabilizados pelo incumprimento do disposto no artigo 2.º da presente Portaria.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Artigo 4.º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Entrada em vigor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A presente Portaria entra em vigor três meses após a sua publicação no monitor belga, com exceção do retalhista para o qual a presente Portaria entra em vigor seis meses após a sua publicação no monitor belga.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Artigo 5.º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Disposição final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 Ministro da Saúde Pública é responsável pela execução do presente Decreto.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Pelo Rei: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O Ministro da Saúde Pública,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