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56D57" w14:textId="77777777" w:rsidR="00C23798" w:rsidRDefault="00C23798" w:rsidP="00DA7639">
      <w:pPr>
        <w:spacing w:line="1" w:lineRule="exact"/>
        <w:sectPr w:rsidR="00C23798">
          <w:headerReference w:type="even" r:id="rId8"/>
          <w:headerReference w:type="default" r:id="rId9"/>
          <w:footerReference w:type="even" r:id="rId10"/>
          <w:footerReference w:type="default" r:id="rId11"/>
          <w:headerReference w:type="first" r:id="rId12"/>
          <w:footerReference w:type="first" r:id="rId13"/>
          <w:type w:val="continuous"/>
          <w:pgSz w:w="11905" w:h="16837"/>
          <w:pgMar w:top="3188" w:right="2805" w:bottom="1155" w:left="1603" w:header="708" w:footer="708" w:gutter="0"/>
          <w:cols w:space="708"/>
        </w:sectPr>
      </w:pPr>
    </w:p>
    <w:p w14:paraId="23439B89" w14:textId="72FD6509" w:rsidR="00EF6AB5" w:rsidRPr="007349AC" w:rsidRDefault="00EF6AB5" w:rsidP="00EF6AB5">
      <w:pPr>
        <w:pStyle w:val="12PromKlEinlSatz"/>
        <w:keepNext w:val="0"/>
        <w:spacing w:before="0" w:after="120" w:line="240" w:lineRule="auto"/>
        <w:ind w:firstLine="0"/>
        <w:jc w:val="center"/>
        <w:rPr>
          <w:rFonts w:ascii="Courier New" w:hAnsi="Courier New"/>
          <w:snapToGrid/>
          <w:lang/>
        </w:rPr>
      </w:pPr>
      <w:r>
        <w:rPr>
          <w:rFonts w:ascii="Courier New" w:hAnsi="Courier New"/>
          <w:snapToGrid/>
        </w:rPr>
        <w:t xml:space="preserve">1. </w:t>
      </w:r>
      <w:r>
        <w:rPr>
          <w:rFonts w:ascii="Courier New" w:hAnsi="Courier New"/>
          <w:snapToGrid/>
        </w:rPr>
        <w:t>------IND- 2019 0408 NL- ES- ------ 20190903 --- --- PROJET</w:t>
      </w:r>
    </w:p>
    <w:p w14:paraId="6065C90B" w14:textId="685832CF" w:rsidR="004219D4" w:rsidRDefault="003504DB" w:rsidP="00DA7639">
      <w:pPr>
        <w:rPr>
          <w:b/>
        </w:rPr>
      </w:pPr>
      <w:r>
        <w:rPr>
          <w:b/>
        </w:rPr>
        <w:t xml:space="preserve">PROYECTO CON FECHA DE </w:t>
      </w:r>
      <w:r>
        <w:rPr>
          <w:b/>
        </w:rPr>
        <w:t>16 de agosto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ED8908" w14:textId="77777777" w:rsidR="004219D4" w:rsidRDefault="004219D4" w:rsidP="00DA7639">
      <w:pPr>
        <w:rPr>
          <w:b/>
        </w:rPr>
      </w:pPr>
    </w:p>
    <w:p w14:paraId="7C309252" w14:textId="67C1CC45" w:rsidR="00CC12A4" w:rsidRDefault="009A501E" w:rsidP="00DA7639">
      <w:r>
        <w:t xml:space="preserve">Orden n.º IENW/BSK-2019/169842 del Ministro de Infraestructuras y Gestión del Agua, de ........, por la que se modifica la Orden sobre la seguridad de los buques marítimos y la Orden para la prevención de la contaminación por los buques en relación con la transposición de la Directiva (UE) 2017/2108 y la Directiva (UE) 2017/2110 y otras modificaciones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E6A4D52" w14:textId="0037A235" w:rsidR="00C23798" w:rsidRDefault="00C23798" w:rsidP="00DA7639">
      <w:pPr/>
    </w:p>
    <w:p w14:paraId="0004816C" w14:textId="77777777" w:rsidR="00DA7639" w:rsidRDefault="009A501E" w:rsidP="00DA7639">
      <w:r>
        <w:t>La Ministra de Infraestructuras y Gestión del Agua,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F25349A" w14:textId="7C857D76" w:rsidR="00C23798" w:rsidRDefault="00C23798"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4D6209" w14:textId="77777777" w:rsidR="00DA7639" w:rsidRDefault="00DA7639" w:rsidP="00DA7639">
      <w:pPr/>
      <w:bookmarkStart w:id="0" w:name="_GoBack"/>
      <w:bookmarkEnd w:id="0"/>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15FF4DA" w14:textId="16B6DC8C" w:rsidR="00C23798" w:rsidRDefault="00C23798" w:rsidP="00DA7639">
      <w:pPr/>
    </w:p>
    <w:p w14:paraId="71567955" w14:textId="77777777" w:rsidR="00DA7639" w:rsidRDefault="002C274D" w:rsidP="00DA7639">
      <w:r>
        <w:t>Vista la Directiva (UE) 2017/2108 del Parlamento Europeo y del Consejo, de 15 de noviembre de 2017, por la que se modifica la Directiva 2009/45/CE sobre las reglas y normas de seguridad aplicables a los buques de pasaje, y la Directiva (UE) 2017/2110 del Parlamento Europeo y el Consejo, de 15 de noviembre de 2017, sobre un sistema de inspecciones para garantizar la seguridad en la explotación de buques de pasaje de transbordo rodado y naves de pasaje de gran velocidad en servicio regular y por la que se modifica la Directiva 2009/16/CE y se deroga la Directiva 1999/35/CE del Consejo (DO L 315), el artículo 5, apartado 1, de la Ley de los buques, el artículo 7, apartado 3, de la Ley de equipos marinos, y el artículo 2, apartado 3, el artículo 6, apartado 1, el artículo 22, apartado 2, el artículo 46, apartado 2 y el artículo 48, apartado 1, del Decreto relativo a los buques de 2004;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941213D" w14:textId="6CB225D2" w:rsidR="00C23798" w:rsidRDefault="00C23798" w:rsidP="00DA7639">
      <w:pPr/>
    </w:p>
    <w:p w14:paraId="0961DACF" w14:textId="77777777" w:rsidR="00DA7639" w:rsidRDefault="009A501E" w:rsidP="00DA7639">
      <w:r>
        <w:t>DECRETA: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6343D36" w14:textId="77777777" w:rsidR="00DA7639" w:rsidRDefault="00DA7639" w:rsidP="00DA7639">
      <w:pPr/>
    </w:p>
    <w:p w14:paraId="02A51D65" w14:textId="04D29097" w:rsidR="00CC12A4" w:rsidRDefault="00F46520" w:rsidP="00DA7639">
      <w:pPr>
        <w:keepNext/>
        <w:keepLines/>
        <w:rPr>
          <w:b/>
        </w:rPr>
      </w:pPr>
      <w:r>
        <w:rPr>
          <w:i/>
        </w:rPr>
        <w:t>Artículo 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3656550" w14:textId="77777777" w:rsidR="00CC12A4" w:rsidRDefault="00CC12A4" w:rsidP="00DA7639">
      <w:pPr>
        <w:keepNext/>
        <w:keepLines/>
        <w:rPr>
          <w:b/>
        </w:rPr>
      </w:pPr>
    </w:p>
    <w:p w14:paraId="33EC7BB1" w14:textId="77777777" w:rsidR="00CC12A4" w:rsidRDefault="00CC12A4" w:rsidP="00DA7639">
      <w:r>
        <w:t>La Orden sobre la seguridad de los buques marítimos se modifica como se indica a continuación.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5206AD" w14:textId="77777777" w:rsidR="00E23482" w:rsidRDefault="00E23482" w:rsidP="00DA7639">
      <w:pPr/>
    </w:p>
    <w:p w14:paraId="6FD6D85C" w14:textId="77777777" w:rsidR="00E23482" w:rsidRDefault="00E23482" w:rsidP="00DA7639">
      <w:pPr>
        <w:keepNext/>
        <w:keepLines/>
      </w:pPr>
      <w:r>
        <w:t>A</w:t>
      </w:r>
    </w:p>
    <w:p w14:paraId="68B30582" w14:textId="5FD3E781" w:rsidR="00E23A5C" w:rsidRDefault="00B63F59" w:rsidP="00DA7639">
      <w:pPr>
        <w:keepNext/>
        <w:keepLines/>
      </w:pPr>
      <w:r>
        <w:t>El artículo 1 se modifica como sigue:</w:t>
      </w:r>
    </w:p>
    <w:p w14:paraId="03984065" w14:textId="322A77B2" w:rsidR="00B63F59" w:rsidRDefault="00C2264F" w:rsidP="00DA7639">
      <w:r>
        <w:t xml:space="preserve">1) </w:t>
      </w:r>
      <w:r>
        <w:t xml:space="preserve">se suprimen las definiciones de los términos </w:t>
      </w:r>
      <w:r>
        <w:rPr>
          <w:i/>
        </w:rPr>
        <w:t xml:space="preserve">«Directiva 96/98/CE» </w:t>
      </w:r>
      <w:r>
        <w:t>y «</w:t>
      </w:r>
      <w:r>
        <w:rPr>
          <w:i/>
        </w:rPr>
        <w:t>Directiva 1999/35/CE»</w:t>
      </w:r>
      <w:r>
        <w:t>;</w:t>
      </w:r>
    </w:p>
    <w:p w14:paraId="0FC6E0E9" w14:textId="76E0AF44" w:rsidR="00AC1834" w:rsidRDefault="00AC1834" w:rsidP="00DA7639">
      <w:r>
        <w:t xml:space="preserve">2) </w:t>
      </w:r>
      <w:r>
        <w:t>en la definición del término «</w:t>
      </w:r>
      <w:r>
        <w:rPr>
          <w:i/>
        </w:rPr>
        <w:t>Código SCV»</w:t>
      </w:r>
      <w:r>
        <w:t xml:space="preserve"> se suprimen las palabras «revisado en diciembre de 2007»;</w:t>
      </w:r>
    </w:p>
    <w:p w14:paraId="5BAEF14F" w14:textId="39C04DB3" w:rsidR="00CA28BB" w:rsidRDefault="00AC1834" w:rsidP="00DA7639">
      <w:pPr>
        <w:keepNext/>
        <w:keepLines/>
      </w:pPr>
      <w:r>
        <w:t xml:space="preserve">3) </w:t>
      </w:r>
      <w:r>
        <w:t>en la clasificación alfabética se añaden tres definiciones con la siguiente redacción:</w:t>
      </w:r>
    </w:p>
    <w:p w14:paraId="616C4A0D" w14:textId="77777777" w:rsidR="001F1DE7" w:rsidRDefault="001F1DE7" w:rsidP="00DA7639">
      <w:r>
        <w:t>«</w:t>
      </w:r>
      <w:r>
        <w:rPr>
          <w:i/>
        </w:rPr>
        <w:t>servicio regular</w:t>
      </w:r>
      <w:r>
        <w:t xml:space="preserve">: serie de travesías de un buque de pasaje de transbordo rodado o de una nave de pasaje de gran velocidad que opere entre dos mismos puertos o más, o serie de viajes desde y hacia un mismo puerto sin puertos de escala intermedios que se realizan: </w:t>
      </w:r>
    </w:p>
    <w:p w14:paraId="1261B336" w14:textId="77777777" w:rsidR="001F1DE7" w:rsidRDefault="001F1DE7" w:rsidP="00DA7639">
      <w:r>
        <w:t xml:space="preserve">i) según un horario publicado, o </w:t>
      </w:r>
    </w:p>
    <w:p w14:paraId="4924D3F7" w14:textId="77777777" w:rsidR="00CA28BB" w:rsidRDefault="001F1DE7" w:rsidP="00DA7639">
      <w:r>
        <w:t>ii) con una regularidad o frecuencia tal que forman una secuencia sistemática reconocible;</w:t>
      </w:r>
    </w:p>
    <w:p w14:paraId="19096C1B" w14:textId="5CA5F0B1" w:rsidR="004B2D8C" w:rsidRDefault="00CA28BB" w:rsidP="00DA7639">
      <w:r>
        <w:rPr>
          <w:i/>
        </w:rPr>
        <w:t>Directiva (UE) 2017/2110</w:t>
      </w:r>
      <w:r>
        <w:t xml:space="preserve">: Directiva (UE) 2017/2110 del Parlamento Europeo y del Consejo, de 15 de noviembre de 2017, sobre un sistema de inspecciones para garantizar la seguridad en la explotación de buques de pasaje de transbordo rodado y naves de pasaje de gran velocidad en servicio regular y por la que se modifica la Directiva 2009/16/CE y se deroga la Directiva 1999/35/CE del Consejo (DO L 315); </w:t>
      </w:r>
    </w:p>
    <w:p w14:paraId="650FA9D7" w14:textId="55509297" w:rsidR="004B2D8C" w:rsidRDefault="004B2D8C" w:rsidP="00DA7639">
      <w:r>
        <w:rPr>
          <w:i/>
        </w:rPr>
        <w:t>Reglamento de Ejecución de equipos marinos</w:t>
      </w:r>
      <w:r>
        <w:t xml:space="preserve">: acto de ejecución de la Comisión Europea sobre los requisitos de diseño, construcción y rendimiento y las normas de ensayo para equipos marinos, en el sentido del artículo 35, apartado 2, de la Directiva 2014/90/UE;».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FA190FB" w14:textId="77777777" w:rsidR="008C41BB" w:rsidRDefault="008C41BB" w:rsidP="00DA7639">
      <w:pPr/>
    </w:p>
    <w:p w14:paraId="2443EB24" w14:textId="77777777" w:rsidR="00F46520" w:rsidRDefault="00F46520" w:rsidP="00DA7639">
      <w:pPr>
        <w:keepNext/>
        <w:keepLines/>
      </w:pPr>
      <w:r>
        <w:t>B</w:t>
      </w:r>
    </w:p>
    <w:p w14:paraId="5CA08497" w14:textId="77777777" w:rsidR="00F46520" w:rsidRDefault="00F46520" w:rsidP="00DA7639">
      <w:r>
        <w:t xml:space="preserve">El artículo 1 </w:t>
      </w:r>
      <w:r>
        <w:rPr>
          <w:i w:val="1"/>
        </w:rPr>
        <w:t>bis</w:t>
      </w:r>
      <w:r>
        <w:t xml:space="preserve"> se reformula como sigue: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50B7DC2" w14:textId="77777777" w:rsidR="00F46520" w:rsidRDefault="00F46520" w:rsidP="00DA7639">
      <w:pPr/>
    </w:p>
    <w:p w14:paraId="74E43A57" w14:textId="77777777" w:rsidR="00F46520" w:rsidRDefault="00F46520" w:rsidP="00DA7639">
      <w:pPr>
        <w:keepNext/>
        <w:keepLines/>
      </w:pPr>
      <w:r>
        <w:t xml:space="preserve">«Artículo 1 </w:t>
      </w:r>
      <w:r>
        <w:rPr>
          <w:i w:val="1"/>
        </w:rPr>
        <w:t>bis</w:t>
      </w:r>
    </w:p>
    <w:p w14:paraId="729F04A7" w14:textId="77777777" w:rsidR="00F46520" w:rsidRDefault="00F46520" w:rsidP="00DA7639">
      <w:r>
        <w:t>La presente Orden se basa en el artículo 2, apartado 3, el artículo 6, apartado 1, y el artículo 41, apartado 4, del Decreto.».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9826DFB" w14:textId="77777777" w:rsidR="00F46520" w:rsidRDefault="00F46520" w:rsidP="00DA7639">
      <w:pPr/>
    </w:p>
    <w:p w14:paraId="7BC22500" w14:textId="77777777" w:rsidR="00516C5C" w:rsidRDefault="00E23482" w:rsidP="00DA7639">
      <w:pPr>
        <w:keepNext/>
        <w:keepLines/>
      </w:pPr>
      <w:r>
        <w:t>C</w:t>
      </w:r>
    </w:p>
    <w:p w14:paraId="621263A3" w14:textId="3295410D" w:rsidR="00516C5C" w:rsidRDefault="00106DF3" w:rsidP="00DA7639">
      <w:r>
        <w:t xml:space="preserve">En el artículo 3 </w:t>
      </w:r>
      <w:r>
        <w:rPr>
          <w:i w:val="1"/>
        </w:rPr>
        <w:t>bis</w:t>
      </w:r>
      <w:r>
        <w:t>, apartado 1, tras sustituir el punto al final de la letra g) por un punto y coma, se añade una letra con la siguiente redacción:</w:t>
      </w:r>
    </w:p>
    <w:p w14:paraId="7685611E" w14:textId="74F834A9" w:rsidR="00CC4BB2" w:rsidRDefault="00106DF3" w:rsidP="00DA7639">
      <w:r>
        <w:t>«h) un buque de pasaje de eslora inferior a 24 metros, distinto del buque contemplado en la letra c), con el que es posible efectuar viajes desde y hacia un puerto de la Unión Europea.».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5EBB43B" w14:textId="77777777" w:rsidR="00CC4BB2" w:rsidRDefault="00CC4BB2" w:rsidP="00DA7639">
      <w:pPr/>
    </w:p>
    <w:p w14:paraId="6E6E30D8" w14:textId="77777777" w:rsidR="007E3704" w:rsidRDefault="00E23482" w:rsidP="00DA7639">
      <w:pPr>
        <w:keepNext/>
        <w:keepLines/>
      </w:pPr>
      <w:r>
        <w:t>D</w:t>
      </w:r>
    </w:p>
    <w:p w14:paraId="1454C096" w14:textId="77777777" w:rsidR="007E3704" w:rsidRDefault="007E3704" w:rsidP="00DA7639">
      <w:pPr>
        <w:keepNext/>
        <w:keepLines/>
      </w:pPr>
      <w:r>
        <w:t>El artículo 4 se modifica como sigue:</w:t>
      </w:r>
    </w:p>
    <w:p w14:paraId="126D068C" w14:textId="77777777" w:rsidR="009D7B43" w:rsidRDefault="009D7B43" w:rsidP="00DA7639">
      <w:r>
        <w:t xml:space="preserve">1) </w:t>
      </w:r>
      <w:r>
        <w:t>el título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BA0EA58" w14:textId="77777777" w:rsidR="009D7B43" w:rsidRDefault="009D7B43" w:rsidP="00DA7639">
      <w:pPr/>
    </w:p>
    <w:p w14:paraId="674B28BA" w14:textId="77777777" w:rsidR="009D7B43" w:rsidRPr="009D7B43" w:rsidRDefault="009D7B43" w:rsidP="00DA7639">
      <w:pPr>
        <w:rPr>
          <w:b/>
        </w:rPr>
      </w:pPr>
      <w:r>
        <w:rPr>
          <w:b w:val="0"/>
        </w:rPr>
        <w:t>«</w:t>
      </w:r>
      <w:r>
        <w:rPr>
          <w:b/>
        </w:rPr>
        <w:t xml:space="preserve">Artículo 4. </w:t>
      </w:r>
      <w:r>
        <w:rPr>
          <w:b/>
        </w:rPr>
        <w:t>Certificado para buques de pasaje de eslora de 24 metros o superior en navegación nacional (UE)</w:t>
      </w:r>
      <w:r>
        <w:rPr>
          <w:b w:val="0"/>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9666407" w14:textId="77777777" w:rsidR="009D7B43" w:rsidRDefault="009D7B43" w:rsidP="00DA7639">
      <w:pPr/>
    </w:p>
    <w:p w14:paraId="78182F11" w14:textId="77777777" w:rsidR="007E3704" w:rsidRDefault="009D7B43" w:rsidP="00DA7639">
      <w:pPr>
        <w:keepNext/>
        <w:keepLines/>
      </w:pPr>
      <w:r>
        <w:t xml:space="preserve">2) </w:t>
      </w:r>
      <w:r>
        <w:t>el apartado 1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2D286CD" w14:textId="77777777" w:rsidR="007E3704" w:rsidRDefault="007E3704" w:rsidP="00DA7639">
      <w:pPr>
        <w:keepNext/>
        <w:keepLines/>
      </w:pPr>
    </w:p>
    <w:p w14:paraId="718A4867" w14:textId="77777777" w:rsidR="007E3704" w:rsidRDefault="007E3704" w:rsidP="00DA7639">
      <w:r>
        <w:t xml:space="preserve">«1. </w:t>
      </w:r>
      <w:r>
        <w:t>Para buques de pasaje de eslora igual o superior a 24 metros con los que se realizan viajes nacionales desde o hacia un puerto en la Unión Europea se requerirá el certificado de seguridad de buques de pasaje según la Directiva 2009/45/CE.»;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10880C4" w14:textId="77777777" w:rsidR="00FE2260" w:rsidRDefault="00FE2260" w:rsidP="00DA7639">
      <w:pPr/>
    </w:p>
    <w:p w14:paraId="1E40C808" w14:textId="77777777" w:rsidR="007E3704" w:rsidRDefault="00CC4BB2" w:rsidP="00DA7639">
      <w:r>
        <w:t xml:space="preserve">3) </w:t>
      </w:r>
      <w:r>
        <w:t xml:space="preserve">en el apartado 2, se suprime la letra a) al renombrar la letra b) y la letra c) como letra a) y letra b).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64692CE" w14:textId="77777777" w:rsidR="009D7B43" w:rsidRDefault="009D7B43" w:rsidP="00DA7639">
      <w:pPr/>
    </w:p>
    <w:p w14:paraId="4C7AAFA5" w14:textId="77777777" w:rsidR="007E3704" w:rsidRDefault="00E23482" w:rsidP="00DA7639">
      <w:pPr>
        <w:keepNext/>
        <w:keepLines/>
      </w:pPr>
      <w:r>
        <w:t>E</w:t>
      </w:r>
    </w:p>
    <w:p w14:paraId="19B1195F" w14:textId="77777777" w:rsidR="00F46520" w:rsidRDefault="00F46520" w:rsidP="00DA7639">
      <w:pPr>
        <w:keepNext/>
        <w:keepLines/>
      </w:pPr>
      <w:r>
        <w:t>El artículo 10 se modifica como sigue:</w:t>
      </w:r>
    </w:p>
    <w:p w14:paraId="3A270F7A" w14:textId="77777777" w:rsidR="00E60726" w:rsidRDefault="00F46520" w:rsidP="00DA7639">
      <w:r>
        <w:t xml:space="preserve">1) </w:t>
      </w:r>
      <w:r>
        <w:t>el título del artículo 10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7899D7B" w14:textId="77777777" w:rsidR="00CC4BB2" w:rsidRDefault="00CC4BB2" w:rsidP="00DA7639">
      <w:pPr/>
    </w:p>
    <w:p w14:paraId="456B2936" w14:textId="77777777" w:rsidR="00CC4BB2" w:rsidRDefault="00CC4BB2" w:rsidP="00DA7639">
      <w:pPr>
        <w:keepNext/>
        <w:keepLines/>
        <w:rPr>
          <w:b/>
        </w:rPr>
      </w:pPr>
      <w:r>
        <w:rPr>
          <w:b w:val="0"/>
        </w:rPr>
        <w:t>«</w:t>
      </w:r>
      <w:r>
        <w:rPr>
          <w:b/>
        </w:rPr>
        <w:t xml:space="preserve">Artículo 10. </w:t>
      </w:r>
      <w:r>
        <w:rPr>
          <w:b/>
        </w:rPr>
        <w:t>Inspección de buques de pasaje de eslora igual o superior a 24 metros en navegación nacional (UE)</w:t>
      </w:r>
      <w:r>
        <w:rPr>
          <w:b w:val="0"/>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B18D8EE" w14:textId="77777777" w:rsidR="00F46520" w:rsidRDefault="00F46520" w:rsidP="00DA7639">
      <w:pPr>
        <w:keepNext/>
        <w:keepLines/>
        <w:rPr>
          <w:b/>
        </w:rPr>
      </w:pPr>
    </w:p>
    <w:p w14:paraId="4346F3E8" w14:textId="77777777" w:rsidR="00F46520" w:rsidRPr="00F46520" w:rsidRDefault="00F46520" w:rsidP="00DA7639">
      <w:r>
        <w:t xml:space="preserve">2) </w:t>
      </w:r>
      <w:r>
        <w:t>se sustituyen las palabras «buques de pasaje para los cuales el certificado de seguridad» por las palabras «buques de pasaje de eslora igual o superior a 24 metros para los cuales el certificado de seguridad».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407F622" w14:textId="77777777" w:rsidR="00CC4BB2" w:rsidRDefault="00CC4BB2" w:rsidP="00DA7639">
      <w:pPr/>
    </w:p>
    <w:p w14:paraId="107A2A94" w14:textId="77777777" w:rsidR="00B63F59" w:rsidRDefault="00E23482" w:rsidP="00DA7639">
      <w:pPr>
        <w:keepNext/>
        <w:keepLines/>
      </w:pPr>
      <w:r>
        <w:t>F</w:t>
      </w:r>
    </w:p>
    <w:p w14:paraId="39C03A65" w14:textId="77777777" w:rsidR="00B94DA4" w:rsidRDefault="00CE2C17" w:rsidP="00DA7639">
      <w:pPr>
        <w:keepNext/>
        <w:keepLines/>
      </w:pPr>
      <w:r>
        <w:t xml:space="preserve">En el artículo 12 </w:t>
      </w:r>
      <w:r>
        <w:rPr>
          <w:i w:val="1"/>
        </w:rPr>
        <w:t>bis</w:t>
      </w:r>
      <w:r>
        <w:t>, los apartados 1 y 2 se reformulan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E8D0B3C" w14:textId="77777777" w:rsidR="002400B4" w:rsidRDefault="002400B4" w:rsidP="00DA7639">
      <w:pPr>
        <w:keepNext/>
        <w:keepLines/>
      </w:pPr>
    </w:p>
    <w:p w14:paraId="23F4CEC5" w14:textId="77777777" w:rsidR="002400B4" w:rsidRDefault="002400B4" w:rsidP="00DA7639">
      <w:r>
        <w:t xml:space="preserve">«1. </w:t>
      </w:r>
      <w:r>
        <w:t>El propietario de una embarcación marítima destinada a uso profesional, de eslora entre perpendiculares de 24 metros o superior y que se ha diseñado y construido y se emplea exclusivamente para transportar un máximo de 12 pasajeros, podrá optar por que la embarcación en cuestión sea inspeccionada y certificada teniendo en cuenta el código LY3, a excepción de los capítulos 16.8, 21, 22 y 26 de ese código.</w:t>
      </w:r>
    </w:p>
    <w:p w14:paraId="01AD2A78" w14:textId="77777777" w:rsidR="002400B4" w:rsidRDefault="002400B4" w:rsidP="00DA7639">
      <w:r>
        <w:t xml:space="preserve">2. </w:t>
      </w:r>
      <w:r>
        <w:t>El propietario de una embarcación marítima destinada a uso profesional de menos de 3000 GT, con una eslora entre perpendiculares de 24 metros o superior, que se ha construido antes del 1 de enero de 2018, y que se ha diseñado y construido y se emplea exclusivamente para transportar un máximo de 12 pasajeros, también podrá optar por que la embarcación en cuestión sea inspeccionada y certificada teniendo en cuenta el código LY2, a excepción de los capítulos 16.2.7, 21, 22 y 26 de ese código.».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B42FB55" w14:textId="77777777" w:rsidR="004E472D" w:rsidRDefault="004E472D" w:rsidP="00DA7639">
      <w:pPr/>
    </w:p>
    <w:p w14:paraId="03B0DF80" w14:textId="77777777" w:rsidR="00B94DA4" w:rsidRDefault="00E23482" w:rsidP="00DA7639">
      <w:pPr>
        <w:keepNext/>
        <w:keepLines/>
      </w:pPr>
      <w:r>
        <w:t>G</w:t>
      </w:r>
    </w:p>
    <w:p w14:paraId="337AE008" w14:textId="77777777" w:rsidR="00196DE9" w:rsidRDefault="00196DE9" w:rsidP="00DA7639">
      <w:pPr>
        <w:keepNext/>
        <w:keepLines/>
      </w:pPr>
      <w:r>
        <w:t>El artículo 13 se modifica como sigue:</w:t>
      </w:r>
    </w:p>
    <w:p w14:paraId="0BF16508" w14:textId="77777777" w:rsidR="00FA665B" w:rsidRDefault="00196DE9" w:rsidP="00DA7639">
      <w:r>
        <w:t xml:space="preserve">1) </w:t>
      </w:r>
      <w:r>
        <w:t xml:space="preserve">en el título, se sustituyen las palabras «transbordadores de carga rodada» por «buques de pasaje de transbordo rodado»; </w:t>
      </w:r>
    </w:p>
    <w:p w14:paraId="46BD9A61" w14:textId="77777777" w:rsidR="00FA665B" w:rsidRDefault="00FA665B" w:rsidP="00DA7639">
      <w:r>
        <w:t xml:space="preserve">2) </w:t>
      </w:r>
      <w:r>
        <w:t>el apartado 1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2D85719" w14:textId="77777777" w:rsidR="0079420A" w:rsidRDefault="0079420A" w:rsidP="00DA7639">
      <w:pPr/>
    </w:p>
    <w:p w14:paraId="70924E71" w14:textId="77777777" w:rsidR="00196DE9" w:rsidRDefault="0079420A" w:rsidP="00DA7639">
      <w:r>
        <w:t xml:space="preserve">«1. </w:t>
      </w:r>
      <w:r>
        <w:t xml:space="preserve">Los buques de pasaje de transbordo rodado y las naves de pasaje de gran velocidad contempladas en el artículo 2 de la Directiva (UE) 2017/2110, que operan un servicio regular entre un puerto de un Estado miembro cuyo pabellón enarbolen y el puerto de un tercer país, estarán sujetos a las inspecciones y los controles prescritos en los artículos 3, 4 y 5 de la Directiva (UE) 2017/2110.»;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7D848B3" w14:textId="77777777" w:rsidR="00FA665B" w:rsidRDefault="00FA665B" w:rsidP="00DA7639">
      <w:pPr/>
    </w:p>
    <w:p w14:paraId="7F69DA68" w14:textId="77777777" w:rsidR="00426D45" w:rsidRDefault="00FA665B" w:rsidP="00DA7639">
      <w:r>
        <w:t xml:space="preserve">3) </w:t>
      </w:r>
      <w:r>
        <w:t>el apartado 4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AECD0C1" w14:textId="77777777" w:rsidR="00426D45" w:rsidRDefault="00426D45" w:rsidP="00DA7639">
      <w:pPr/>
    </w:p>
    <w:p w14:paraId="0A113117" w14:textId="77777777" w:rsidR="00196DE9" w:rsidRDefault="00426D45" w:rsidP="00DA7639">
      <w:r>
        <w:t xml:space="preserve">«4. </w:t>
      </w:r>
      <w:r>
        <w:t>La aplicación de la Directiva (UE) 2017/2110 se realizará teniendo en cuenta los artículos 6, 7, 8, 9, 10 y 11 de dicha Directiva.».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09502F1" w14:textId="77777777" w:rsidR="00911101" w:rsidRDefault="00911101" w:rsidP="00DA7639">
      <w:pPr/>
    </w:p>
    <w:p w14:paraId="051C659C" w14:textId="77777777" w:rsidR="00EE216A" w:rsidRDefault="00E23482" w:rsidP="00DA7639">
      <w:pPr>
        <w:keepNext/>
        <w:keepLines/>
      </w:pPr>
      <w:r>
        <w:t>H</w:t>
      </w:r>
    </w:p>
    <w:p w14:paraId="2D72BD5B" w14:textId="77777777" w:rsidR="00F55CE4" w:rsidRDefault="00F55CE4" w:rsidP="00DA7639">
      <w:pPr>
        <w:keepNext/>
        <w:keepLines/>
      </w:pPr>
      <w:r>
        <w:t>El artículo 17 se modifica como sigue:</w:t>
      </w:r>
    </w:p>
    <w:p w14:paraId="25D721EE" w14:textId="77777777" w:rsidR="00AE2061" w:rsidRDefault="00F55CE4" w:rsidP="00DA7639">
      <w:r>
        <w:t xml:space="preserve">1) </w:t>
      </w:r>
      <w:r>
        <w:t>el título del artículo 17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93D6115" w14:textId="77777777" w:rsidR="00AE2061" w:rsidRDefault="00AE2061" w:rsidP="00DA7639">
      <w:pPr/>
    </w:p>
    <w:p w14:paraId="52C23041" w14:textId="77777777" w:rsidR="00AE2061" w:rsidRDefault="00AE2061" w:rsidP="00DA7639">
      <w:pPr>
        <w:keepNext/>
        <w:keepLines/>
        <w:rPr>
          <w:b/>
        </w:rPr>
      </w:pPr>
      <w:r>
        <w:rPr>
          <w:b w:val="0"/>
        </w:rPr>
        <w:t>«</w:t>
      </w:r>
      <w:r>
        <w:rPr>
          <w:b/>
        </w:rPr>
        <w:t xml:space="preserve">Artículo 17. </w:t>
      </w:r>
      <w:r>
        <w:rPr>
          <w:b/>
        </w:rPr>
        <w:t>Certificados para buques de pasaje de eslora igual o superior a 24 metros en navegación nacional (UE)</w:t>
      </w:r>
      <w:r>
        <w:rPr>
          <w:b w:val="0"/>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EC20E58" w14:textId="77777777" w:rsidR="00F55CE4" w:rsidRPr="00F55CE4" w:rsidRDefault="00F55CE4" w:rsidP="00DA7639">
      <w:pPr>
        <w:keepNext/>
        <w:keepLines/>
      </w:pPr>
    </w:p>
    <w:p w14:paraId="75AD32E9" w14:textId="77777777" w:rsidR="00F55CE4" w:rsidRPr="00F55CE4" w:rsidRDefault="00F55CE4" w:rsidP="00DA7639">
      <w:r>
        <w:t xml:space="preserve">2) </w:t>
      </w:r>
      <w:r>
        <w:t>en el apartado 1, se sustituyen las palabras «El certificado de seguridad para buques de pasaje» por las palabras «El certificado de seguridad para buques de pasaje de eslora igual o superior a 24 metros».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087190C" w14:textId="77777777" w:rsidR="00E23482" w:rsidRDefault="00E23482" w:rsidP="00DA7639">
      <w:pPr/>
    </w:p>
    <w:p w14:paraId="29D89357" w14:textId="77777777" w:rsidR="00E23482" w:rsidRDefault="00E23482" w:rsidP="00DA7639">
      <w:pPr>
        <w:keepNext/>
        <w:keepLines/>
      </w:pPr>
      <w:r>
        <w:t>I</w:t>
      </w:r>
    </w:p>
    <w:p w14:paraId="749929FF" w14:textId="749EA1AF" w:rsidR="00F86176" w:rsidRDefault="00F86176" w:rsidP="00DA7639">
      <w:r>
        <w:t xml:space="preserve">Después del artículo 18 </w:t>
      </w:r>
      <w:r>
        <w:rPr>
          <w:i w:val="1"/>
        </w:rPr>
        <w:t>quater</w:t>
      </w:r>
      <w:r>
        <w:t>, se añade un artículo con la siguiente redacción: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2ED2116" w14:textId="77777777" w:rsidR="00F86176" w:rsidRDefault="00F86176" w:rsidP="00DA7639">
      <w:pPr/>
    </w:p>
    <w:p w14:paraId="4E1B0FCD" w14:textId="09D080F3" w:rsidR="00F86176" w:rsidRDefault="00F86176" w:rsidP="00DA7639">
      <w:pPr>
        <w:keepNext/>
        <w:keepLines/>
        <w:rPr>
          <w:b/>
        </w:rPr>
      </w:pPr>
      <w:r>
        <w:rPr>
          <w:b w:val="0"/>
        </w:rPr>
        <w:t>«</w:t>
      </w:r>
      <w:r>
        <w:rPr>
          <w:b/>
        </w:rPr>
        <w:t xml:space="preserve">Artículo 18 </w:t>
      </w:r>
      <w:r>
        <w:rPr>
          <w:b/>
          <w:i w:val="1"/>
        </w:rPr>
        <w:t>quinquies.</w:t>
      </w:r>
      <w:r>
        <w:rPr>
          <w:b/>
        </w:rPr>
        <w:t xml:space="preserve"> </w:t>
      </w:r>
      <w:r>
        <w:rPr>
          <w:b/>
        </w:rPr>
        <w:t xml:space="preserve">Requisitos a los buques contemplados en el artículo 3 </w:t>
      </w:r>
      <w:r>
        <w:rPr>
          <w:b/>
          <w:i w:val="1"/>
        </w:rPr>
        <w:t>bis</w:t>
      </w:r>
      <w:r>
        <w:rPr>
          <w:b/>
        </w:rPr>
        <w:t>, apartado 1, letra 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F39F7E5" w14:textId="77777777" w:rsidR="00F86176" w:rsidRPr="00F86176" w:rsidRDefault="00F86176" w:rsidP="00DA7639">
      <w:pPr>
        <w:keepNext/>
        <w:keepLines/>
      </w:pPr>
    </w:p>
    <w:p w14:paraId="6DE816E2" w14:textId="011F863A" w:rsidR="00F86176" w:rsidRDefault="00F86176" w:rsidP="00DA7639">
      <w:r>
        <w:t xml:space="preserve">Los requisitos contemplados en el anexo 3 </w:t>
      </w:r>
      <w:r>
        <w:rPr>
          <w:i w:val="1"/>
        </w:rPr>
        <w:t>quinquies</w:t>
      </w:r>
      <w:r>
        <w:t xml:space="preserve"> se aplicarán a los buques en el sentido del artículo 3 </w:t>
      </w:r>
      <w:r>
        <w:rPr>
          <w:i w:val="1"/>
        </w:rPr>
        <w:t>bis</w:t>
      </w:r>
      <w:r>
        <w:t>, apartado 1, letra 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BC2BE54" w14:textId="77777777" w:rsidR="00F86176" w:rsidRDefault="00F86176" w:rsidP="00DA7639">
      <w:pPr/>
    </w:p>
    <w:p w14:paraId="790CA1CF" w14:textId="77777777" w:rsidR="009500A0" w:rsidRDefault="00E23482" w:rsidP="00DA7639">
      <w:pPr>
        <w:keepNext/>
        <w:keepLines/>
      </w:pPr>
      <w:r>
        <w:t>J</w:t>
      </w:r>
    </w:p>
    <w:p w14:paraId="74A887CB" w14:textId="77777777" w:rsidR="00261B4F" w:rsidRDefault="00261B4F" w:rsidP="00DA7639">
      <w:pPr>
        <w:keepNext/>
        <w:keepLines/>
      </w:pPr>
      <w:r>
        <w:t>El artículo 19 se modifica como sigue:</w:t>
      </w:r>
    </w:p>
    <w:p w14:paraId="006E71DC" w14:textId="77777777" w:rsidR="00261B4F" w:rsidRDefault="009500A0" w:rsidP="00DA7639">
      <w:r>
        <w:t xml:space="preserve">1) </w:t>
      </w:r>
      <w:r>
        <w:t>el título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812A2D2" w14:textId="77777777" w:rsidR="00261B4F" w:rsidRDefault="00261B4F" w:rsidP="00DA7639">
      <w:pPr/>
    </w:p>
    <w:p w14:paraId="6DFD17F9" w14:textId="77777777" w:rsidR="00261B4F" w:rsidRDefault="00261B4F" w:rsidP="00DA7639">
      <w:pPr>
        <w:rPr>
          <w:b/>
        </w:rPr>
      </w:pPr>
      <w:r>
        <w:rPr>
          <w:b w:val="0"/>
        </w:rPr>
        <w:t>«</w:t>
      </w:r>
      <w:r>
        <w:rPr>
          <w:b/>
        </w:rPr>
        <w:t xml:space="preserve">Artículo 19. </w:t>
      </w:r>
      <w:r>
        <w:rPr>
          <w:b/>
        </w:rPr>
        <w:t>Requisitos para buques de pasaje de eslora igual o superior a 24 metros en navegación nacional (UE)</w:t>
      </w:r>
      <w:r>
        <w:rPr>
          <w:b w:val="0"/>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18D8DF4" w14:textId="77777777" w:rsidR="00F55CE4" w:rsidRDefault="00F55CE4" w:rsidP="00DA7639">
      <w:pPr>
        <w:rPr>
          <w:b/>
        </w:rPr>
      </w:pPr>
    </w:p>
    <w:p w14:paraId="4E8B8775" w14:textId="0020C76D" w:rsidR="00BB061F" w:rsidRDefault="00F55CE4" w:rsidP="00DA7639">
      <w:pPr>
        <w:keepNext/>
        <w:keepLines/>
      </w:pPr>
      <w:r>
        <w:t xml:space="preserve">2) </w:t>
      </w:r>
      <w:r>
        <w:t>el apartado 1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9D867B9" w14:textId="77777777" w:rsidR="00BB061F" w:rsidRDefault="00BB061F" w:rsidP="00DA7639">
      <w:pPr>
        <w:keepNext/>
        <w:keepLines/>
      </w:pPr>
    </w:p>
    <w:p w14:paraId="5E100457" w14:textId="77777777" w:rsidR="00BB061F" w:rsidRDefault="00BB061F" w:rsidP="00DA7639">
      <w:r>
        <w:t xml:space="preserve">«1. </w:t>
      </w:r>
      <w:r>
        <w:t>Un buque de pasaje para el que se requiere el certificado de seguridad para buques de pasaje de eslora igual o superior a 24 metros según la Directiva 2009/45/CE cumplirá los requisitos aplicables a esta embarcación de conformidad con el artículo 6, apartados 1 a 3 y apartados 5 a 7, de la Directiva.»;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783592B" w14:textId="77777777" w:rsidR="00BB061F" w:rsidRDefault="00BB061F" w:rsidP="00DA7639">
      <w:pPr/>
    </w:p>
    <w:p w14:paraId="75009F1C" w14:textId="77777777" w:rsidR="009500A0" w:rsidRPr="009500A0" w:rsidRDefault="00642A43" w:rsidP="00DA7639">
      <w:r>
        <w:t xml:space="preserve">3) </w:t>
      </w:r>
      <w:r>
        <w:t xml:space="preserve">en el apartado 2 se sustituyen las palabras «artículo 4, apartado 2» por las palabras «artículo 4, apartado 1», y se añade una oración con la siguiente redacción: </w:t>
      </w:r>
      <w:r>
        <w:t>«El límite interior de la zona marítima más próximo a la línea de la costa se determinará con arreglo a la Ley de fronteras del mar territorial neerlandés.».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3E4E2DE" w14:textId="77777777" w:rsidR="00261B4F" w:rsidRDefault="00261B4F" w:rsidP="00DA7639">
      <w:pPr/>
    </w:p>
    <w:p w14:paraId="6EE0357D" w14:textId="77777777" w:rsidR="005E6E1F" w:rsidRDefault="00001D5C" w:rsidP="00DA7639">
      <w:pPr>
        <w:keepNext/>
        <w:keepLines/>
      </w:pPr>
      <w:r>
        <w:t>K</w:t>
      </w:r>
    </w:p>
    <w:p w14:paraId="2A70EA42" w14:textId="77777777" w:rsidR="009E1D36" w:rsidRDefault="009E1D36" w:rsidP="00DA7639">
      <w:r>
        <w:t>En el artículo 22, apartado 4, se suprimen las palabras «de eslora inferior a 24 metros».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8D7A48B" w14:textId="77777777" w:rsidR="004C66C3" w:rsidRDefault="004C66C3" w:rsidP="00DA7639">
      <w:pPr/>
    </w:p>
    <w:p w14:paraId="13D035AD" w14:textId="77777777" w:rsidR="00A2653E" w:rsidRPr="00F423F6" w:rsidRDefault="00001D5C" w:rsidP="00DA7639">
      <w:pPr>
        <w:keepNext/>
        <w:keepLines/>
      </w:pPr>
      <w:r>
        <w:t>L</w:t>
      </w:r>
    </w:p>
    <w:p w14:paraId="35A7E4C5" w14:textId="77777777" w:rsidR="00A2653E" w:rsidRDefault="00D14D8A" w:rsidP="00DA7639">
      <w:r>
        <w:t>En el artículo 38, apartado 2, se suprimen las palabras «punto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50038E1" w14:textId="77777777" w:rsidR="00A2653E" w:rsidRDefault="00A2653E" w:rsidP="00DA7639">
      <w:pPr/>
    </w:p>
    <w:p w14:paraId="7492C502" w14:textId="77777777" w:rsidR="00C815C1" w:rsidRDefault="00001D5C" w:rsidP="00DA7639">
      <w:pPr>
        <w:keepNext/>
        <w:keepLines/>
      </w:pPr>
      <w:r>
        <w:t>M</w:t>
      </w:r>
    </w:p>
    <w:p w14:paraId="3D9CE38D" w14:textId="77777777" w:rsidR="00A4686D" w:rsidRDefault="00642A43" w:rsidP="00DA7639">
      <w:pPr>
        <w:keepNext/>
        <w:keepLines/>
      </w:pPr>
      <w:r>
        <w:t>El artículo 47 se modifica como sigue:</w:t>
      </w:r>
    </w:p>
    <w:p w14:paraId="46D25B95" w14:textId="77777777" w:rsidR="00C815C1" w:rsidRDefault="00642A43" w:rsidP="00DA7639">
      <w:r>
        <w:t xml:space="preserve">1) </w:t>
      </w:r>
      <w:r>
        <w:t>el título del artículo 47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F104849" w14:textId="77777777" w:rsidR="00C815C1" w:rsidRDefault="00C815C1" w:rsidP="00DA7639">
      <w:pPr/>
    </w:p>
    <w:p w14:paraId="7EB1D43C" w14:textId="77777777" w:rsidR="00C815C1" w:rsidRDefault="00C815C1" w:rsidP="00DA7639">
      <w:pPr>
        <w:keepNext/>
        <w:keepLines/>
        <w:rPr>
          <w:b/>
        </w:rPr>
      </w:pPr>
      <w:r>
        <w:rPr>
          <w:b w:val="0"/>
        </w:rPr>
        <w:t>«</w:t>
      </w:r>
      <w:r>
        <w:rPr>
          <w:b/>
        </w:rPr>
        <w:t xml:space="preserve">Artículo 47. </w:t>
      </w:r>
      <w:r>
        <w:rPr>
          <w:b/>
        </w:rPr>
        <w:t>Disposiciones para buques de pasaje de eslora igual o superior a 24 metros en navegación nacional (UE)</w:t>
      </w:r>
      <w:r>
        <w:rPr>
          <w:b w:val="0"/>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727F916" w14:textId="77777777" w:rsidR="00642A43" w:rsidRDefault="00642A43" w:rsidP="00DA7639">
      <w:pPr>
        <w:keepNext/>
        <w:keepLines/>
        <w:rPr>
          <w:b/>
        </w:rPr>
      </w:pPr>
    </w:p>
    <w:p w14:paraId="238B7B10" w14:textId="51465830" w:rsidR="00642A43" w:rsidRPr="00642A43" w:rsidRDefault="00642A43" w:rsidP="00DA7639">
      <w:r>
        <w:t xml:space="preserve">2) </w:t>
      </w:r>
      <w:r>
        <w:t>se sustituyen las palabras «el certificado de seguridad para buques de pasaje» por las palabras «el certificado de seguridad para buques de pasaje de eslora igual o superior a 24 metros».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8FCE5E3" w14:textId="77777777" w:rsidR="00952F51" w:rsidRDefault="00952F51" w:rsidP="00DA7639">
      <w:pPr>
        <w:rPr>
          <w:b/>
        </w:rPr>
      </w:pPr>
    </w:p>
    <w:p w14:paraId="590BFD78" w14:textId="77777777" w:rsidR="00196DE9" w:rsidRPr="00196DE9" w:rsidRDefault="00001D5C" w:rsidP="00DA7639">
      <w:pPr>
        <w:keepNext/>
        <w:keepLines/>
      </w:pPr>
      <w:r>
        <w:t>N</w:t>
      </w:r>
    </w:p>
    <w:p w14:paraId="3C07D3CA" w14:textId="77777777" w:rsidR="008035E0" w:rsidRDefault="00A970BC" w:rsidP="00DA7639">
      <w:r>
        <w:t>En el artículo 57, apartado 1, se suprime la indicación «13».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354B524" w14:textId="77777777" w:rsidR="008035E0" w:rsidRDefault="008035E0" w:rsidP="00DA7639">
      <w:pPr/>
    </w:p>
    <w:p w14:paraId="33B5E7DE" w14:textId="77777777" w:rsidR="009500A0" w:rsidRDefault="00001D5C" w:rsidP="00DA7639">
      <w:pPr>
        <w:keepNext/>
        <w:keepLines/>
      </w:pPr>
      <w:r>
        <w:t>O</w:t>
      </w:r>
    </w:p>
    <w:p w14:paraId="648CF58E" w14:textId="77777777" w:rsidR="00326A0E" w:rsidRDefault="00594F7E" w:rsidP="00DA7639">
      <w:r>
        <w:t xml:space="preserve">En el artículo 58, se suprime la letra b) al renombrar la letra c) y la letra d) como letra b) y letra c).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EB5347C" w14:textId="77777777" w:rsidR="009500A0" w:rsidRDefault="009500A0" w:rsidP="00DA7639">
      <w:pPr/>
    </w:p>
    <w:p w14:paraId="7E9B5D7A" w14:textId="77777777" w:rsidR="00616CA6" w:rsidRPr="008D61A9" w:rsidRDefault="00616CA6" w:rsidP="00DA7639">
      <w:pPr>
        <w:keepNext/>
        <w:keepLines/>
      </w:pPr>
      <w:r>
        <w:t xml:space="preserve">P </w:t>
      </w:r>
    </w:p>
    <w:p w14:paraId="48DADB83" w14:textId="7E518CEE" w:rsidR="00E3773B" w:rsidRPr="008D61A9" w:rsidRDefault="00E3773B" w:rsidP="00DA7639">
      <w:pPr>
        <w:keepNext/>
        <w:keepLines/>
      </w:pPr>
      <w:r>
        <w:t>El artículo 62, apartado 2,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99888EA" w14:textId="5E39B872" w:rsidR="00E3773B" w:rsidRPr="008D61A9" w:rsidRDefault="00E3773B" w:rsidP="00DA7639">
      <w:pPr>
        <w:keepNext/>
        <w:keepLines/>
        <w:rPr>
          <w:highlight w:val="cyan"/>
        </w:rPr>
      </w:pPr>
    </w:p>
    <w:p w14:paraId="1D98690A" w14:textId="55805B5B" w:rsidR="00E3773B" w:rsidRDefault="00E3773B" w:rsidP="00DA7639">
      <w:r>
        <w:t xml:space="preserve">«2. </w:t>
      </w:r>
      <w:r>
        <w:t>No obstante lo dispuesto en el artículo 33, un equipo de un tipo homologado por el director de la Inspección de la Navegación, al cual se le puedan aplicar las disposiciones de la Directiva 2014/90/UE a resultas de la entrada en vigor del Reglamento de Ejecución sobre equipos marinos, podrá permanecer instalado a bordo de buques durante un período de tres años calculado a partir de la fecha de entrada en vigor, siempre que se haya fabricado antes de esa fecha y la homologación también se le haya concedido antes de ese día.».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5792B23" w14:textId="77777777" w:rsidR="00E3773B" w:rsidRDefault="00E3773B" w:rsidP="00DA7639">
      <w:pPr/>
    </w:p>
    <w:p w14:paraId="42C1C933" w14:textId="77777777" w:rsidR="0033066C" w:rsidRDefault="0033066C" w:rsidP="00DA7639">
      <w:pPr>
        <w:keepNext/>
        <w:keepLines/>
      </w:pPr>
      <w:r>
        <w:t>Q</w:t>
      </w:r>
    </w:p>
    <w:p w14:paraId="3D13BD1B" w14:textId="6A639393" w:rsidR="009E74B5" w:rsidRDefault="009E74B5" w:rsidP="00DA7639">
      <w:r>
        <w:t xml:space="preserve">Después del anexo 3 </w:t>
      </w:r>
      <w:r>
        <w:rPr>
          <w:i w:val="1"/>
        </w:rPr>
        <w:t>quater</w:t>
      </w:r>
      <w:r>
        <w:t xml:space="preserve"> se añade un anexo cuyo contenido se reproduce en el anexo 3 </w:t>
      </w:r>
      <w:r>
        <w:rPr>
          <w:i w:val="1"/>
        </w:rPr>
        <w:t>quinquies</w:t>
      </w:r>
      <w:r>
        <w:t xml:space="preserve"> incorporado en el anexo I de esta Orden.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94A9099" w14:textId="77777777" w:rsidR="009E74B5" w:rsidRDefault="009E74B5" w:rsidP="00DA7639">
      <w:pPr/>
    </w:p>
    <w:p w14:paraId="7C9A049C" w14:textId="46A4E694" w:rsidR="009E74B5" w:rsidRDefault="0033066C" w:rsidP="00DA7639">
      <w:pPr>
        <w:keepNext/>
        <w:keepLines/>
      </w:pPr>
      <w:r>
        <w:t>R</w:t>
      </w:r>
    </w:p>
    <w:p w14:paraId="3BAFDC5E" w14:textId="77777777" w:rsidR="0082596A" w:rsidRPr="001F5913" w:rsidRDefault="0082596A" w:rsidP="00DA7639">
      <w:r>
        <w:t>El anexo 4 se sustituye por el anexo 4 incorporado en el anexo II de la presente Orden.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4A5DA30" w14:textId="77777777" w:rsidR="008035E0" w:rsidRDefault="008035E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E1B486D" w14:textId="77777777" w:rsidR="00D50BE1" w:rsidRDefault="00D50BE1" w:rsidP="00DA7639">
      <w:pPr>
        <w:rPr>
          <w:i/>
        </w:rPr>
      </w:pPr>
    </w:p>
    <w:p w14:paraId="49B04DB0" w14:textId="0DE2BA8C" w:rsidR="001F5913" w:rsidRDefault="006C2796" w:rsidP="00DA7639">
      <w:pPr>
        <w:keepNext/>
        <w:keepLines/>
        <w:rPr>
          <w:i/>
        </w:rPr>
      </w:pPr>
      <w:r>
        <w:rPr>
          <w:i/>
        </w:rPr>
        <w:t xml:space="preserve">Artículo II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0442C09" w14:textId="48C49949" w:rsidR="000F5B90" w:rsidRDefault="000F5B90" w:rsidP="00DA7639">
      <w:pPr>
        <w:keepNext/>
        <w:keepLines/>
        <w:rPr>
          <w:i/>
        </w:rPr>
      </w:pPr>
    </w:p>
    <w:p w14:paraId="39396F05" w14:textId="098233DA" w:rsidR="000F5B90" w:rsidRPr="008D61A9" w:rsidRDefault="000F5B90" w:rsidP="00DA7639">
      <w:r>
        <w:t>La Orden para la prevención de la contaminación por los buques se modifica como se indica a continuación.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30BE5F8" w14:textId="3673B393" w:rsidR="000F5B90" w:rsidRPr="008D61A9" w:rsidRDefault="000F5B90" w:rsidP="00DA7639">
      <w:pPr/>
    </w:p>
    <w:p w14:paraId="0FBCD7D6" w14:textId="22FA0FCE" w:rsidR="000F5B90" w:rsidRPr="008D61A9" w:rsidRDefault="000F5B90" w:rsidP="00DA7639">
      <w:pPr>
        <w:keepNext/>
        <w:keepLines/>
      </w:pPr>
      <w:r>
        <w:t xml:space="preserve">A </w:t>
      </w:r>
    </w:p>
    <w:p w14:paraId="6DC8406E" w14:textId="5925E8AB" w:rsidR="007C5256" w:rsidRPr="008D61A9" w:rsidRDefault="00D50BE1" w:rsidP="00DA7639">
      <w:r>
        <w:t>En el artículo 1, tras sustituir el punto al final de la letra s) por un punto y coma, se añade una letra con la siguiente redacción: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DEEC5BB" w14:textId="77777777" w:rsidR="007C5256" w:rsidRPr="00D50BE1" w:rsidRDefault="007C5256" w:rsidP="00DA7639">
      <w:pPr>
        <w:rPr>
          <w:highlight w:val="cyan"/>
        </w:rPr>
      </w:pPr>
    </w:p>
    <w:p w14:paraId="6E3D186A" w14:textId="09462E4B" w:rsidR="000F5B90" w:rsidRPr="00D50BE1" w:rsidRDefault="007C5256" w:rsidP="00DA7639">
      <w:pPr>
        <w:rPr>
          <w:highlight w:val="cyan"/>
        </w:rPr>
      </w:pPr>
      <w:r>
        <w:t xml:space="preserve">«t) </w:t>
      </w:r>
      <w:r>
        <w:rPr>
          <w:i/>
        </w:rPr>
        <w:t>Reglamento de Ejecución de equipos marinos</w:t>
      </w:r>
      <w:r>
        <w:t>: acto de ejecución de la Comisión Europea sobre los requisitos de diseño, construcción y rendimiento y las normas de ensayo para equipos marinos, en el sentido del artículo 35, apartado 2, de la Directiva 2014/90/UE.».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1435718" w14:textId="1C0665A9" w:rsidR="007C5256" w:rsidRPr="00D50BE1" w:rsidRDefault="007C5256" w:rsidP="00DA7639">
      <w:pPr>
        <w:rPr>
          <w:highlight w:val="cyan"/>
        </w:rPr>
      </w:pPr>
    </w:p>
    <w:p w14:paraId="3C76CBE0" w14:textId="151FAC90" w:rsidR="007C5256" w:rsidRPr="00D50BE1" w:rsidRDefault="007C5256" w:rsidP="00DA7639">
      <w:pPr>
        <w:keepNext/>
        <w:keepLines/>
      </w:pPr>
      <w:r>
        <w:t>B</w:t>
      </w:r>
    </w:p>
    <w:p w14:paraId="17428393" w14:textId="07B34AB0" w:rsidR="007C5256" w:rsidRDefault="007C5256" w:rsidP="00DA7639">
      <w:r>
        <w:t>El artículo 17, apartado 2, se reformula como sigue: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444E5C2" w14:textId="11FC60B2" w:rsidR="00D50BE1" w:rsidRDefault="00D50BE1" w:rsidP="00DA7639">
      <w:pPr/>
    </w:p>
    <w:p w14:paraId="1A163F51" w14:textId="1F47535D" w:rsidR="00D50BE1" w:rsidRPr="00D50BE1" w:rsidRDefault="00D50BE1" w:rsidP="00DA7639">
      <w:r>
        <w:t xml:space="preserve">«2. </w:t>
      </w:r>
      <w:r>
        <w:t>No obstante lo dispuesto en el artículo 7, un equipo de un tipo homologado por el director de la Inspección de la Navegación, al cual se le puedan aplicar las disposiciones de la Directiva 2014/90/UE a resultas de la entrada en vigor del Reglamento de Ejecución sobre equipos marinos, podrá permanecer instalado a bordo de buques durante un período de tres años calculado a partir de la fecha de entrada en vigor, siempre que se haya fabricado antes de esa fecha y la homologación también se le haya concedido antes de ese día.».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DBE57CC" w14:textId="77777777" w:rsidR="007C5256" w:rsidRPr="00D50BE1" w:rsidRDefault="007C5256" w:rsidP="00DA7639">
      <w:pPr>
        <w:rPr>
          <w:highlight w:val="cyan"/>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BA12225" w14:textId="1FB9941D" w:rsidR="001F5913" w:rsidRDefault="001F5913" w:rsidP="00DA7639">
      <w:pPr/>
    </w:p>
    <w:p w14:paraId="2D73DCE6" w14:textId="58644CF7" w:rsidR="007C5256" w:rsidRDefault="007C5256" w:rsidP="00DA7639">
      <w:pPr>
        <w:keepNext/>
        <w:keepLines/>
        <w:rPr>
          <w:i/>
        </w:rPr>
      </w:pPr>
      <w:r>
        <w:rPr>
          <w:i/>
        </w:rPr>
        <w:t>Artículo III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618B3C5" w14:textId="77777777" w:rsidR="007C5256" w:rsidRPr="007C5256" w:rsidRDefault="007C5256" w:rsidP="00DA7639">
      <w:pPr>
        <w:keepNext/>
        <w:keepLines/>
        <w:rPr>
          <w:i/>
        </w:rPr>
      </w:pPr>
    </w:p>
    <w:p w14:paraId="3FA7AAAD" w14:textId="77777777" w:rsidR="001F5913" w:rsidRDefault="001F5913" w:rsidP="00DA7639">
      <w:r>
        <w:t>La presente Orden entrará en vigor el 21 de diciembre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059CCA4" w14:textId="1B8A2363"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7C43E4"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E993BD0"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C12B466"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2EDD7F4"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1A01AB"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4309697"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551612C"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03A289" w14:textId="77777777" w:rsidR="008A3C50" w:rsidRDefault="008A3C50"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7A156B3" w14:textId="77777777" w:rsidR="00552AF4" w:rsidRDefault="00552AF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F7864A" w14:textId="77777777" w:rsidR="00552AF4" w:rsidRDefault="00552AF4" w:rsidP="00DA7639">
      <w:pPr/>
    </w:p>
    <w:p w14:paraId="43453AC6" w14:textId="77777777" w:rsidR="00DA7639" w:rsidRDefault="009A501E" w:rsidP="00DA7639">
      <w:r>
        <w:t>La presente Orden y la exposición de motivos se publicarán en el Boletín Oficial del Gobierno.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03914ED"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C38A42" w14:textId="77777777" w:rsidR="00DA7639" w:rsidRDefault="00DA7639" w:rsidP="00DA7639">
      <w:pPr/>
    </w:p>
    <w:p w14:paraId="49D53E65" w14:textId="77777777" w:rsidR="00DA7639" w:rsidRDefault="009A501E" w:rsidP="00DA7639">
      <w:r>
        <w:t>LA MINISTRA DE INFRAESTRUCTURAS Y GESTIÓN DEL AGUA,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6A8536F"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E90973C"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9D19402"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2C83B86"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FE0381E"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202F6C" w14:textId="77777777" w:rsidR="00DA7639" w:rsidRDefault="00DA7639"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0C806DE" w14:textId="77777777" w:rsidR="00DA7639" w:rsidRDefault="00DA7639" w:rsidP="00DA7639">
      <w:pPr/>
    </w:p>
    <w:p w14:paraId="1E4B8265" w14:textId="24BC5B2D" w:rsidR="00C23798" w:rsidRDefault="009A501E" w:rsidP="00DA7639">
      <w:r>
        <w:t>C. van Nieuwenhuizen Wijbenga</w:t>
      </w:r>
    </w:p>
    <w:p w14:paraId="69028FBB" w14:textId="77777777" w:rsidR="00DA7639" w:rsidRDefault="001F5913" w:rsidP="00DA7639">
      <w:pPr>
        <w:keepNext/>
        <w:keepLines/>
        <w:pageBreakBefore/>
        <w:rPr>
          <w:b/>
        </w:rPr>
      </w:pPr>
      <w:r>
        <w:rPr>
          <w:b/>
        </w:rPr>
        <w:t>Anexo I, correspondiente al artículo I, parte Q</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C2C01C5" w14:textId="77777777" w:rsidR="001F5913" w:rsidRDefault="001F5913" w:rsidP="00DA7639">
      <w:pPr>
        <w:keepNext/>
        <w:keepLines/>
        <w:rPr>
          <w:b/>
        </w:rPr>
      </w:pPr>
    </w:p>
    <w:p w14:paraId="0F4CA050" w14:textId="7BB2168E" w:rsidR="001F5913" w:rsidRPr="001F5913" w:rsidRDefault="001F5913" w:rsidP="00DA7639">
      <w:pPr>
        <w:keepNext/>
        <w:keepLines/>
        <w:rPr>
          <w:b/>
        </w:rPr>
      </w:pPr>
      <w:r>
        <w:rPr>
          <w:b/>
        </w:rPr>
        <w:t xml:space="preserve">Anexo 3 </w:t>
      </w:r>
      <w:r>
        <w:rPr>
          <w:b/>
          <w:i w:val="1"/>
        </w:rPr>
        <w:t>quinquies</w:t>
      </w:r>
      <w:r>
        <w:rPr>
          <w:b/>
        </w:rPr>
        <w:t xml:space="preserve"> correspondiente al artículo 18 </w:t>
      </w:r>
      <w:r>
        <w:rPr>
          <w:b/>
          <w:i w:val="1"/>
        </w:rPr>
        <w:t>quinquies</w:t>
      </w:r>
      <w:r>
        <w:rPr>
          <w:b/>
        </w:rPr>
        <w:t xml:space="preserve"> de la Orden sobre la seguridad de los buques marítimos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9AEC3F4" w14:textId="77777777" w:rsidR="001F5913" w:rsidRDefault="001F5913" w:rsidP="00DA7639">
      <w:pPr>
        <w:keepNext/>
        <w:keepLines/>
      </w:pPr>
    </w:p>
    <w:p w14:paraId="10A02589" w14:textId="7D05F85B" w:rsidR="00261D19" w:rsidRDefault="00261D19" w:rsidP="00DA7639">
      <w:pPr>
        <w:keepNext/>
        <w:keepLines/>
        <w:rPr>
          <w:b/>
        </w:rPr>
      </w:pPr>
      <w:r>
        <w:rPr>
          <w:b/>
        </w:rPr>
        <w:t xml:space="preserve">Requisitos para buques contemplados en el artículo 3 </w:t>
      </w:r>
      <w:r>
        <w:rPr>
          <w:b/>
          <w:i w:val="1"/>
        </w:rPr>
        <w:t>bis</w:t>
      </w:r>
      <w:r>
        <w:rPr>
          <w:b/>
        </w:rPr>
        <w:t>, apartado 1, letra 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ACCAD97" w14:textId="77777777" w:rsidR="00261D19" w:rsidRPr="00261D19" w:rsidRDefault="00261D19" w:rsidP="00DA7639">
      <w:pPr>
        <w:keepNext/>
        <w:keepLines/>
        <w:rPr>
          <w:b/>
        </w:rPr>
      </w:pPr>
    </w:p>
    <w:p w14:paraId="492C7C3B" w14:textId="4B163EE7" w:rsidR="00261D19" w:rsidRDefault="005B459C" w:rsidP="00DA7639">
      <w:r>
        <w:t xml:space="preserve">Los buques contemplados en el artículo 3 </w:t>
      </w:r>
      <w:r>
        <w:rPr>
          <w:i w:val="1"/>
        </w:rPr>
        <w:t>bis</w:t>
      </w:r>
      <w:r>
        <w:t>, apartado 1, letra h), cumplen los requisitos que se indican a continuación.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AA6BF5F" w14:textId="77777777" w:rsidR="005B459C" w:rsidRDefault="005B459C" w:rsidP="00DA7639">
      <w:pPr/>
    </w:p>
    <w:p w14:paraId="7A08747A" w14:textId="77777777" w:rsidR="00261D19" w:rsidRDefault="00200801" w:rsidP="00DA7639">
      <w:pPr>
        <w:keepNext/>
        <w:keepLines/>
        <w:rPr>
          <w:b/>
        </w:rPr>
      </w:pPr>
      <w:r>
        <w:rPr>
          <w:b/>
        </w:rPr>
        <w:t xml:space="preserve">Apartado 1. </w:t>
      </w:r>
      <w:r>
        <w:rPr>
          <w:b/>
        </w:rPr>
        <w:t>Generalidades</w:t>
      </w:r>
    </w:p>
    <w:p w14:paraId="31696BC6" w14:textId="40D9B46C" w:rsidR="003C4702" w:rsidRDefault="003C4702" w:rsidP="00DA7639">
      <w:r>
        <w:t>Cuando se hace referencia a la clase B, C o D, se alude a las zonas marítimas indicadas en el artículo 4 de la Directiva 2009/45/CE.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45863B9" w14:textId="77777777" w:rsidR="003C4702" w:rsidRDefault="003C4702" w:rsidP="00DA7639">
      <w:pPr/>
    </w:p>
    <w:p w14:paraId="3DF66D0D" w14:textId="77777777" w:rsidR="00BB0D65" w:rsidRDefault="00200801" w:rsidP="00DA7639">
      <w:pPr>
        <w:keepNext/>
        <w:keepLines/>
        <w:rPr>
          <w:b/>
        </w:rPr>
      </w:pPr>
      <w:r>
        <w:rPr>
          <w:b/>
        </w:rPr>
        <w:t xml:space="preserve">Apartado 2. </w:t>
      </w:r>
      <w:r>
        <w:rPr>
          <w:b/>
        </w:rPr>
        <w:t>Requisitos técnicos aplicables al buque</w:t>
      </w:r>
    </w:p>
    <w:p w14:paraId="31C25215" w14:textId="77777777" w:rsidR="003C4702" w:rsidRPr="00BB0D65" w:rsidRDefault="00BB0D65" w:rsidP="00DA7639">
      <w:pPr>
        <w:keepNext/>
        <w:keepLines/>
      </w:pPr>
      <w:r>
        <w:t xml:space="preserve">A. Aplicación de la Directiva 2009/45/CE: </w:t>
      </w:r>
    </w:p>
    <w:p w14:paraId="06D3B89D" w14:textId="77777777" w:rsidR="00D65D31" w:rsidRDefault="00BB0D65" w:rsidP="00DA7639">
      <w:r>
        <w:t xml:space="preserve">1. </w:t>
      </w:r>
      <w:r>
        <w:t xml:space="preserve">La Directiva 2009/45/CE se aplicará </w:t>
      </w:r>
      <w:r>
        <w:rPr>
          <w:i w:val="1"/>
        </w:rPr>
        <w:t>mutatis mutandis</w:t>
      </w:r>
      <w:r>
        <w:t xml:space="preserve"> teniendo en cuenta las adiciones y las excepciones de la sección B de este apartado.</w:t>
      </w:r>
    </w:p>
    <w:p w14:paraId="035E0F5E" w14:textId="77777777" w:rsidR="00D65D31" w:rsidRPr="000320F6" w:rsidRDefault="00D65D31" w:rsidP="00DA7639">
      <w:r>
        <w:t xml:space="preserve">2. </w:t>
      </w:r>
      <w:r>
        <w:t xml:space="preserve">Los requisitos para buques nuevos según el artículo 2, letra h), de la Directiva 2009/45/CE se aplicarán </w:t>
      </w:r>
      <w:r>
        <w:rPr>
          <w:i w:val="1"/>
        </w:rPr>
        <w:t>mutatis mutandis</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A8042B1" w14:textId="77777777" w:rsidR="003C4702" w:rsidRPr="003C4702" w:rsidRDefault="003C4702" w:rsidP="00DA7639">
      <w:pPr>
        <w:rPr>
          <w:b/>
        </w:rPr>
      </w:pPr>
    </w:p>
    <w:p w14:paraId="358B6D53" w14:textId="77777777" w:rsidR="00AD2B48" w:rsidRPr="00BB0D65" w:rsidRDefault="00BB0D65" w:rsidP="00DA7639">
      <w:pPr>
        <w:keepNext/>
        <w:keepLines/>
      </w:pPr>
      <w:r>
        <w:t xml:space="preserve">B. Adiciones y excepciones a la Directiva 2009/45/CE </w:t>
      </w:r>
    </w:p>
    <w:p w14:paraId="40EDC7A5" w14:textId="77777777" w:rsidR="00261D19" w:rsidRDefault="003504DB" w:rsidP="00DA7639">
      <w:r>
        <w:t xml:space="preserve">1. </w:t>
      </w:r>
      <w:r>
        <w:t>Se proveerán a los buques los medios, equipos y accesorios de una carga de trabajo suficientemente segura que les permita realizar todas las operaciones de remolque y amarre relacionadas con las operaciones normales del buque.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10CB25" w14:textId="77777777" w:rsidR="005D7490" w:rsidRDefault="005D7490" w:rsidP="00DA7639">
      <w:pPr/>
    </w:p>
    <w:p w14:paraId="084E5237" w14:textId="77777777" w:rsidR="00261D19" w:rsidRDefault="00260FF1" w:rsidP="00DA7639">
      <w:r>
        <w:t xml:space="preserve">2. </w:t>
      </w:r>
      <w:r>
        <w:t xml:space="preserve">En cuanto al francobordo y a la marca de línea de carga se aplicarán </w:t>
      </w:r>
      <w:r>
        <w:rPr>
          <w:i w:val="1"/>
        </w:rPr>
        <w:t>mutatis mutandis</w:t>
      </w:r>
      <w:r>
        <w:t xml:space="preserve"> los requisitos del Convenio sobre líneas de carga. </w:t>
      </w:r>
      <w:r>
        <w:t>A efectos de aplicación del Convenio sobre líneas de carga, un buque de pasaje de una eslora inferior a 24 metros se equipará a un buque de pasaje de una eslora de 24 metros.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B4C08D" w14:textId="77777777" w:rsidR="003504DB" w:rsidRDefault="003504DB" w:rsidP="00DA7639">
      <w:pPr/>
    </w:p>
    <w:p w14:paraId="144BC062" w14:textId="7AEB7D54" w:rsidR="00AD2B48" w:rsidRDefault="00260FF1" w:rsidP="00DA7639">
      <w:r>
        <w:t xml:space="preserve">3. </w:t>
      </w:r>
      <w:r>
        <w:t xml:space="preserve">Respecto a la estabilidad sin avería, el compartimentado y la estabilidad en avería, los requisitos recogidos en el anexo I, capítulo II-1, parte B-2, de la Directiva 2009/45/CE se aplican </w:t>
      </w:r>
      <w:r>
        <w:rPr>
          <w:i w:val="1"/>
        </w:rPr>
        <w:t>mutatis mutandis</w:t>
      </w:r>
      <w:r>
        <w:t xml:space="preserve"> para los buques de clase B, C y D de eslora inferior a 24 metros con las adiciones y excepciones que se detallan a continuación: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9203D4E" w14:textId="77777777" w:rsidR="005D7490" w:rsidRDefault="005D7490" w:rsidP="00DA7639">
      <w:pPr/>
    </w:p>
    <w:p w14:paraId="24DC9AAD" w14:textId="77777777" w:rsidR="00570A25" w:rsidRDefault="009E00F7" w:rsidP="00DA7639">
      <w:pPr>
        <w:keepNext/>
        <w:keepLines/>
      </w:pPr>
      <w:r>
        <w:t>Aberturas en los mamparos estancos:</w:t>
      </w:r>
    </w:p>
    <w:p w14:paraId="3E26A14F" w14:textId="77777777" w:rsidR="00570A25" w:rsidRDefault="001276DC" w:rsidP="00DA7639">
      <w:r>
        <w:t xml:space="preserve">a) </w:t>
      </w:r>
      <w:r>
        <w:t xml:space="preserve">los buques de las clases B, C y D de eslora inferior a 24 metros quedarán exentos de la aplicación </w:t>
      </w:r>
      <w:r>
        <w:rPr>
          <w:i w:val="1"/>
        </w:rPr>
        <w:t>mutatis mutandis</w:t>
      </w:r>
      <w:r>
        <w:t xml:space="preserve"> de los siguientes requisitos del anexo I de la Directiva 2009/45/CE: </w:t>
      </w:r>
    </w:p>
    <w:p w14:paraId="6B0731F5" w14:textId="77777777" w:rsidR="00570A25" w:rsidRDefault="00D71F28" w:rsidP="00DA7639">
      <w:r>
        <w:t>1) disposiciones 13.5.1, parte 2, 13.5.4, 13.5.5;</w:t>
      </w:r>
    </w:p>
    <w:p w14:paraId="0E14712E" w14:textId="77777777" w:rsidR="00B8780B" w:rsidRPr="001276DC" w:rsidRDefault="00D71F28" w:rsidP="00DA7639">
      <w:r>
        <w:t>2) disposición 13.6.2;</w:t>
      </w:r>
    </w:p>
    <w:p w14:paraId="414697DA" w14:textId="77777777" w:rsidR="00570A25" w:rsidRDefault="00D71F28" w:rsidP="00DA7639">
      <w:r>
        <w:t>3) disposiciones 13.7.1 a 13.7.8;</w:t>
      </w:r>
    </w:p>
    <w:p w14:paraId="4C3C4B21" w14:textId="77777777" w:rsidR="00AD2B48" w:rsidRDefault="00D71F28" w:rsidP="00DA7639">
      <w:r>
        <w:t>4) disposiciones 13.8.1 a 13.8.3;</w:t>
      </w:r>
    </w:p>
    <w:p w14:paraId="401B0F06" w14:textId="77777777" w:rsidR="001276DC" w:rsidRPr="001A218B" w:rsidRDefault="001276DC" w:rsidP="00DA7639">
      <w:r>
        <w:t xml:space="preserve">b) </w:t>
      </w:r>
      <w:r>
        <w:t xml:space="preserve">los buques de las clases B, C y D de eslora inferior a 24 metros cumplirán </w:t>
      </w:r>
      <w:r>
        <w:rPr>
          <w:i w:val="1"/>
        </w:rPr>
        <w:t>mutatis mutandis</w:t>
      </w:r>
      <w:r>
        <w:t xml:space="preserve"> los siguientes requisitos del anexo I de la Directiva 2009/45/CE:</w:t>
      </w:r>
    </w:p>
    <w:p w14:paraId="691C3171" w14:textId="77777777" w:rsidR="00AD2B48" w:rsidRDefault="00D71F28" w:rsidP="00DA7639">
      <w:r>
        <w:t>1) disposiciones 13.5.2, parte 1, y 13.5.6;</w:t>
      </w:r>
    </w:p>
    <w:p w14:paraId="79A1BB33" w14:textId="77777777" w:rsidR="00570A25" w:rsidRDefault="00D71F28" w:rsidP="00DA7639">
      <w:r>
        <w:t>2) disposición 13.6.1.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C979D18" w14:textId="77777777" w:rsidR="005D7490" w:rsidRDefault="005D7490" w:rsidP="00DA7639">
      <w:pPr/>
    </w:p>
    <w:p w14:paraId="6F728E70" w14:textId="77777777" w:rsidR="00DB0A98" w:rsidRDefault="00994392" w:rsidP="00DA7639">
      <w:pPr>
        <w:keepNext/>
        <w:keepLines/>
      </w:pPr>
      <w:r>
        <w:t xml:space="preserve">4. </w:t>
      </w:r>
      <w:r>
        <w:t xml:space="preserve">Respecto a las instalaciones eléctricas: </w:t>
      </w:r>
    </w:p>
    <w:p w14:paraId="18CF4E09" w14:textId="77777777" w:rsidR="00DB0A98" w:rsidRDefault="003504DB" w:rsidP="00DA7639">
      <w:pPr>
        <w:keepNext/>
        <w:keepLines/>
      </w:pPr>
      <w:r>
        <w:t xml:space="preserve">a) fuente de energía principal y red de alumbrado: </w:t>
      </w:r>
    </w:p>
    <w:p w14:paraId="63F15FBF" w14:textId="37340783" w:rsidR="00DB0A98" w:rsidRDefault="00A10BFA" w:rsidP="00DA7639">
      <w:r>
        <w:t xml:space="preserve">En buques de las clases C y D de eslora inferior a 24 metros, uno de los grupos electrógenos principales podrá ser accionado por el motor principal de propulsión, siempre y cuando la energía generada por ese grupo sea tal que los servicios auxiliares arriba indicados puedan funcionar mientras un grupo electrógeno está fuera de servicio;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DF3103B" w14:textId="405910D8" w:rsidR="00DB0A98" w:rsidRDefault="00DB0A98" w:rsidP="00DA7639">
      <w:pPr/>
    </w:p>
    <w:p w14:paraId="30C28C37" w14:textId="77777777" w:rsidR="005D7490" w:rsidRDefault="003504DB" w:rsidP="00DA7639">
      <w:pPr>
        <w:keepNext/>
        <w:keepLines/>
      </w:pPr>
      <w:r>
        <w:t xml:space="preserve">b) fuente de energía eléctrica de emergencia: </w:t>
      </w:r>
    </w:p>
    <w:p w14:paraId="3289D939" w14:textId="33E7F92C" w:rsidR="00DB0A98" w:rsidRDefault="005D7490" w:rsidP="00DA7639">
      <w:r>
        <w:t xml:space="preserve">La regla 3.2 del anexo I, parte D, de la Directiva 2009/45/CE no se aplicará </w:t>
      </w:r>
      <w:r>
        <w:rPr>
          <w:i w:val="1"/>
        </w:rPr>
        <w:t>mutatis mutandis</w:t>
      </w:r>
      <w:r>
        <w:t xml:space="preserve"> a los buques de las clases C y D de eslora inferior a 24 metros que presenten una batería de acumuladores independiente y convenientemente dispuesta que permita mantener en funcionamiento el dispositivo en cuestión durante el tiempo exigido por estas disposiciones.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D5F1EDF" w14:textId="77777777" w:rsidR="005D7490" w:rsidRPr="00570A25" w:rsidRDefault="005D7490" w:rsidP="00DA7639">
      <w:pPr/>
    </w:p>
    <w:p w14:paraId="75302F91" w14:textId="77777777" w:rsidR="005D7490" w:rsidRDefault="00994392" w:rsidP="00DA7639">
      <w:pPr>
        <w:keepNext/>
        <w:keepLines/>
      </w:pPr>
      <w:r>
        <w:t xml:space="preserve">5. </w:t>
      </w:r>
      <w:r>
        <w:t>Respecto a los espacios de máquinas sin dotación:</w:t>
      </w:r>
    </w:p>
    <w:p w14:paraId="549DD6DE" w14:textId="77777777" w:rsidR="00AD2B48" w:rsidRDefault="005D7490" w:rsidP="00DA7639">
      <w:r>
        <w:t xml:space="preserve">En los buques de clase B, C y D de eslora inferior a 24 metros, no se aplicará </w:t>
      </w:r>
      <w:r>
        <w:rPr>
          <w:i w:val="1"/>
        </w:rPr>
        <w:t>mutatis mutandis</w:t>
      </w:r>
      <w:r>
        <w:t xml:space="preserve"> la regla 5 del anexo I, parte E, de la Directiva 2009/45/CE en lo que respecta a las comunicaciones.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648F2F7" w14:textId="77777777" w:rsidR="005D7490" w:rsidRDefault="005D7490" w:rsidP="00DA7639">
      <w:pPr/>
    </w:p>
    <w:p w14:paraId="779DD248" w14:textId="77777777" w:rsidR="005D7490" w:rsidRDefault="00994392" w:rsidP="00DA7639">
      <w:pPr>
        <w:keepNext/>
        <w:keepLines/>
      </w:pPr>
      <w:r>
        <w:t xml:space="preserve">6. </w:t>
      </w:r>
      <w:r>
        <w:t xml:space="preserve">Respecto a la prevención, detección y extinción de incendios: </w:t>
      </w:r>
    </w:p>
    <w:p w14:paraId="7C990B37" w14:textId="77777777" w:rsidR="005D7490" w:rsidRDefault="003504DB" w:rsidP="00DA7639">
      <w:r>
        <w:t xml:space="preserve">a) </w:t>
      </w:r>
      <w:r>
        <w:t>bombas contraincendios, colector contraincendios, bocas contraincendios, mangueras contraincendios, lanzas y disponibilidad inmediata de suministro de agua:</w:t>
      </w:r>
    </w:p>
    <w:p w14:paraId="16502EF3" w14:textId="77777777" w:rsidR="005D7490" w:rsidRDefault="00F724F4" w:rsidP="00DA7639">
      <w:r>
        <w:t xml:space="preserve">1) </w:t>
      </w:r>
      <w:r>
        <w:t xml:space="preserve">los buques de las clases B, C y D de eslora inferior a 24 metros están exentos de la aplicación </w:t>
      </w:r>
      <w:r>
        <w:rPr>
          <w:i w:val="1"/>
        </w:rPr>
        <w:t>mutatis mutandis</w:t>
      </w:r>
      <w:r>
        <w:t xml:space="preserve"> del capítulo II-2, disposiciones 3.2 a 3.6, 4, 5, 6, 7 y 8 del anexo I de la Directiva 2009/45/CE;</w:t>
      </w:r>
    </w:p>
    <w:p w14:paraId="1D25DE65" w14:textId="77777777" w:rsidR="005D7490" w:rsidRDefault="00F724F4" w:rsidP="00DA7639">
      <w:pPr>
        <w:keepNext/>
        <w:keepLines/>
      </w:pPr>
      <w:r>
        <w:t xml:space="preserve">2) </w:t>
      </w:r>
      <w:r>
        <w:t>los buques de las clases C y D de eslora inferior a 24 metros cumplirán los siguientes requisitos:</w:t>
      </w:r>
    </w:p>
    <w:p w14:paraId="50D1926C" w14:textId="77777777" w:rsidR="005D7490" w:rsidRDefault="00F724F4" w:rsidP="00DA7639">
      <w:r>
        <w:t xml:space="preserve">i) </w:t>
      </w:r>
      <w:r>
        <w:t xml:space="preserve">existe una bomba independiente, que deberá poder proporcionar, a fines de extinción, al menos un chorro de agua, a la presión especificada más adelante, desde cualquier boca contraincendios. </w:t>
      </w:r>
      <w:r>
        <w:t xml:space="preserve">El caudal de agua así obtenido no deberá ser inferior a dos tercios del caudal que deben evacuar las bombas de sentina cuando se empleen en operaciones de achique. </w:t>
      </w:r>
      <w:r>
        <w:t>La bomba contraincendios, al descargar el máximo caudal mencionado más arriba a través de bocas contraincendios con lanzas de 12, 16 o 19 mm, deberá poder de mantener en todas las bocas contraincendios presiones mínimas como las que se requieren para los buques de clase B,</w:t>
      </w:r>
    </w:p>
    <w:p w14:paraId="12EB08E3" w14:textId="77777777" w:rsidR="00B974CE" w:rsidRDefault="00F724F4" w:rsidP="00DA7639">
      <w:r>
        <w:t xml:space="preserve">ii) </w:t>
      </w:r>
      <w:r>
        <w:t xml:space="preserve">los buques que transporten más de 250 pasajeros deberán ir provistos de una bomba adicional, que deberá estar permanentemente conectada al colector. </w:t>
      </w:r>
      <w:r>
        <w:t xml:space="preserve">Esta bomba se accionará eléctricamente. </w:t>
      </w:r>
      <w:r>
        <w:t xml:space="preserve">La bomba y su fuente de energía no deberán estar situadas en el mismo compartimiento que la bomba a la que se refiere el punto 1 anterior y tendrá una conexión con el agua de mar situada fuera del espacio de máquinas. </w:t>
      </w:r>
      <w:r>
        <w:t xml:space="preserve">Esta bomba podrá proporcionar al menos un chorro de agua de cualquier boca contraincendios del buque manteniendo una presión de al menos 0,3 N/mm2, </w:t>
      </w:r>
    </w:p>
    <w:p w14:paraId="5DC0A329" w14:textId="77777777" w:rsidR="00B974CE" w:rsidRDefault="00F724F4" w:rsidP="00DA7639">
      <w:r>
        <w:t xml:space="preserve">iii) </w:t>
      </w:r>
      <w:r>
        <w:t xml:space="preserve">las bombas sanitarias, las de lastre, las de sentina o las de servicios generales podrán usarse como bombas contraincendios, </w:t>
      </w:r>
    </w:p>
    <w:p w14:paraId="42404CA9" w14:textId="77777777" w:rsidR="00B974CE" w:rsidRDefault="00F724F4" w:rsidP="00DA7639">
      <w:r>
        <w:t xml:space="preserve">iv) </w:t>
      </w:r>
      <w:r>
        <w:t xml:space="preserve">todo buque irá provisto de un colector contraincendios de un diámetro suficiente para la distribución eficaz del caudal máximo de agua especificado más arriba. </w:t>
      </w:r>
      <w:r>
        <w:t>El número y la ubicación de los colectores contraincendios será tal que al menos un chorro de agua pueda alcanzar cualquier parte del buque usando una manguera de una sola pieza y una longitud máxima de 15 metros en la cubierta y en la superestructura y de hasta 10 metros en las salas de máquinas,</w:t>
      </w:r>
    </w:p>
    <w:p w14:paraId="37C9D765" w14:textId="77777777" w:rsidR="00B974CE" w:rsidRDefault="00F724F4" w:rsidP="00DA7639">
      <w:r>
        <w:t xml:space="preserve">v) todo buque irá provisto de al menos una manguera por cada boca contraincendios instalada, </w:t>
      </w:r>
    </w:p>
    <w:p w14:paraId="55591C06" w14:textId="77777777" w:rsidR="00B974CE" w:rsidRDefault="00F724F4" w:rsidP="00DA7639">
      <w:r>
        <w:t xml:space="preserve">vi) </w:t>
      </w:r>
      <w:r>
        <w:t>en los buques provistos de espacios de máquinas sin dotación permanente o donde solo haya una persona de guardia, se podrá obtener en el acto agua desde el sistema del colector contraincendios a una presión adecuada, ya sea poniendo en marcha por telemando una de las bombas principales contraincendios desde el puente de navegación y desde el puesto de control contraincendios, si lo hay, ya sea mediante la presión permanente a que se someta el sistema del colector contraincendios con una de las bombas principales contraincendios,</w:t>
      </w:r>
    </w:p>
    <w:p w14:paraId="56950651" w14:textId="77777777" w:rsidR="002E772E" w:rsidRDefault="00F724F4" w:rsidP="00DA7639">
      <w:r>
        <w:t xml:space="preserve">vii) </w:t>
      </w:r>
      <w:r>
        <w:t>la válvula de salida de cada bomba contraincendios estará equipada de una válvula de retención;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E204019" w14:textId="77777777" w:rsidR="005D7490" w:rsidRDefault="005D7490" w:rsidP="00DA7639">
      <w:pPr/>
    </w:p>
    <w:p w14:paraId="2647BD6D" w14:textId="77777777" w:rsidR="00BA6ABC" w:rsidRDefault="003504DB" w:rsidP="00DA7639">
      <w:pPr>
        <w:keepNext/>
        <w:keepLines/>
      </w:pPr>
      <w:r>
        <w:t xml:space="preserve">b) </w:t>
      </w:r>
      <w:r>
        <w:t>dispositivos de extinción de incendios en los espacios de máquinas:</w:t>
      </w:r>
    </w:p>
    <w:p w14:paraId="293AB6DF" w14:textId="1F86D7FD" w:rsidR="00BA6ABC" w:rsidRDefault="00F724F4" w:rsidP="00DA7639">
      <w:r>
        <w:t xml:space="preserve">1) </w:t>
      </w:r>
      <w:r>
        <w:t xml:space="preserve">los buques de las clases B, C y D de eslora inferior a 24 metros estarán exentos de la aplicación </w:t>
      </w:r>
      <w:r>
        <w:rPr>
          <w:i w:val="1"/>
        </w:rPr>
        <w:t>mutatis mutandis</w:t>
      </w:r>
      <w:r>
        <w:t xml:space="preserve"> de las disposiciones 6.1 a 6.3 y 6.8.1 a 6.8.3 del anexo I, capítulo II-2, parte A, de la Directiva 2009/45/CE;</w:t>
      </w:r>
    </w:p>
    <w:p w14:paraId="4C864C4C" w14:textId="77777777" w:rsidR="00BA6ABC" w:rsidRDefault="00F724F4" w:rsidP="00DA7639">
      <w:r>
        <w:t xml:space="preserve">2) </w:t>
      </w:r>
      <w:r>
        <w:t xml:space="preserve">los buques de las clases B, C y D de eslora inferior a 24 metros cumplirán </w:t>
      </w:r>
      <w:r>
        <w:rPr>
          <w:i w:val="1"/>
        </w:rPr>
        <w:t>mutatis mutandis</w:t>
      </w:r>
      <w:r>
        <w:t xml:space="preserve"> las disposiciones 6.4 y 6.5 del anexo I, capítulo II-2, parte A, de la Directiva 2009/45/CE;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729DDCB" w14:textId="77777777" w:rsidR="002E772E" w:rsidRPr="00570A25" w:rsidRDefault="002E772E" w:rsidP="00DA7639">
      <w:pPr/>
    </w:p>
    <w:p w14:paraId="7C2E9AF2" w14:textId="77777777" w:rsidR="00200801" w:rsidRDefault="003504DB" w:rsidP="00DA7639">
      <w:pPr>
        <w:keepNext/>
        <w:keepLines/>
      </w:pPr>
      <w:r>
        <w:t>c) equipo de bombero y aparatos de respiración:</w:t>
      </w:r>
    </w:p>
    <w:p w14:paraId="22FB2CD4" w14:textId="77777777" w:rsidR="00200801" w:rsidRDefault="00F724F4" w:rsidP="00DA7639">
      <w:r>
        <w:t xml:space="preserve">1) </w:t>
      </w:r>
      <w:r>
        <w:t xml:space="preserve">los buques de las clases B, C y D de eslora inferior a 24 metros estarán exentos de la aplicación </w:t>
      </w:r>
      <w:r>
        <w:rPr>
          <w:i w:val="1"/>
        </w:rPr>
        <w:t>mutatis mutandis</w:t>
      </w:r>
      <w:r>
        <w:t xml:space="preserve"> de la disposición 11.1.3 del anexo I, capítulo II-2, parte A, de la Directiva 2009/45/CE;</w:t>
      </w:r>
    </w:p>
    <w:p w14:paraId="18F37EAF" w14:textId="77777777" w:rsidR="00200801" w:rsidRDefault="00F724F4" w:rsidP="00DA7639">
      <w:r>
        <w:t xml:space="preserve">2) </w:t>
      </w:r>
      <w:r>
        <w:t>a bordo de los barcos no será necesario que haya equipo de bombero ni aparatos de respiración;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04FC5DB" w14:textId="77777777" w:rsidR="001A218B" w:rsidRDefault="001A218B" w:rsidP="00DA7639">
      <w:pPr/>
    </w:p>
    <w:p w14:paraId="1F664AF0" w14:textId="77777777" w:rsidR="00200801" w:rsidRDefault="003504DB" w:rsidP="00DA7639">
      <w:pPr>
        <w:keepNext/>
        <w:keepLines/>
      </w:pPr>
      <w:r>
        <w:t xml:space="preserve">d) </w:t>
      </w:r>
      <w:r>
        <w:t>planos de lucha contra incendios:</w:t>
      </w:r>
    </w:p>
    <w:p w14:paraId="32558DA3" w14:textId="77777777" w:rsidR="00AD2B48" w:rsidRPr="00570A25" w:rsidRDefault="00200801" w:rsidP="00DA7639">
      <w:r>
        <w:t xml:space="preserve">Los buques de las clases B, C y D de eslora inferior a 24 metros estarán exentos de la aplicación </w:t>
      </w:r>
      <w:r>
        <w:rPr>
          <w:i w:val="1"/>
        </w:rPr>
        <w:t>mutatis mutandis</w:t>
      </w:r>
      <w:r>
        <w:t xml:space="preserve"> de la disposición 13.2 del anexo I, capítulo II-2, parte A, de la Directiva 2009/45/CE.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72785C0" w14:textId="77777777" w:rsidR="00200801" w:rsidRDefault="00200801" w:rsidP="00DA7639">
      <w:pPr/>
    </w:p>
    <w:p w14:paraId="6242E0ED" w14:textId="77777777" w:rsidR="00200801" w:rsidRDefault="00BF31BF" w:rsidP="00DA7639">
      <w:pPr>
        <w:keepNext/>
        <w:keepLines/>
      </w:pPr>
      <w:r>
        <w:t xml:space="preserve">7. </w:t>
      </w:r>
      <w:r>
        <w:t xml:space="preserve">Respecto a la seguridad contra incendios: </w:t>
      </w:r>
    </w:p>
    <w:p w14:paraId="3ABBDD8F" w14:textId="77777777" w:rsidR="00200801" w:rsidRDefault="003504DB" w:rsidP="00DA7639">
      <w:pPr>
        <w:keepNext/>
        <w:keepLines/>
      </w:pPr>
      <w:r>
        <w:t xml:space="preserve">a) </w:t>
      </w:r>
      <w:r>
        <w:t>medios de evacuación:</w:t>
      </w:r>
    </w:p>
    <w:p w14:paraId="542F7B48" w14:textId="77777777" w:rsidR="00200801" w:rsidRDefault="00F724F4" w:rsidP="00DA7639">
      <w:r>
        <w:t xml:space="preserve">1) </w:t>
      </w:r>
      <w:r>
        <w:t xml:space="preserve">los buques de las clases B, C y D de eslora inferior a 24 metros estarán exentos de la aplicación </w:t>
      </w:r>
      <w:r>
        <w:rPr>
          <w:i w:val="1"/>
        </w:rPr>
        <w:t>mutatis mutandis</w:t>
      </w:r>
      <w:r>
        <w:t xml:space="preserve"> de las disposiciones 6.1.5 y 6.3.2 del anexo I, capítulo II-2, parte B, de la Directiva 2009/45/CE; </w:t>
      </w:r>
    </w:p>
    <w:p w14:paraId="3C996C2C" w14:textId="77777777" w:rsidR="00200801" w:rsidRDefault="00F724F4" w:rsidP="00DA7639">
      <w:r>
        <w:t xml:space="preserve">2) </w:t>
      </w:r>
      <w:r>
        <w:t xml:space="preserve">en los espacios de máquinas solo habrá un medio de evacuación, prestando la debida atención a la anchura y a la disposición de la parte superior del espacio; </w:t>
      </w:r>
    </w:p>
    <w:p w14:paraId="64D7A6DA" w14:textId="77777777" w:rsidR="00200801" w:rsidRDefault="003504DB" w:rsidP="00DA7639">
      <w:r>
        <w:t xml:space="preserve">b) </w:t>
      </w:r>
      <w:r>
        <w:t xml:space="preserve">sistemas fijos de detección de incendios y de alarma contraincendios. </w:t>
      </w:r>
      <w:r>
        <w:t>Sistemas automáticos de rociadores, de detección de incendios y de alarma contraincendios.</w:t>
      </w:r>
    </w:p>
    <w:p w14:paraId="4028F55A" w14:textId="77777777" w:rsidR="00200801" w:rsidRDefault="00200801" w:rsidP="00DA7639">
      <w:r>
        <w:t>Los buques de las clases B, C y D de eslora inferior a 24 metros estarán exentos de la disposición 13.2.</w:t>
      </w:r>
    </w:p>
    <w:p w14:paraId="2B0A0D08" w14:textId="3947E7D9" w:rsidR="00A13389" w:rsidRDefault="00A13389" w:rsidP="00DA7639">
      <w:pPr>
        <w:keepNext/>
        <w:keepLines/>
        <w:pageBreakBefore/>
        <w:rPr>
          <w:b/>
        </w:rPr>
      </w:pPr>
      <w:r>
        <w:rPr>
          <w:b/>
        </w:rPr>
        <w:t>ANEXO II, correspondiente al artículo I, parte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680647F" w14:textId="77777777" w:rsidR="00A13389" w:rsidRDefault="00A13389" w:rsidP="00DA7639">
      <w:pPr>
        <w:keepNext/>
        <w:keepLines/>
        <w:rPr>
          <w:b/>
        </w:rPr>
      </w:pPr>
    </w:p>
    <w:p w14:paraId="72A28289" w14:textId="02237763" w:rsidR="00A13389" w:rsidRPr="00A13389" w:rsidRDefault="00A13389" w:rsidP="00DA7639">
      <w:pPr>
        <w:keepNext/>
        <w:keepLines/>
        <w:rPr>
          <w:b/>
          <w:noProof/>
        </w:rPr>
      </w:pPr>
      <w:r>
        <w:rPr>
          <w:b/>
        </w:rPr>
        <w:t>Anexo 4 correspondiente al artículo 19, apartado 2, de la Orden sobre la seguridad de los buques marítimos (zonas marítimas A a D contempladas en el artículo 4, apartado 1, de la Directiva n.º 2009/45/CE)</w:t>
      </w:r>
    </w:p>
    <w:p w14:paraId="0DF58AD5" w14:textId="2E91042D" w:rsidR="003C7D93" w:rsidRDefault="00A13389" w:rsidP="00DA7639">
      <w:pPr>
        <w:spacing w:line="240" w:lineRule="auto"/>
        <w:rPr>
          <w:b/>
        </w:rPr>
      </w:pPr>
      <w:r>
        <w:rPr>
          <w:b/>
          <w:noProof/>
        </w:rPr>
        <w:drawing>
          <wp:inline xmlns:wp14="http://schemas.microsoft.com/office/word/2010/wordprocessingDrawing" xmlns:wp="http://schemas.openxmlformats.org/drawingml/2006/wordprocessingDrawing" distT="0" distB="0" distL="0" distR="0" wp14:anchorId="5ACFCB0A" wp14:editId="70AD2296">
            <wp:extent cx="5803900" cy="6823710"/>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190420517_2019-001_Zeegebieden_NationaleVaart_20190702-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03900" cy="6823710"/>
                    </a:xfrm>
                    <a:prstGeom prst="rect">
                      <a:avLst/>
                    </a:prstGeom>
                  </pic:spPr>
                </pic:pic>
              </a:graphicData>
            </a:graphic>
          </wp:inline>
        </w:drawing>
      </w:r>
    </w:p>
    <w:p w14:paraId="519C7FED" w14:textId="2F3EACBB" w:rsidR="001F5913" w:rsidRDefault="001F5913" w:rsidP="00DA7639">
      <w:pPr>
        <w:keepNext/>
        <w:keepLines/>
        <w:pageBreakBefore/>
        <w:rPr>
          <w:b/>
        </w:rPr>
      </w:pPr>
      <w:r>
        <w:rPr>
          <w:b/>
        </w:rPr>
        <w:t>Exposición de motivos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BE47B2A" w14:textId="77777777" w:rsidR="001F5913" w:rsidRDefault="001F5913" w:rsidP="00DA7639">
      <w:pPr>
        <w:keepNext/>
        <w:keepLines/>
        <w:rPr>
          <w:b/>
        </w:rPr>
      </w:pPr>
    </w:p>
    <w:p w14:paraId="0755F2D2" w14:textId="77777777" w:rsidR="001F5913" w:rsidRPr="001F5913" w:rsidRDefault="001F5913" w:rsidP="00DA7639">
      <w:pPr>
        <w:keepNext/>
        <w:keepLines/>
        <w:rPr>
          <w:b/>
        </w:rPr>
      </w:pPr>
      <w:r>
        <w:rPr>
          <w:b/>
        </w:rPr>
        <w:t>Generalidades</w:t>
      </w:r>
    </w:p>
    <w:p w14:paraId="07511FCF" w14:textId="732A4209" w:rsidR="003F335D" w:rsidRDefault="00D32069" w:rsidP="00DA7639">
      <w:r>
        <w:t xml:space="preserve">La presente Orden modifica la Orden sobre la seguridad de los buques marítimos (en adelante, «Rvz», por sus siglas en neerlandés) y la Orden para la prevención de la contaminación por los buques (en adelante, </w:t>
      </w:r>
      <w:r>
        <w:t>Rvvs, por sus siglas en neerlandés) para la transposición de la Directiva (UE) 2017/2108</w:t>
      </w:r>
      <w:r>
        <w:rPr>
          <w:rStyle w:val="FootnoteReference"/>
        </w:rPr>
        <w:footnoteReference w:id="1"/>
      </w:r>
      <w:r>
        <w:t xml:space="preserve"> y la Directiva (UE) 2017/2110</w:t>
      </w:r>
      <w:r>
        <w:rPr>
          <w:rStyle w:val="FootnoteReference"/>
        </w:rPr>
        <w:footnoteReference w:id="2"/>
      </w:r>
      <w:r>
        <w:t xml:space="preserve">. </w:t>
      </w:r>
      <w:r>
        <w:t>La Directiva (UE) 2017/2108 modifica la Directiva 2009/45/CE</w:t>
      </w:r>
      <w:r>
        <w:rPr>
          <w:rStyle w:val="FootnoteReference"/>
        </w:rPr>
        <w:footnoteReference w:id="3"/>
      </w:r>
      <w:r>
        <w:t xml:space="preserve"> sobre las reglas y normas de seguridad aplicables a los buques de pasaje. </w:t>
      </w:r>
      <w:r>
        <w:t>La Directiva (UE) 2017/2110 incluye un sistema de inspecciones renovado para garantizar la seguridad en la explotación de buques de pasaje de transbordo rodado y naves de pasaje de gran velocidad en servicios regular y deroga la Directiva 1999/35/CE</w:t>
      </w:r>
      <w:r>
        <w:rPr>
          <w:rStyle w:val="FootnoteReference"/>
        </w:rPr>
        <w:footnoteReference w:id="4"/>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E3E008B" w14:textId="77777777" w:rsidR="005A5392" w:rsidRDefault="005A5392" w:rsidP="00DA7639">
      <w:pPr/>
    </w:p>
    <w:p w14:paraId="3BA7C51D" w14:textId="463E25FF" w:rsidR="00AC76A5" w:rsidRDefault="00AC76A5" w:rsidP="00DA7639">
      <w:r>
        <w:t xml:space="preserve">Ambas Directivas se derivan de un control de adecuación en el marco del programa europeo de adecuación y eficacia de la reglamentación (REFIT). </w:t>
      </w:r>
      <w:r>
        <w:t xml:space="preserve">Este concluyó, de forma resumida, que varias definiciones y referencias de la Directiva 2009/45/CE y de la Directiva 1999/35/CE no se ajustaban a la legislación internacional ni a la legislación de la Unión. </w:t>
      </w:r>
      <w:r>
        <w:t xml:space="preserve">Se constataron, asimismo, solapamientos y duplicidades surgidos en el curso de los años como resultado de la respuesta a diferentes necesidades y situaciones. </w:t>
      </w:r>
      <w:r>
        <w:t xml:space="preserve">Con el fin de mejorar la claridad y la coherencia jurídica y en vista del número de modificaciones, la Directiva 1999/35/CE fue derogada.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E41C39A" w14:textId="77777777" w:rsidR="00AC76A5" w:rsidRDefault="00AC76A5" w:rsidP="00DA7639">
      <w:pPr/>
    </w:p>
    <w:p w14:paraId="2BF9AB29" w14:textId="77777777" w:rsidR="00AC76A5" w:rsidRPr="00AC76A5" w:rsidRDefault="00AC76A5" w:rsidP="00DA7639">
      <w:pPr>
        <w:keepNext/>
        <w:keepLines/>
        <w:rPr>
          <w:i/>
          <w:u w:val="single"/>
        </w:rPr>
      </w:pPr>
      <w:r>
        <w:rPr>
          <w:i/>
          <w:u w:val="single"/>
        </w:rPr>
        <w:t xml:space="preserve">Directiva (UE) 2017/2108 </w:t>
      </w:r>
    </w:p>
    <w:p w14:paraId="242810EC" w14:textId="33AD2759" w:rsidR="00254F82" w:rsidRDefault="00BE4257" w:rsidP="00DA7639">
      <w:r>
        <w:t xml:space="preserve">La Directiva 2009/45/CE se refiere a las reglas de seguridad comunes y a los requisitos aplicables a los buques de pasaje. </w:t>
      </w:r>
      <w:r>
        <w:t xml:space="preserve">Durante el control de adecuación se constató que, además de la existencia de solapamientos y duplicidades, la Directiva podía simplificarse. </w:t>
      </w:r>
      <w:r>
        <w:t xml:space="preserve">La falta de claridad de las definiciones, el ámbito de aplicación de la Directiva y los procedimientos también planteaban dudas a la hora de aplicar la Directiva. </w:t>
      </w:r>
      <w:r>
        <w:t xml:space="preserve">Se comprobó que varios aspectos importantes para los buques pequeños de menos de 24 metros no estaban armonizados porque las condiciones de operación locales tienen un mayor impacto para los buques. </w:t>
      </w:r>
      <w:r>
        <w:t xml:space="preserve">Además, la Directiva «anterior» ya preveía la posibilidad de que los Estados miembros pudieran aplicar normas nacionales cuando considerasen que las normas comunes no resultaban prácticas o eran irrazonables para buques pequeños. </w:t>
      </w:r>
      <w:r>
        <w:t xml:space="preserve">En este contexto, el control de adecuación reveló que la Directiva solo se aplicaba en un número relativamente pequeño de buques pequeños. </w:t>
      </w:r>
      <w:r>
        <w:t xml:space="preserve">Para la mayoría de estos buques pequeños, las normas de seguridad más importantes ya habían sido fijadas por los propios Estados miembros.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01DFD16" w14:textId="77777777" w:rsidR="00254F82" w:rsidRDefault="00254F82" w:rsidP="00DA7639">
      <w:pPr/>
    </w:p>
    <w:p w14:paraId="0982F62F" w14:textId="69302419" w:rsidR="009D62C8" w:rsidRDefault="005A5392" w:rsidP="00DA7639">
      <w:r>
        <w:t xml:space="preserve">También se consideró necesaria una mejor aplicación de la Directiva 2009/45/CE. </w:t>
      </w:r>
      <w:r>
        <w:t xml:space="preserve">Esta Directiva debe aplicarse exclusivamente a los buques y naves de pasaje para los cuales se hayan elaborado las normas de seguridad de esa Directiva. </w:t>
      </w:r>
    </w:p>
    <w:p w14:paraId="1E3CFF4E" w14:textId="64515D5A" w:rsidR="00990DE1" w:rsidRDefault="009D62C8" w:rsidP="00DA7639">
      <w:r>
        <w:t xml:space="preserve">En ese sentido, la Directiva (UE) 2017/2108 excluye de la aplicación de la Directiva 2009/45/CE a una serie de tipos de buques específicos, entre ellos, por ejemplo, los buques para el transporte de personal industrial a instalaciones en alta mar, así como los barcos de vela. </w:t>
      </w:r>
      <w:r>
        <w:t xml:space="preserve">Las instalaciones en alta mar operan mediante naves que transportan al personal industrial. </w:t>
      </w:r>
      <w:r>
        <w:t xml:space="preserve">Este personal industrial deberá cumplir unos determinados requisitos de formación obligatorios y criterios médicos de idoneidad. </w:t>
      </w:r>
      <w:r>
        <w:t xml:space="preserve">Por ello, entre otras cosas, este tipo de buques deberá estar sujetos a unas reglas de seguridad específicas que quedan fuera del ámbito de aplicación de la presente Directiva. </w:t>
      </w:r>
      <w:r>
        <w:t xml:space="preserve">Además, para estos buques, se deja en manos de los Estados miembros la fijación de reglas de seguridad nacionales adecuadas. </w:t>
      </w:r>
      <w:r>
        <w:t xml:space="preserve">En los Países Bajos, estas reglas se incluyen, entre otras, en la Rvz. </w:t>
      </w:r>
      <w:r>
        <w:t xml:space="preserve">En vista del alcance de las reglas de seguridad, la legislación pertinente, incluida la Rvz, se ha adaptado por separado. </w:t>
      </w:r>
    </w:p>
    <w:p w14:paraId="002B1D9A" w14:textId="627441C2" w:rsidR="001A15A9" w:rsidRPr="00990DE1" w:rsidRDefault="00990DE1" w:rsidP="00DA7639">
      <w:r>
        <w:t xml:space="preserve">Puesto que los barcos de vela se excluyen del alcance de la aplicación de la Directiva 2009/45/CE, la Directiva (UE) 2017/2108 constituye una aclaración del texto de la Directiva 2009/45/CE. </w:t>
      </w:r>
      <w:r>
        <w:t xml:space="preserve">Hace años que los Países Bajos, además de otros países, consideran que los barcos de vela no entran en el ámbito de aplicación de la Directiva se implementan políticas en este sentido. </w:t>
      </w:r>
      <w:r>
        <w:t xml:space="preserve">Con la modificación de la Directiva 2009/45/CE en este punto se ha confirmado la política aplicada en los Países Bajos. </w:t>
      </w:r>
      <w:r>
        <w:t xml:space="preserve">Por ello, esta adaptación de la Directiva no implica ningún cambio respecto a la situación actual. </w:t>
      </w:r>
      <w:r>
        <w:t xml:space="preserve">Los barcos de vela marítimos de eslora inferior a 24 metros que navegan en el extranjero disponen de un certificado de cumplimiento de los requisitos de la Directiva 2009/45/CE. </w:t>
      </w:r>
      <w:r>
        <w:t xml:space="preserve">Como este tipo de barcos de vela marítimos no está contemplado en el Decreto relativo a los buques de 2004, sino en el Decreto relativo a los buques de 1965, estas embarcaciones quedan excluidas de la aplicación de la Orden presente y del respectivo anexo 3 </w:t>
      </w:r>
      <w:r>
        <w:rPr>
          <w:i w:val="1"/>
        </w:rPr>
        <w:t>quinquies</w:t>
      </w:r>
      <w:r>
        <w:t xml:space="preserve">. </w:t>
      </w:r>
      <w:r>
        <w:t>En la actualidad, se está desarrollando un proceso especial para revisar la legislación correspondiente a estos barcos de vela marítimos.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7B6638F" w14:textId="77777777" w:rsidR="00CE7DBE" w:rsidRDefault="00CE7DBE" w:rsidP="00DA7639">
      <w:pPr/>
    </w:p>
    <w:p w14:paraId="0B164F33" w14:textId="08544BA2" w:rsidR="005A5392" w:rsidRDefault="001A15A9" w:rsidP="00DA7639">
      <w:r>
        <w:t xml:space="preserve">Los buques de pasaje de eslora inferior a 24 metros también están excluidos del ámbito de aplicación de la Directiva 2009/45/CE. </w:t>
      </w:r>
      <w:r>
        <w:t xml:space="preserve">De hecho, la Directiva «anterior» no preveía reglas adecuadas para estos buques. </w:t>
      </w:r>
      <w:r>
        <w:t xml:space="preserve">Los Estados miembros pueden establecer y aplicar sus propias normas de seguridad, específicas y más proporcionales a estos buques. </w:t>
      </w:r>
      <w:r>
        <w:t xml:space="preserve">Así, los Estados miembros pueden valorar mejor si, por ejemplo, a esos buques se les deben imponer restricciones locales de navegación en términos de distancia respecto a la costa o a los puertos y de condiciones climáticas. </w:t>
      </w:r>
      <w:r>
        <w:t xml:space="preserve">Los Estados miembros pueden recurrir a las anteriores reglas de seguridad comunes siempre que sean proporcionales, y aplicarlas </w:t>
      </w:r>
      <w:r>
        <w:rPr>
          <w:i w:val="1"/>
        </w:rPr>
        <w:t>mutatis mutandis</w:t>
      </w:r>
      <w:r>
        <w:t xml:space="preserve"> a su legislación nacional. </w:t>
      </w:r>
      <w:r>
        <w:t xml:space="preserve">En los Países Bajos, con la presente Orden para estos buques de pasaje pequeños se prevén unas normas más proporcionales y equilibradas: los requisitos técnicos para estos buques se incluirán en un anexo separado de la Rvz.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1E920BB" w14:textId="77777777" w:rsidR="005A5392" w:rsidRDefault="005A5392" w:rsidP="00DA7639">
      <w:pPr/>
    </w:p>
    <w:p w14:paraId="17999189" w14:textId="18FA3D31" w:rsidR="005A5392" w:rsidRDefault="005F06B7" w:rsidP="00DA7639">
      <w:r>
        <w:t xml:space="preserve">Además de adaptar el ámbito de aplicación, con la Directiva (UE) 2017/2108 se armonizó una serie de definiciones y referencias de la Directiva 2009/45/CE con la legislación internacional y de la Unión, y se introdujeron simplificaciones en las distintas zonas marítimas definidas dentro de las cuales los buques pueden operar.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970E1F3" w14:textId="77777777" w:rsidR="005A5392" w:rsidRDefault="005A5392" w:rsidP="00DA7639">
      <w:pPr/>
    </w:p>
    <w:p w14:paraId="7A99156B" w14:textId="7E2858D5" w:rsidR="005A5392" w:rsidRPr="00DB0842" w:rsidRDefault="005A5392" w:rsidP="00DA7639">
      <w:r>
        <w:t xml:space="preserve">Con la referencia dinámica a la Directiva 2009/45/CE en la Rvz, se transpuso la Directiva (UE) 2017/2108 en dicha Orden. </w:t>
      </w:r>
      <w:r>
        <w:t xml:space="preserve">Asimismo, cuando ha sido necesario, se han adaptado varias disposiciones. </w:t>
      </w:r>
      <w:r>
        <w:t>Esta cuestión se trata con más detalle en la exposición de motivos por artículo.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DD7AAAC" w14:textId="77777777" w:rsidR="003F335D" w:rsidRDefault="003F335D" w:rsidP="00DA7639">
      <w:pPr/>
    </w:p>
    <w:p w14:paraId="35BB6B9E" w14:textId="77777777" w:rsidR="005A5392" w:rsidRPr="00A43088" w:rsidRDefault="00A43088" w:rsidP="00DA7639">
      <w:pPr>
        <w:keepNext/>
        <w:keepLines/>
        <w:rPr>
          <w:i/>
          <w:u w:val="single"/>
        </w:rPr>
      </w:pPr>
      <w:r>
        <w:rPr>
          <w:i/>
          <w:u w:val="single"/>
        </w:rPr>
        <w:t>Directiva (UE) 2017/2110</w:t>
      </w:r>
    </w:p>
    <w:p w14:paraId="721C4BC9" w14:textId="5F241CBC" w:rsidR="00DB0842" w:rsidRPr="005A7221" w:rsidRDefault="00A43088" w:rsidP="00DA7639">
      <w:r>
        <w:t xml:space="preserve">La Directiva (UE) 2017/2110 deroga la Directiva 1999/35/CE. </w:t>
      </w:r>
      <w:r>
        <w:t xml:space="preserve">Esta Directiva preveía varios tipos de inspecciones centradas en las características especiales de seguridad de los transbordadores de carga rodada (transbordadores ro-ro) y naves de gran velocidad. </w:t>
      </w:r>
      <w:r>
        <w:t xml:space="preserve">Sin embargo, las disposiciones de la Directiva 1999/35/CE ya no estaban actualizadas y, por lo tanto, dejaron de ser adecuada. </w:t>
      </w:r>
      <w:r>
        <w:t xml:space="preserve">La situación actual es muy diferente de la de hace casi 20 años cuando se adoptó la Directiva. </w:t>
      </w:r>
      <w:r>
        <w:t xml:space="preserve">En aquel momento, la Unión contaba con 15 Estados miembros, y una gran cantidad de transbordadores de carga rodada y naves de gran velocidad navegaban de forma regular entre países de la Unión y terceros países. </w:t>
      </w:r>
      <w:r>
        <w:t>Además, desde entonces el control de los buques por el Estado rector del puerto se ha reforzado, en particular a partir de la entrada en vigor de la Directiva 2009/16/CE</w:t>
      </w:r>
      <w:r>
        <w:rPr>
          <w:rStyle w:val="FootnoteReference"/>
        </w:rPr>
        <w:footnoteReference w:id="5"/>
      </w:r>
      <w:r>
        <w:t xml:space="preserve">, que introdujo un régimen de inspecciones basado en el riesgo y exigía a los Estados miembros la inspección de una cantidad mínima de buques de alto riesgo. </w:t>
      </w:r>
      <w:r>
        <w:t xml:space="preserve">En la actualidad, la mayoría de los Estados miembros combina, o ha sustituido, una serie de inspecciones requeridas en virtud de la Directiva 1999/35/CE con reconocimientos por parte del Estado del pabellón, con inspecciones inscritas en el marco de las actividades de control por el Estado rector del puerto. </w:t>
      </w:r>
      <w:r>
        <w:t xml:space="preserve">A causa del distinto ámbito de aplicación de las inspecciones y el solapamiento en la legislación, este método ha conllevado problemas en la ejecución y el control de cumplimiento de la Directiva. </w:t>
      </w:r>
      <w:r>
        <w:t xml:space="preserve">En particular, de acuerdo con el marco jurídico, una inspección enmarcada en las actividades de control por el Estado rector del puerto podía sustituirse por una investigación de acuerdo con la Directiva 1999/35/CE. </w:t>
      </w:r>
      <w:r>
        <w:t xml:space="preserve">A la vista de que el ámbito de aplicación de una inspección según la Directiva 1999/35/CE no cubre todos los elementos del control de los buques por el Estado rector del puerto, este solapamiento provocó una laguna en la legislación. </w:t>
      </w:r>
      <w:r>
        <w:t xml:space="preserve">Por consiguiente, en el marco del REFIT, se ha decidido actualizar, clarificar y simplificar los requisitos de inspección para los transbordadores de carga (buques de pasaje de transbordo rodado) y naves de pasaje de gran velocidad (buques de pasaje de alta velocidad) manteniendo el mismo nivel de seguridad y los mecanismos de ejecución más importantes. </w:t>
      </w:r>
      <w:r>
        <w:t xml:space="preserve">De este modo se prevé lograr una mayor racionalización de las inspecciones por parte de las autoridades nacionales, así como maximizar el tiempo durante el cual el barco puede ser explotado comercialmente. </w:t>
      </w:r>
      <w:r>
        <w:t>En este espíritu y en aras de la claridad y la coherencia, la Directiva 1999/35/CE ha sido derogado y reemplazado por la (nueva) Directiva (UE) 2017/2110.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294517C" w14:textId="77777777" w:rsidR="00DB0842" w:rsidRDefault="00DB0842" w:rsidP="00DA7639">
      <w:pPr/>
    </w:p>
    <w:p w14:paraId="4F06D870" w14:textId="77777777" w:rsidR="00C46D05" w:rsidRDefault="00131BC6" w:rsidP="00DA7639">
      <w:r>
        <w:t xml:space="preserve">La Directiva (UE) 2017/2110 también modifica la Directiva 2009/16/CE sobre el control de los buques por el Estado rector del puerto. </w:t>
      </w:r>
      <w:r>
        <w:t xml:space="preserve">Los controles de los buques por el Estado rector del puerto son los controles a buques extranjeros que hacen escala en un puerto de los Países Bajos holandés a fin de verificar el cumplimiento de las obligaciones internacionales en materia de seguridad, prevención de la contaminación y condiciones de vida y de trabajo a bordo. </w:t>
      </w:r>
      <w:r>
        <w:t xml:space="preserve">Un control por el Estado rector del puerto consiste en una visita a bordo de un buque extranjero para verificar si dispone de los certificados o la documentación pertinentes y para inspeccionar el estado de la nave, el equipo, la tripulación y las condiciones de vida y de trabajo a bordo. </w:t>
      </w:r>
      <w:r>
        <w:t xml:space="preserve">Como se ha indicado, la mayoría de los Estados miembros ya combinan, cuando es posible, las inspecciones obligatorias para garantizar la explotación segura de los servicios regulares con buques de pasaje de transbordo rodado con las inspecciones por parte del Estado de abanderamiento y las inspecciones en el marco del control de los buques por el Estado rector del puerto. </w:t>
      </w:r>
      <w:r>
        <w:t xml:space="preserve">A fin de reducir aún más el número de inspecciones y garantizar que el buque o la nave en cuestión estén disponibles el máximo de tiempo posible para la explotación comercial a la vez que se mantienen las mismas reglas estrictas de seguridad, las embarcaciones sujetas a las inspecciones del control del Estado del puerto se han incluido en el ámbito de aplicación de la Directiva 2009/16/CE. </w:t>
      </w:r>
      <w:r>
        <w:t xml:space="preserve">El ámbito de aplicación de la presente Directiva queda restringido a los buques de pasaje de transbordo rodado y a las naves de pasaje de gran velocidad que prestan servicios regulares entre puertos de un Estado miembro o entre un puerto de un Estado miembro y un puerto de un tercer país, mientras el buque en cuestión enarbole el pabellón del Estado miembro del que se trate. </w:t>
      </w:r>
      <w:r>
        <w:t xml:space="preserve">La Directiva 2009/16/CE es de aplicación para las embarcaciones utilizadas en servicios regulares con buques de pasaje de transbordo rodado y naves de pasaje de gran velocidad entre un Estado miembro y un tercer país, si la embarcación no está bajo el pabellón del Estado miembro en cuestión.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4AA2B16" w14:textId="77777777" w:rsidR="00BF26E5" w:rsidRDefault="00BF26E5" w:rsidP="00DA7639">
      <w:pPr/>
    </w:p>
    <w:p w14:paraId="1F43C223" w14:textId="3E3C475F" w:rsidR="0030591E" w:rsidRDefault="008E66D9" w:rsidP="00DA7639">
      <w:r>
        <w:t xml:space="preserve">En lo que se refiere a las modificaciones de la Directiva 2009/16/CE la transposición de la Directiva (UE) 2017/2110 se ha realizado de forma independiente en la Orden de control de buques por el Estado rector del puerto de 2011. </w:t>
      </w:r>
      <w:r>
        <w:t xml:space="preserve">Con la presente Orden, las referencias en la Rvz a la Directiva 1999/35/CE se han adaptado y se han reemplazado por la Directiva (UE) 2017/2110. </w:t>
      </w:r>
      <w:r>
        <w:t xml:space="preserve">Con la referencia dinámica a la Directiva (UE) 2017/2110 en la Rvz, esta Directiva queda implementada, en gran parte, en la Rvz. </w:t>
      </w:r>
      <w:r>
        <w:t xml:space="preserve">En caso necesario, se ha adaptado el contenido de una disposición única. </w:t>
      </w:r>
      <w:r>
        <w:t>Esta cuestión se trata con más detalle en la exposición de motivos por artículo.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57B75B6" w14:textId="77777777" w:rsidR="001F11D6" w:rsidRDefault="001F11D6" w:rsidP="00DA7639">
      <w:pPr/>
    </w:p>
    <w:p w14:paraId="6C5F750C" w14:textId="64345091" w:rsidR="00A2362C" w:rsidRDefault="00A2362C" w:rsidP="00DA7639">
      <w:r>
        <w:t xml:space="preserve">No hay necesidad de establecer disposiciones transitorias. </w:t>
      </w:r>
      <w:r>
        <w:t xml:space="preserve">Para buques de pasaje de menos de 24 metros, se han adoptado, en gran parte, los requisitos vigentes con la «anterior» Directiva 2009/45/CE y se han declarado de aplicación </w:t>
      </w:r>
      <w:r>
        <w:rPr>
          <w:i w:val="1"/>
        </w:rPr>
        <w:t>mutatis mutandis</w:t>
      </w:r>
      <w:r>
        <w:t xml:space="preserve">. </w:t>
      </w:r>
      <w:r>
        <w:t xml:space="preserve">Además, en el momento de la adopción de la presente Orden no había ningún buque de pasaje pequeño navegando bajo el pabellón holandés. </w:t>
      </w:r>
      <w:r>
        <w:t>Incluso en otros aspectos esta Orden no obliga a prever disposiciones transitorias.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51A3476" w14:textId="77777777" w:rsidR="00A2362C" w:rsidRDefault="00A2362C" w:rsidP="00DA7639">
      <w:pPr/>
    </w:p>
    <w:p w14:paraId="795B6A4E" w14:textId="77777777" w:rsidR="003353D1" w:rsidRDefault="00C94EF5" w:rsidP="00DA7639">
      <w:r>
        <w:t>La Directiva (UE) 2017/2108 y la Directiva (UE) 2017/2110 deberán aplicarse a más tardar el 21 de diciembre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30A3190" w14:textId="77777777" w:rsidR="00735CD2" w:rsidRDefault="00735CD2" w:rsidP="00DA7639">
      <w:pPr/>
    </w:p>
    <w:p w14:paraId="598BD59A" w14:textId="77777777" w:rsidR="0071310D" w:rsidRDefault="0071310D" w:rsidP="00DA7639">
      <w:pPr>
        <w:keepNext/>
        <w:keepLines/>
        <w:rPr>
          <w:i/>
        </w:rPr>
      </w:pPr>
      <w:r>
        <w:rPr>
          <w:i/>
        </w:rPr>
        <w:t>Repercusiones financieras</w:t>
      </w:r>
    </w:p>
    <w:p w14:paraId="6E46C997" w14:textId="648E5381" w:rsidR="001F11D6" w:rsidRDefault="001F11D6" w:rsidP="00DA7639">
      <w:pPr>
        <w:keepNext/>
        <w:keepLines/>
      </w:pPr>
      <w:r>
        <w:t>- Directiva (UE) 2017/2108</w:t>
      </w:r>
    </w:p>
    <w:p w14:paraId="2CB087B7" w14:textId="7FC13105" w:rsidR="001F11D6" w:rsidRPr="001F11D6" w:rsidRDefault="00F254A1" w:rsidP="00DA7639">
      <w:r>
        <w:t xml:space="preserve">Con esta Directiva no se adoptan cambios sustanciales para los buques de pasaje de eslora igual o superior a 24 metros. </w:t>
      </w:r>
      <w:r>
        <w:t xml:space="preserve">Con respecto a estos buques, por tanto, la Directiva modificada y su implementación en la Rvz carecen de consecuencias financieras. </w:t>
      </w:r>
    </w:p>
    <w:p w14:paraId="11F13BAD" w14:textId="5B41445C" w:rsidR="00A2362C" w:rsidRPr="001D2D60" w:rsidRDefault="001F11D6" w:rsidP="00DA7639">
      <w:r>
        <w:t xml:space="preserve">Los buques de pasaje de eslora inferior a 24 metros que han quedado fuera del alcance de la Directiva 2009/45/CE fueron certificados conforme a esa Directiva. </w:t>
      </w:r>
      <w:r>
        <w:t xml:space="preserve">Con la presente Orden, en los Países Bajos, se incorporan requisitos técnicos a la Rvz de forma que, en parte, se declaran de aplicación </w:t>
      </w:r>
      <w:r>
        <w:rPr>
          <w:i w:val="1"/>
        </w:rPr>
        <w:t>mutatis mutandis</w:t>
      </w:r>
      <w:r>
        <w:t xml:space="preserve"> las reglas de seguridad de la Directiva con adiciones y excepciones en los aspectos en que los requisitos de la Directiva 2009/45/CE no son adecuados. </w:t>
      </w:r>
      <w:r>
        <w:t xml:space="preserve">En el momento de la adopción de la presente Orden, hasta donde se sabe, ningún buque de pasaje de eslora inferior a 24 metros navega bajo el pabellón holandés (en la medida en que estos quedan bajo el efecto de esta Orden). </w:t>
      </w:r>
      <w:r>
        <w:t xml:space="preserve">Por lo tanto, la presente Orden carece de repercusiones financieras para el sector en el momento de su adopción. </w:t>
      </w:r>
      <w:r>
        <w:t>Por lo demás, la aplicación de la Directiva mediante la presente Orden tampoco genera cargas financieras para el sector en cuestión.</w:t>
      </w:r>
    </w:p>
    <w:p w14:paraId="6E8B238D" w14:textId="21E55135" w:rsidR="00A2362C" w:rsidRDefault="00A2362C" w:rsidP="00DA7639">
      <w:pPr>
        <w:keepNext/>
        <w:keepLines/>
      </w:pPr>
      <w:r>
        <w:t xml:space="preserve">- Directiva (UE) 2017/2110 </w:t>
      </w:r>
    </w:p>
    <w:p w14:paraId="75692FC6" w14:textId="3D58AC48" w:rsidR="00F20315" w:rsidRDefault="00F20315" w:rsidP="00DA7639">
      <w:r>
        <w:t xml:space="preserve">Los ajustes en la Rvz para la implementación de esta Directiva en lo que se refiere a la derogación de la Directiva 1999/35/CE carecen de efectos financieros para el sector afectado. </w:t>
      </w:r>
      <w:r>
        <w:t>Los posibles efectos financieros que se derivan de la parte de la Directiva (UE) 2017/2110 que prevé la modificación de la Directiva 2009/16/CE se han indicado por separado en la implantación en la Orden de control de buques por el Estado rector del puerto.</w:t>
      </w:r>
    </w:p>
    <w:p w14:paraId="5A2B3636" w14:textId="7B20B481" w:rsidR="00E23A5C" w:rsidRDefault="00E23A5C" w:rsidP="00DA7639">
      <w:r>
        <w:t xml:space="preserve">- Las demás modificaciones tampoco generan cargas financieras para el sector.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7848A86" w14:textId="61C97E3B" w:rsidR="00CB4193" w:rsidRDefault="00CB4193" w:rsidP="00DA7639">
      <w:pPr>
        <w:rPr>
          <w:i/>
        </w:rPr>
      </w:pPr>
    </w:p>
    <w:p w14:paraId="22C2F70C" w14:textId="711E3E63" w:rsidR="007F27A4" w:rsidRDefault="00CB4193" w:rsidP="00DA7639">
      <w:pPr>
        <w:keepNext/>
        <w:keepLines/>
        <w:rPr>
          <w:i/>
        </w:rPr>
      </w:pPr>
      <w:r>
        <w:rPr>
          <w:i/>
        </w:rPr>
        <w:t>Aplicación y cumplimiento</w:t>
      </w:r>
    </w:p>
    <w:p w14:paraId="2C8C3BF6" w14:textId="54B39FC2" w:rsidR="00CB4193" w:rsidRPr="00073C83" w:rsidRDefault="007B7714" w:rsidP="00DA7639">
      <w:pPr>
        <w:rPr>
          <w:i/>
        </w:rPr>
      </w:pPr>
      <w:r>
        <w:t xml:space="preserve">La Inspección de Medio Ambiente y Transportes (ILT, por su versión en neerlandés) supervisa y obliga al cumplimiento, entre otras cosas, de las leyes y normas (de seguridad) para la navegación. </w:t>
      </w:r>
      <w:r>
        <w:t xml:space="preserve">En ese sentido, esta Orden se ha presentado al inspector general (en adelante, IG) de la ILT para la verificación de la aplicabilidad, capacidad de ejecución y la protección contra el fraude de las disposiciones de la Orden. </w:t>
      </w:r>
      <w:r>
        <w:rPr>
          <w:i/>
        </w:rPr>
        <w:t>Por el momento, la Orden carece de consecuencias para la capacidad de ejecución y la aplicabilidad.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128F141" w14:textId="77777777" w:rsidR="00CB4193" w:rsidRDefault="00CB4193" w:rsidP="00DA7639">
      <w:pPr>
        <w:rPr>
          <w:i/>
        </w:rPr>
      </w:pPr>
    </w:p>
    <w:p w14:paraId="7ABC44D1" w14:textId="031DE0CD" w:rsidR="004D04E2" w:rsidRDefault="00CB4193" w:rsidP="00DA7639">
      <w:pPr>
        <w:keepNext/>
        <w:keepLines/>
        <w:rPr>
          <w:i/>
        </w:rPr>
      </w:pPr>
      <w:r>
        <w:rPr>
          <w:i/>
        </w:rPr>
        <w:t>Consulta por internet</w:t>
      </w:r>
    </w:p>
    <w:p w14:paraId="109CF473" w14:textId="4CBB9F09" w:rsidR="0005175D" w:rsidRPr="00C0101D" w:rsidRDefault="00CB021D" w:rsidP="00DA7639">
      <w:r>
        <w:t xml:space="preserve">En este caso, se ha prescindido de consulta por internet. </w:t>
      </w:r>
      <w:r>
        <w:t xml:space="preserve">En primer lugar, se trata de una aplicación estricta, que no genera cambios drásticos en los derechos y las obligaciones de los ciudadanos y las empresas, ni tiene consecuencias drásticas para la aplicación práctica. </w:t>
      </w:r>
      <w:r>
        <w:t xml:space="preserve">Con respecto a la exclusión de buques de pasaje pequeños de la aplicación de la Directiva 2009/45/CE, los Países Bajos han optado por incorporar a la Rvz buena parte de las normas europeas para esta categoría de buques. </w:t>
      </w:r>
      <w:r>
        <w:t xml:space="preserve">Por consiguiente, en este sentido hay pocos o ningún cambio entre la situación «anterior» y la nueva. </w:t>
      </w:r>
      <w:r>
        <w:t xml:space="preserve">Como ningún buque en esta categoría navega bajo el pabellón holandés en los Países Bajos, de hecho, no hay ningún sector afectado. </w:t>
      </w:r>
      <w:r>
        <w:t xml:space="preserve">Por otra parte, esta parte de la Orden no produce cambios drásticos en los derechos y las obligaciones de los ciudadanos y las empresas, ni tiene consecuencias importantes para la aplicación práctica. </w:t>
      </w:r>
      <w:r>
        <w:t xml:space="preserve">Esta Orden de modificación no cubre las situaciones en que una consulta podría dar lugar a una modificación significativa de la propuesta. </w:t>
      </w:r>
      <w:r>
        <w:t>Por estas razones, se ha prescindido de la consulta por internet.</w:t>
      </w:r>
    </w:p>
    <w:p w14:paraId="1514771B" w14:textId="0BDD27D3" w:rsidR="0005175D" w:rsidRPr="00C0101D" w:rsidRDefault="00C0101D" w:rsidP="00DA7639">
      <w:r>
        <w:t xml:space="preserve">Esta Orden de modificación se ha coordinado con diversas partes del sector, entre ellas, la Real Asociación de Armadores Holandeses (KVNR, por su versión en neerlandés) y la Asociación de Ingenieros Hidráulicos. </w:t>
      </w:r>
      <w:r>
        <w:t xml:space="preserve">El sector ha aceptado el cambio propuesto.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4BDA934" w14:textId="77777777" w:rsidR="00CB4193" w:rsidRPr="007B7714" w:rsidRDefault="00CB4193" w:rsidP="00DA7639">
      <w:pPr>
        <w:rPr>
          <w:i/>
        </w:rPr>
      </w:pPr>
    </w:p>
    <w:p w14:paraId="265AC90A" w14:textId="011DCF4A" w:rsidR="00CB4193" w:rsidRPr="00D6504B" w:rsidRDefault="00CB4193" w:rsidP="00DA7639">
      <w:pPr>
        <w:keepNext/>
        <w:keepLines/>
        <w:rPr>
          <w:i/>
        </w:rPr>
      </w:pPr>
      <w:r>
        <w:rPr>
          <w:i/>
        </w:rPr>
        <w:t>Notificación</w:t>
      </w:r>
    </w:p>
    <w:p w14:paraId="03DF4B85" w14:textId="50504C25" w:rsidR="00CB4193" w:rsidRPr="00465815" w:rsidRDefault="00465815" w:rsidP="00DA7639">
      <w:r>
        <w:t xml:space="preserve">El proyecto de esta Orden se notificó el </w:t>
      </w:r>
      <w:r>
        <w:rPr>
          <w:highlight w:val="yellow"/>
        </w:rPr>
        <w:t>....</w:t>
      </w:r>
      <w:r>
        <w:t xml:space="preserve"> de 2019 a la Comisión Europea (número de notificación</w:t>
      </w:r>
      <w:r>
        <w:rPr>
          <w:highlight w:val="yellow"/>
        </w:rPr>
        <w:t>....</w:t>
      </w:r>
      <w:r>
        <w:t xml:space="preserve">) en cumplimiento del artículo 5, apartado 1, de la Directiva (UE) 2015/1535/UE del Parlamento Europeo y del Consejo, de 9 de septiembre de 2015, por la que se establece un procedimiento de información en materia de reglamentaciones técnicas y de reglas relativas a los servicios de la sociedad de la información (versión codificada) (DO L 241 de 2015). </w:t>
      </w:r>
      <w:r>
        <w:t xml:space="preserve">La notificación se refiere al artículo I, parte Q, del proyecto de Orden en relación con el anexo I del proyecto de Orden que contiene reglamentaciones técnicas. </w:t>
      </w:r>
      <w:r>
        <w:t xml:space="preserve">Estas reglamentaciones son necesarias para promover la seguridad marítima y son proporcionales al objetivo pretendido por ellas.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A2B6ECC" w14:textId="77777777" w:rsidR="00C0101D" w:rsidRDefault="00C0101D" w:rsidP="00DA7639">
      <w:pPr>
        <w:rPr>
          <w:i/>
        </w:rPr>
      </w:pPr>
    </w:p>
    <w:p w14:paraId="26A5688B" w14:textId="5C59C019" w:rsidR="00CB4193" w:rsidRDefault="00CB4193" w:rsidP="00DA7639">
      <w:pPr>
        <w:keepNext/>
        <w:keepLines/>
        <w:rPr>
          <w:i/>
        </w:rPr>
      </w:pPr>
      <w:r>
        <w:rPr>
          <w:i/>
        </w:rPr>
        <w:t>Entrada en vigor</w:t>
      </w:r>
    </w:p>
    <w:p w14:paraId="32A858AA" w14:textId="1490F67F" w:rsidR="006729F5" w:rsidRPr="006729F5" w:rsidRDefault="006729F5" w:rsidP="00DA7639">
      <w:r>
        <w:t xml:space="preserve">La presente Orden de modificación entrará en vigor el 21 de diciembre de 2019. </w:t>
      </w:r>
      <w:r>
        <w:t xml:space="preserve">En esta fecha deberán quedar transpuestas la Directiva (UE) 2017/2108 y la Directiva (UE) 2017/2110. </w:t>
      </w:r>
      <w:r>
        <w:t xml:space="preserve">Esta fecha de entrada en vigor significa que se ha establecido una excepción en el régimen de fechas de aplicación común (Documentos parlamentarios II 2008/09, 29 515, n.º 270 y 2009/10, 29 515, n.º 309). </w:t>
      </w:r>
      <w:r>
        <w:t xml:space="preserve">Para ello se ha recurrido al cuarto motivo de excepción: </w:t>
      </w:r>
      <w:r>
        <w:t xml:space="preserve">legislación europea o internacional. </w:t>
      </w:r>
      <w:r>
        <w:t>Este motivo de excepción permite apartarse del régimen de fechas de aplicación común cuando los períodos de implementación europeos no ofrecen un espacio suficiente para la aplicación de fechas fijas de entrada en vigor.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F5E4620" w14:textId="77777777" w:rsidR="00F753CD" w:rsidRDefault="00F753CD" w:rsidP="00DA7639">
      <w:pPr>
        <w:rPr>
          <w:b/>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1CC4F8D" w14:textId="77777777" w:rsidR="00A13389" w:rsidRDefault="00A13389" w:rsidP="00DA7639">
      <w:pPr>
        <w:rPr>
          <w:b/>
        </w:rPr>
      </w:pPr>
    </w:p>
    <w:p w14:paraId="66C0AB0F" w14:textId="0A992FD2" w:rsidR="00B5437C" w:rsidRPr="00B5437C" w:rsidRDefault="00B5437C" w:rsidP="00DA7639">
      <w:pPr>
        <w:keepNext/>
        <w:keepLines/>
        <w:rPr>
          <w:b/>
        </w:rPr>
      </w:pPr>
      <w:r>
        <w:rPr>
          <w:b/>
        </w:rPr>
        <w:t>Exposición de motivos artículo por artículo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86F3EA9" w14:textId="77777777" w:rsidR="00B5437C" w:rsidRPr="00B5437C" w:rsidRDefault="00B5437C" w:rsidP="00DA7639">
      <w:pPr>
        <w:keepNext/>
        <w:keepLines/>
        <w:rPr>
          <w:b/>
        </w:rPr>
      </w:pPr>
    </w:p>
    <w:p w14:paraId="2EC39590" w14:textId="77777777" w:rsidR="00B5437C" w:rsidRPr="00B5437C" w:rsidRDefault="00B5437C" w:rsidP="00DA7639">
      <w:pPr>
        <w:keepNext/>
        <w:keepLines/>
        <w:rPr>
          <w:b/>
          <w:i/>
        </w:rPr>
      </w:pPr>
      <w:r>
        <w:rPr>
          <w:b/>
          <w:i/>
        </w:rPr>
        <w:t>Artículo 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054389F" w14:textId="77777777" w:rsidR="00A13389" w:rsidRDefault="00A13389" w:rsidP="00DA7639">
      <w:pPr>
        <w:keepNext/>
        <w:keepLines/>
        <w:rPr>
          <w:i/>
        </w:rPr>
      </w:pPr>
    </w:p>
    <w:p w14:paraId="18F37402" w14:textId="77777777" w:rsidR="00DA7639" w:rsidRDefault="00001D5C" w:rsidP="00DA7639">
      <w:pPr>
        <w:keepNext/>
        <w:keepLines/>
        <w:rPr>
          <w:i/>
        </w:rPr>
      </w:pPr>
      <w:r>
        <w:rPr>
          <w:i/>
        </w:rPr>
        <w:t>Parte A</w:t>
      </w:r>
    </w:p>
    <w:p w14:paraId="146E8B7B" w14:textId="77777777" w:rsidR="00001D5C" w:rsidRDefault="005E30CF" w:rsidP="00DA7639">
      <w:pPr>
        <w:rPr>
          <w:color w:val="auto"/>
        </w:rPr>
      </w:pPr>
      <w:r>
        <w:rPr>
          <w:color w:val="auto"/>
        </w:rPr>
        <w:t xml:space="preserve">Por error, en la Rvz no se ha incluido como fundamento el artículo 41, apartado 4, del Decreto relativo a los buques de 2004. </w:t>
      </w:r>
      <w:r>
        <w:rPr>
          <w:color w:val="auto"/>
        </w:rPr>
        <w:t xml:space="preserve">Esta omisión se corrige con la adición de esta disposición en el artículo 1 </w:t>
      </w:r>
      <w:r>
        <w:rPr>
          <w:color w:val="auto"/>
          <w:i w:val="1"/>
        </w:rPr>
        <w:t>bis</w:t>
      </w:r>
      <w:r>
        <w:rPr>
          <w:color w:val="auto"/>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22ABC61" w14:textId="77777777" w:rsidR="00DA7639" w:rsidRPr="005E30CF" w:rsidRDefault="00DA7639" w:rsidP="00DA7639">
      <w:pPr>
        <w:rPr>
          <w:color w:val="auto"/>
        </w:rPr>
      </w:pPr>
    </w:p>
    <w:p w14:paraId="70C17499" w14:textId="77777777" w:rsidR="00B5437C" w:rsidRDefault="00B5437C" w:rsidP="00DA7639">
      <w:pPr>
        <w:keepNext/>
        <w:keepLines/>
        <w:rPr>
          <w:i/>
        </w:rPr>
      </w:pPr>
      <w:r>
        <w:rPr>
          <w:i/>
        </w:rPr>
        <w:t>Parte B</w:t>
      </w:r>
    </w:p>
    <w:p w14:paraId="5234E0B8" w14:textId="0D793601" w:rsidR="003F37F9" w:rsidRPr="006729F5" w:rsidRDefault="00E23A5C" w:rsidP="00DA7639">
      <w:r>
        <w:t xml:space="preserve">En primer lugar, en el artículo 1 se suprimen las palabras «Directiva 96/98/CE» en relación con la derogación de esta Directiva por la Directiva 2014/90/UE del Parlamento Europeo y del Consejo sobre equipos marinos, y por la que se deroga la Directiva 96/98/CE del Consejo (DO L 257). </w:t>
      </w:r>
      <w:r>
        <w:t xml:space="preserve">Además, se suprimen las palabras «Directiva 1999/35/CE» a causa de la derogación de esta Directiva por la Directiva (UE) 2017/2110. </w:t>
      </w:r>
      <w:r>
        <w:t xml:space="preserve">En el artículo 1 se ha incluido una definición de esta última Directiva. </w:t>
      </w:r>
      <w:r>
        <w:t xml:space="preserve">Además, se ha adaptado la descripción del código SCV a una formulación dinámica. </w:t>
      </w:r>
      <w:r>
        <w:t>Para explicar la parte insertada «Reglamento de Ejecución» se hace referencia a la exposición de motivos relativa al artículo I, parte B, y el artículo 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213A799" w14:textId="77777777" w:rsidR="00B5437C" w:rsidRPr="00B5437C" w:rsidRDefault="00B5437C" w:rsidP="00DA7639">
      <w:pPr>
        <w:rPr>
          <w:i/>
        </w:rPr>
      </w:pPr>
    </w:p>
    <w:p w14:paraId="371158DF" w14:textId="77777777" w:rsidR="00B5437C" w:rsidRPr="00B5437C" w:rsidRDefault="00B5437C" w:rsidP="00DA7639">
      <w:pPr>
        <w:keepNext/>
        <w:keepLines/>
        <w:rPr>
          <w:i/>
        </w:rPr>
      </w:pPr>
      <w:r>
        <w:rPr>
          <w:i/>
        </w:rPr>
        <w:t xml:space="preserve">Partes C, H, I y M </w:t>
      </w:r>
    </w:p>
    <w:p w14:paraId="2F8B3702" w14:textId="3B874687" w:rsidR="00B5437C" w:rsidRPr="00783ECB" w:rsidRDefault="00FD1476" w:rsidP="00DA7639">
      <w:pPr>
        <w:rPr>
          <w:i/>
        </w:rPr>
      </w:pPr>
      <w:r>
        <w:t xml:space="preserve">Como a partir del 21 de diciembre de 2019 los buques de pasaje de eslora inferior a 24 metros ya no estarán en el ámbito de aplicación de la Directiva 2009/45/CE, para los buques de pasaje deja de ser de aplicación el certificado con el que, conforme a esa Directiva, se realizan trayectos desde o hacia un puerto de la Unión Europea. </w:t>
      </w:r>
      <w:r>
        <w:t xml:space="preserve">Los Países Bajos han aceptado esta limitación del alcance de la aplicación de la Directiva porque se refiere a buques pequeños, a menudo con un área de navegación limitada. </w:t>
      </w:r>
      <w:r>
        <w:t xml:space="preserve">Se ha comprobado que con frecuencia los Estados miembros han emitido exenciones para estos buques. </w:t>
      </w:r>
      <w:r>
        <w:t xml:space="preserve">El procedimiento para ello es engorroso: primero debe presentarse una solicitud de exención a la Comisión Europea, la cual a continuación solicita un dictamen a la Agencia Europea de Seguridad Marítima (AESM), y luego se presenta la solicitud al Comité de Seguridad Marítima (COSS). </w:t>
      </w:r>
      <w:r>
        <w:t xml:space="preserve">Como los Estados miembros querían deshacerse de este problema, a nivel europeo, se ha decidido ceder la reglamentación de estos buques de pasaje pequeños a los Estados miembros y suprimir de la Directiva los requisitos específicos para buques de pasaje de eslora inferior a 24 metros. </w:t>
      </w:r>
      <w:r>
        <w:t xml:space="preserve">Los Estados miembros tienen la facultad de seguir aplicando los requisitos de la «anterior» Directiva 2009/45/CE (en su legislación nacional), sea o no en la forma adaptada. </w:t>
      </w:r>
      <w:r>
        <w:t xml:space="preserve">Estos requisitos se encuentran expresados fundamentalmente en el anexo I de la Directiva 2009/45/CE; en el futuro se suprimirán de este anexo los requisitos específicos para los pequeños buques de pasaje. </w:t>
      </w:r>
      <w:r>
        <w:t xml:space="preserve">Con esta Orden de modificación, los Países Bajos han optado por declarar los requisitos de la Directiva 2009/45/CE aplicables </w:t>
      </w:r>
      <w:r>
        <w:rPr>
          <w:i w:val="1"/>
        </w:rPr>
        <w:t>mutatis mutandis</w:t>
      </w:r>
      <w:r>
        <w:t xml:space="preserve"> a esta categoría de buques, con las adiciones y excepciones en los aspectos necesarios. </w:t>
      </w:r>
      <w:r>
        <w:t xml:space="preserve">A partir del 21 de diciembre de 2019, y sobre la base del artículo modificado 3 </w:t>
      </w:r>
      <w:r>
        <w:rPr>
          <w:i w:val="1"/>
        </w:rPr>
        <w:t>bis</w:t>
      </w:r>
      <w:r>
        <w:t xml:space="preserve">, apartado 1, de la Rvz, se expedirá un certificado nacional de seguridad (en adelante, «NVC», por sus siglas en neerlandés) para estos buques, cuando se cumplan los requisitos aplicables. </w:t>
      </w:r>
      <w:r>
        <w:t xml:space="preserve">En esta disposición esta categoría de barcos, que no incluye los barcos de vela marítimos, se ha incorporado como categoría para la cual se expide el NVC. </w:t>
      </w:r>
      <w:r>
        <w:t xml:space="preserve">Los requisitos que deben cumplir estos buques antes de la expedición del NVC se recogen en el anexo 3 </w:t>
      </w:r>
      <w:r>
        <w:rPr>
          <w:i w:val="1"/>
        </w:rPr>
        <w:t>quinquies</w:t>
      </w:r>
      <w:r>
        <w:t xml:space="preserve">. </w:t>
      </w:r>
      <w:r>
        <w:t>Esto se destalla en la parte Q.</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ACA12F5" w14:textId="77777777" w:rsidR="00B5437C" w:rsidRDefault="00B5437C" w:rsidP="00DA7639">
      <w:pPr/>
    </w:p>
    <w:p w14:paraId="05460292" w14:textId="77777777" w:rsidR="00B5437C" w:rsidRPr="00B5437C" w:rsidRDefault="00B5437C" w:rsidP="00DA7639">
      <w:pPr>
        <w:keepNext/>
        <w:keepLines/>
        <w:rPr>
          <w:i/>
        </w:rPr>
      </w:pPr>
      <w:r>
        <w:rPr>
          <w:i/>
        </w:rPr>
        <w:t>Partes D y E</w:t>
      </w:r>
    </w:p>
    <w:p w14:paraId="69DD4C0A" w14:textId="46A0F64C" w:rsidR="00CF1BCF" w:rsidRPr="00CF1BCF" w:rsidRDefault="00CF1BCF" w:rsidP="00DA7639">
      <w:r>
        <w:t xml:space="preserve">En cuanto a la limitación del alcance de la Directiva 2009/45/CE se han adaptado el artículo 4 y el artículo 10, respectivamente, sobre el certificado para buques de pasaje en la navegación nacional contemplados en la Directiva y la inspección previa a la expedición del certificado. </w:t>
      </w:r>
      <w:r>
        <w:t xml:space="preserve">Estas disposiciones solo se aplican a buques de eslora igual o superior a 24 metros en navegación nacional según se contempla en la Directiva.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9BB13E4" w14:textId="77777777" w:rsidR="00B5437C" w:rsidRPr="00B5437C" w:rsidRDefault="00B5437C" w:rsidP="00DA7639">
      <w:pPr>
        <w:rPr>
          <w:i/>
        </w:rPr>
      </w:pPr>
    </w:p>
    <w:p w14:paraId="48F7001F" w14:textId="77777777" w:rsidR="00B5437C" w:rsidRPr="00B5437C" w:rsidRDefault="00B5437C" w:rsidP="00DA7639">
      <w:pPr>
        <w:keepNext/>
        <w:keepLines/>
        <w:rPr>
          <w:i/>
        </w:rPr>
      </w:pPr>
      <w:r>
        <w:rPr>
          <w:i/>
        </w:rPr>
        <w:t>Parte F</w:t>
      </w:r>
    </w:p>
    <w:p w14:paraId="46CC8D7D" w14:textId="77777777" w:rsidR="004C206A" w:rsidRDefault="004C206A" w:rsidP="00DA7639">
      <w:r>
        <w:t xml:space="preserve">Respecto a la eliminación del valor límite inferior de 3 000 GT en el Código LY3, se ha modificado el artículo 12 </w:t>
      </w:r>
      <w:r>
        <w:rPr>
          <w:i w:val="1"/>
        </w:rPr>
        <w:t>bis</w:t>
      </w:r>
      <w:r>
        <w:t xml:space="preserve">. </w:t>
      </w:r>
      <w:r>
        <w:t xml:space="preserve">Por error, esto no se ha tenido en cuenta antes. </w:t>
      </w:r>
      <w:r>
        <w:t xml:space="preserve">Con esta modificación se solventa tal omisión. </w:t>
      </w:r>
      <w:r>
        <w:t>El apartado 1 y el apartado 2 también se han reformulado ligeramente en aras de claridad.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05CC14A" w14:textId="77777777" w:rsidR="00B5437C" w:rsidRDefault="00B5437C" w:rsidP="00DA7639">
      <w:pPr>
        <w:rPr>
          <w:i/>
        </w:rPr>
      </w:pPr>
    </w:p>
    <w:p w14:paraId="716FF54B" w14:textId="77777777" w:rsidR="00B5437C" w:rsidRDefault="00B5437C" w:rsidP="00DA7639">
      <w:pPr>
        <w:keepNext/>
        <w:keepLines/>
        <w:rPr>
          <w:i/>
        </w:rPr>
      </w:pPr>
      <w:r>
        <w:rPr>
          <w:i/>
        </w:rPr>
        <w:t>Parte G</w:t>
      </w:r>
    </w:p>
    <w:p w14:paraId="6F222E09" w14:textId="649EC9D8" w:rsidR="00D320A4" w:rsidRDefault="00D320A4" w:rsidP="00DA7639">
      <w:r>
        <w:t xml:space="preserve">En primer lugar, en el artículo 13, la referencia a la Directiva 1995/35 se ha sustituido por la Directiva (UE) 2017/2110, que derogó a la Directiva 1995/35/CE. </w:t>
      </w:r>
      <w:r>
        <w:t>Además, la terminología utilizada en esta disposición se ha ajustado a la de la Directiva (UE) 2017/2110: «transbordador» (</w:t>
      </w:r>
      <w:r>
        <w:rPr>
          <w:i w:val="1"/>
        </w:rPr>
        <w:t>ferry</w:t>
      </w:r>
      <w:r>
        <w:t>) se ha sustituido por «buque de pasaje» (</w:t>
      </w:r>
      <w:r>
        <w:rPr>
          <w:i w:val="1"/>
        </w:rPr>
        <w:t>passenger ship</w:t>
      </w:r>
      <w:r>
        <w:t xml:space="preserve">). </w:t>
      </w:r>
      <w:r>
        <w:t>Con respecto a los buques de alta velocidad, en la Directiva se utiliza el término «naves de pasaje» (</w:t>
      </w:r>
      <w:r>
        <w:rPr>
          <w:i w:val="1"/>
        </w:rPr>
        <w:t>craft</w:t>
      </w:r>
      <w:r>
        <w:t>) en lugar del término «buques» (</w:t>
      </w:r>
      <w:r>
        <w:rPr>
          <w:i w:val="1"/>
        </w:rPr>
        <w:t>ships</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D4D0FC6" w14:textId="77777777" w:rsidR="00D320A4" w:rsidRDefault="00D320A4" w:rsidP="00DA7639">
      <w:pPr/>
    </w:p>
    <w:p w14:paraId="6062E62F" w14:textId="7E5965BC" w:rsidR="0039062D" w:rsidRPr="0039062D" w:rsidRDefault="0039062D" w:rsidP="00DA7639">
      <w:r>
        <w:t xml:space="preserve">Esta disposición se ha adaptado también con respecto a la aplicación de la Directiva (UE) 2017/2110 a los buques que navegan con pabellón holandés hacia un país que no sea Estado miembro de la Unión o que se encuentran en navegación nacional holandesa. </w:t>
      </w:r>
      <w:r>
        <w:t xml:space="preserve">Los buques sujetos a las inspecciones dentro del marco del control del Estado rector del puerto se encuentran dentro del ámbito de aplicación de la Directiva 2009/16/CE. </w:t>
      </w:r>
      <w:r>
        <w:t xml:space="preserve">Anteriormente, estos se encontraban bajo el efecto de la Directiva 1995/35/CE. </w:t>
      </w:r>
      <w:r>
        <w:t xml:space="preserve">Por lo tanto, respecto a la directiva anterior, el ámbito de aplicación de la Directiva (UE) 2017/2110 queda restringido a los buques de pasaje de transbordo rodado y las naves de pasaje de gran velocidad que prestan servicios regulares entre puertos de un Estado miembro o entre un puerto de un Estado miembro y un puerto de un tercer país mientras el buque enarbola el pabellón del Estado miembro en cuestión. </w:t>
      </w:r>
      <w:r>
        <w:t xml:space="preserve">La Directiva 2009/16/CE es de aplicación para las embarcaciones utilizadas en servicios regulares con buques de pasaje de transbordo rodado y naves de pasaje de gran velocidad entre un Estado miembro y un tercer país, si la embarcación no está bajo el pabellón del Estado miembro en cuestión. </w:t>
      </w:r>
      <w:r>
        <w:t>La Orden de control de buques por el Estado rector del puerto de 2011 se ha modificado de forma independiente respecto a lo anterior.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D258F50" w14:textId="77777777" w:rsidR="0039062D" w:rsidRDefault="0039062D" w:rsidP="00DA7639">
      <w:pPr/>
    </w:p>
    <w:p w14:paraId="34F7BBAB" w14:textId="77777777" w:rsidR="00B5437C" w:rsidRPr="00B5437C" w:rsidRDefault="00B5437C" w:rsidP="00DA7639">
      <w:pPr>
        <w:keepNext/>
        <w:keepLines/>
        <w:rPr>
          <w:i/>
        </w:rPr>
      </w:pPr>
      <w:r>
        <w:rPr>
          <w:i/>
        </w:rPr>
        <w:t>Parte J</w:t>
      </w:r>
    </w:p>
    <w:p w14:paraId="1EE74D2A" w14:textId="60A7BDFF" w:rsidR="008A74D3" w:rsidRPr="00632BA0" w:rsidRDefault="003A2421" w:rsidP="00DA7639">
      <w:r>
        <w:t xml:space="preserve">Como los buques de eslora inferior a 24 metros ya no están contemplados en el ámbito de aplicación de la Directiva 2009/45/CE, el artículo 19 solo se aplicará a los buques de eslora de 24 metros y superior. </w:t>
      </w:r>
      <w:r>
        <w:t xml:space="preserve">Por consiguiente, también se ha modificado el título del artículo 19. </w:t>
      </w:r>
      <w:r>
        <w:t xml:space="preserve">Este artículo también se ha modificado debido a la redefinición de las diferentes zonas marítimas, para lo cual es importante que la delimitación de una zona marítima por parte un Estado miembro deba efectuarse de modo que el límite interior de la zona marítima se encuentre lo más próximo posible a su línea de costa. </w:t>
      </w:r>
      <w:r>
        <w:t>La redefinición en la Directiva 2009/45/CE se ha implementado con la referencia a la Ley de fronteras del mar territorial neerlandés (Boletín oficial de 1985, 129) en el artículo 19, apartado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A880705" w14:textId="77777777" w:rsidR="008A74D3" w:rsidRPr="00632BA0" w:rsidRDefault="008A74D3" w:rsidP="00DA7639">
      <w:pPr/>
    </w:p>
    <w:p w14:paraId="3F821E96" w14:textId="77777777" w:rsidR="00B5437C" w:rsidRPr="00B5437C" w:rsidRDefault="00B5437C" w:rsidP="00DA7639">
      <w:pPr>
        <w:keepNext/>
        <w:keepLines/>
        <w:rPr>
          <w:i/>
        </w:rPr>
      </w:pPr>
      <w:r>
        <w:rPr>
          <w:i/>
        </w:rPr>
        <w:t>Parte K</w:t>
      </w:r>
    </w:p>
    <w:p w14:paraId="7DDC3D2D" w14:textId="4FA96EA7" w:rsidR="00B5437C" w:rsidRPr="00AA14DF" w:rsidRDefault="00AA14DF" w:rsidP="00DA7639">
      <w:r>
        <w:t xml:space="preserve">La expresión «de eslora inferior a 24 metros» en el artículo 22, apartado 4, se ha suprimido porque no estaba claro si la frase se refería tanto a la letra b) como a la letra c) del artículo 3 </w:t>
      </w:r>
      <w:r>
        <w:rPr>
          <w:i w:val="1"/>
        </w:rPr>
        <w:t>bis</w:t>
      </w:r>
      <w:r>
        <w:t xml:space="preserve">, apartado 1, o a una de ambas letras. </w:t>
      </w:r>
      <w:r>
        <w:t xml:space="preserve">Además, la adición de la eslora del barco se ha demostrado innecesaria con respecto a la letra b): para los barcos contemplados en la letra b), la especificación de la eslora ya se contempla en la propia letra b). </w:t>
      </w:r>
      <w:r>
        <w:t xml:space="preserve">Para los buques a los que se hace referencia en la letra c), la eslora ni siquiera es relevante, porque un barco sin propulsión requiere siempre un certificado nacional de seguridad, independientemente de su eslora (estos buques deben cumplir el Intact Stability Code, 2008, con independencia de su eslora).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523DBA4" w14:textId="77777777" w:rsidR="00B5437C" w:rsidRPr="00B5437C" w:rsidRDefault="00B5437C" w:rsidP="00DA7639">
      <w:pPr>
        <w:rPr>
          <w:i/>
        </w:rPr>
      </w:pPr>
    </w:p>
    <w:p w14:paraId="4BADD275" w14:textId="77777777" w:rsidR="00160851" w:rsidRDefault="00160851" w:rsidP="00DA7639">
      <w:pPr>
        <w:keepNext/>
        <w:keepLines/>
        <w:rPr>
          <w:i/>
        </w:rPr>
      </w:pPr>
      <w:r>
        <w:rPr>
          <w:i/>
        </w:rPr>
        <w:t>Parte L</w:t>
      </w:r>
    </w:p>
    <w:p w14:paraId="666FAEF7" w14:textId="77777777" w:rsidR="00160851" w:rsidRPr="00A31EEF" w:rsidRDefault="00160851" w:rsidP="00DA7639">
      <w:r>
        <w:t xml:space="preserve">En el artículo 38, apartado 2, por error, se hacía referencia a un punto 2 inexistente en el apartado 1, letra b). </w:t>
      </w:r>
      <w:r>
        <w:t xml:space="preserve">Esto se ha corregido con esta modificación.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598191D" w14:textId="77777777" w:rsidR="00160851" w:rsidRDefault="00160851" w:rsidP="00DA7639">
      <w:pPr>
        <w:rPr>
          <w:i/>
        </w:rPr>
      </w:pPr>
    </w:p>
    <w:p w14:paraId="17085025" w14:textId="77777777" w:rsidR="00141E73" w:rsidRPr="00141E73" w:rsidRDefault="00141E73" w:rsidP="00DA7639">
      <w:pPr>
        <w:keepNext/>
        <w:keepLines/>
        <w:rPr>
          <w:i/>
        </w:rPr>
      </w:pPr>
      <w:r>
        <w:rPr>
          <w:i/>
        </w:rPr>
        <w:t>Partes N y O</w:t>
      </w:r>
    </w:p>
    <w:p w14:paraId="34F7506B" w14:textId="72FAEF7B" w:rsidR="00141E73" w:rsidRPr="00144096" w:rsidRDefault="00233687" w:rsidP="00DA7639">
      <w:r>
        <w:t xml:space="preserve">El artículo 13 ya no se aplicará </w:t>
      </w:r>
      <w:r>
        <w:rPr>
          <w:i w:val="1"/>
        </w:rPr>
        <w:t>mutatis mutandis</w:t>
      </w:r>
      <w:r>
        <w:t xml:space="preserve"> a los buques extranjeros, ya que las inspecciones de estos buques se incluyen en el ámbito de aplicación de la Directiva 2009/16/CE. </w:t>
      </w:r>
      <w:r>
        <w:t xml:space="preserve">Se ha eliminado la referencia al artículo 13 en el artículo 57 y el artículo 58. </w:t>
      </w:r>
      <w:r>
        <w:t>Para el artículo 58, esto significa que se suprime la letra b).</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ED4DC76" w14:textId="77777777" w:rsidR="00141E73" w:rsidRPr="00141E73" w:rsidRDefault="00141E73" w:rsidP="00DA7639">
      <w:pPr>
        <w:rPr>
          <w:i/>
        </w:rPr>
      </w:pPr>
    </w:p>
    <w:p w14:paraId="2C89948E" w14:textId="77777777" w:rsidR="00DA7639" w:rsidRDefault="00141E73" w:rsidP="00DA7639">
      <w:pPr>
        <w:keepNext/>
        <w:keepLines/>
        <w:rPr>
          <w:i/>
        </w:rPr>
      </w:pPr>
      <w:r>
        <w:rPr>
          <w:i/>
        </w:rPr>
        <w:t>Parte Q</w:t>
      </w:r>
    </w:p>
    <w:p w14:paraId="6650A23E" w14:textId="464A8EF3" w:rsidR="007822CC" w:rsidRPr="00632BA0" w:rsidRDefault="00E20FF0" w:rsidP="00DA7639">
      <w:r>
        <w:t xml:space="preserve">Los requisitos que deben cumplir los buques de pasaje de menos de 24 metros, excepto los barcos de vela marítimos, para obtener un NVC están recogidos en el nuevo anexo 3 </w:t>
      </w:r>
      <w:r>
        <w:rPr>
          <w:i w:val="1"/>
        </w:rPr>
        <w:t>quinquies</w:t>
      </w:r>
      <w:r>
        <w:t xml:space="preserve">. </w:t>
      </w:r>
      <w:r>
        <w:t xml:space="preserve">En parte, se hace referencia a los requisitos que, en virtud de la Directiva, se aplicaban (también) a esta categoría de buques de pasaje. </w:t>
      </w:r>
      <w:r>
        <w:t xml:space="preserve">Las demás adiciones y excepciones de estos requisitos se incluyen también en el anexo 3 </w:t>
      </w:r>
      <w:r>
        <w:rPr>
          <w:i w:val="1"/>
        </w:rPr>
        <w:t>quinquies</w:t>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E6D1CEF" w14:textId="77777777" w:rsidR="00141E73" w:rsidRPr="00632BA0" w:rsidRDefault="00141E73" w:rsidP="00DA7639">
      <w:pPr/>
    </w:p>
    <w:p w14:paraId="7AFBD2B0" w14:textId="720E1C7D" w:rsidR="00141E73" w:rsidRDefault="00141E73" w:rsidP="00DA7639">
      <w:pPr>
        <w:keepNext/>
        <w:keepLines/>
        <w:rPr>
          <w:i/>
        </w:rPr>
      </w:pPr>
      <w:r>
        <w:rPr>
          <w:i/>
        </w:rPr>
        <w:t>Parte R</w:t>
      </w:r>
    </w:p>
    <w:p w14:paraId="29CEB049" w14:textId="13E9FE64" w:rsidR="00B5437C" w:rsidRDefault="00F551CE" w:rsidP="00DA7639">
      <w:pPr>
        <w:rPr>
          <w:i/>
        </w:rPr>
      </w:pPr>
      <w:r>
        <w:t xml:space="preserve">Con la Directiva (UE) 2017/2108, se han redefinido las categorías de zonas marítimas y las diferentes clases de buques de pasaje en la Directiva 2009/45/CE. </w:t>
      </w:r>
      <w:r>
        <w:t xml:space="preserve">Entre otras cosas, se estipula que cada Estado miembro determinará el límite interior de la zona marítima más próximo a la línea de costa. </w:t>
      </w:r>
      <w:r>
        <w:t xml:space="preserve">Al respecto, se ha sustituido por completo el anexo 4.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94DAE38" w14:textId="77777777" w:rsidR="00F242B4" w:rsidRDefault="00F242B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C816F5" w14:textId="77777777" w:rsidR="00056946" w:rsidRDefault="00056946" w:rsidP="00DA7639">
      <w:pPr>
        <w:rPr>
          <w:b/>
          <w:i/>
        </w:rPr>
      </w:pPr>
    </w:p>
    <w:p w14:paraId="0486C8D3" w14:textId="2CC5EAA9" w:rsidR="00B5437C" w:rsidRPr="00D84760" w:rsidRDefault="00B5437C" w:rsidP="00DA7639">
      <w:pPr>
        <w:keepNext/>
        <w:keepLines/>
        <w:rPr>
          <w:b/>
          <w:i/>
        </w:rPr>
      </w:pPr>
      <w:r>
        <w:rPr>
          <w:b/>
          <w:i/>
        </w:rPr>
        <w:t>Artículo I, partes B y P, y artículo 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563445F" w14:textId="77777777" w:rsidR="004752BE" w:rsidRPr="003F37F9" w:rsidRDefault="004752BE" w:rsidP="00DA7639">
      <w:pPr>
        <w:keepNext/>
        <w:keepLines/>
        <w:rPr>
          <w:i/>
          <w:highlight w:val="cyan"/>
        </w:rPr>
      </w:pPr>
    </w:p>
    <w:p w14:paraId="19E5D292" w14:textId="26D13C98" w:rsidR="00083CE9" w:rsidRDefault="00083CE9" w:rsidP="00DA7639">
      <w:pPr>
        <w:keepNext/>
        <w:keepLines/>
        <w:rPr>
          <w:i/>
        </w:rPr>
      </w:pPr>
      <w:r>
        <w:rPr>
          <w:i/>
        </w:rPr>
        <w:t>Artículo 1 de la Rvz y artículo 1 de la Rvvs</w:t>
      </w:r>
    </w:p>
    <w:p w14:paraId="637A18B5" w14:textId="06BD946E" w:rsidR="00D84760" w:rsidRPr="00D84760" w:rsidRDefault="00056946" w:rsidP="00DA7639">
      <w:r>
        <w:t xml:space="preserve">En ambas Órdenes, en el apartado de términos y definiciones, se ha añadido la parte «Reglamento de Ejecución de equipos marinos» a fin de clarificar el reglamento de ejecución que está sujeto a la Directiva de equipos marinos (2014/90/UE). </w:t>
      </w:r>
      <w:r>
        <w:t xml:space="preserve">De conformidad con el artículo 35, apartado 2, de la Directiva, la Comisión Europea podrá establecer actos de ejecución relativos a los requisitos referidos al diseño, la construcción y el rendimiento, así como a las normas de ensayos para equipos marinos. </w:t>
      </w:r>
      <w:r>
        <w:t>En el momento de incorporar esta descripción de concepto en la Orden es de aplicación el Reglamento de Ejecución (UE) n.º 2018/773</w:t>
      </w:r>
      <w:r>
        <w:rPr>
          <w:rStyle w:val="FootnoteReference"/>
        </w:rPr>
        <w:footnoteReference w:id="6"/>
      </w:r>
      <w:r>
        <w:t xml:space="preserve">. </w:t>
      </w:r>
      <w:r>
        <w:t xml:space="preserve">Sin embargo, en los respectivos términos y definiciones no se incluye ningún número de reglamento de ejecución, porque cada año el reglamento de ejecución en cuestión se sustituye por uno nuevo, con un cuadro nuevo. </w:t>
      </w:r>
      <w:r>
        <w:t>De este modo se evita tener que sustituir también la Orden cada vez.</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A3440DC" w14:textId="77777777" w:rsidR="00D84760" w:rsidRDefault="00D84760" w:rsidP="00DA7639">
      <w:pPr>
        <w:rPr>
          <w:i/>
        </w:rPr>
      </w:pPr>
    </w:p>
    <w:p w14:paraId="6F9CC46B" w14:textId="77777777" w:rsidR="00C22D7F" w:rsidRDefault="004752BE" w:rsidP="00DA7639">
      <w:pPr>
        <w:keepNext/>
        <w:keepLines/>
        <w:rPr>
          <w:i/>
        </w:rPr>
      </w:pPr>
      <w:r>
        <w:rPr>
          <w:i/>
        </w:rPr>
        <w:t xml:space="preserve">Artículo 62, apartado 2, de la Rvz y artículo 17, apartado 2, de la Rvvs </w:t>
      </w:r>
    </w:p>
    <w:p w14:paraId="69843A49" w14:textId="58896851" w:rsidR="003F37F9" w:rsidRPr="00C22D7F" w:rsidRDefault="004752BE" w:rsidP="00DA7639">
      <w:pPr>
        <w:rPr>
          <w:highlight w:val="cyan"/>
        </w:rPr>
      </w:pPr>
      <w:r>
        <w:t xml:space="preserve">El Reglamento de Ejecución de la Directiva de equipos marinos (2014/90/UE) incorpora un cuadro que especifica qué equipo debe cumplir qué requisitos. </w:t>
      </w:r>
      <w:r>
        <w:t xml:space="preserve">Se incluye, además, un plazo de supresión progresiva para equipos recién incorporados. </w:t>
      </w:r>
      <w:r>
        <w:t xml:space="preserve">En el artículo 62, apartado 2, de la Rvz, y el artículo 17, apartado 2, de la Rvvs, se estipula, en consecuencia, el período de supresión progresiva del equipo marino, que, por primera vez, deberá cumplir requisitos armonizados a partir de una fecha determinada. </w:t>
      </w:r>
      <w:r>
        <w:t>De esta forma, se evita que este tipo de equipo ya no pueda instalarse a bordo a partir del momento de aplicación de estos requisitos.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B19A4BB" w14:textId="77777777" w:rsidR="003F37F9" w:rsidRDefault="003F37F9" w:rsidP="00DA7639">
      <w:pPr>
        <w:rPr>
          <w:i/>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2292EBA" w14:textId="77777777" w:rsidR="003F37F9" w:rsidRPr="00F37185" w:rsidRDefault="003F37F9" w:rsidP="00DA7639">
      <w:pPr>
        <w:rPr>
          <w:i/>
        </w:rPr>
      </w:pPr>
    </w:p>
    <w:p w14:paraId="5339DE5F" w14:textId="2D7C653E" w:rsidR="003F37F9" w:rsidRDefault="003F37F9" w:rsidP="00DA7639">
      <w:pPr>
        <w:keepNext/>
        <w:keepLines/>
        <w:rPr>
          <w:b/>
          <w:i/>
        </w:rPr>
      </w:pPr>
      <w:r>
        <w:rPr>
          <w:b/>
          <w:i/>
        </w:rPr>
        <w:t>Artículo III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A82E32" w14:textId="77777777" w:rsidR="00DA7639" w:rsidRPr="00C22D7F" w:rsidRDefault="00DA7639" w:rsidP="00DA7639">
      <w:pPr>
        <w:keepNext/>
        <w:keepLines/>
        <w:rPr>
          <w:b/>
          <w:i/>
        </w:rPr>
      </w:pPr>
    </w:p>
    <w:p w14:paraId="41D2FE8D" w14:textId="6357E484" w:rsidR="007F27A4" w:rsidRDefault="00537AD1" w:rsidP="00DA7639">
      <w:pPr>
        <w:rPr>
          <w:i/>
        </w:rPr>
      </w:pPr>
      <w:r>
        <w:t xml:space="preserve">Para la entrada en vigor de esta Orden, no se aplicarán las fechas de aplicación común para la legislación. </w:t>
      </w:r>
      <w:r>
        <w:t>Esto está relacionado con el hecho de que se hace uso de la excepción para la implementación de disposiciones internacionales y europeas.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67C2E07" w14:textId="77777777" w:rsidR="00E43FB2" w:rsidRPr="00537AD1" w:rsidRDefault="00E43FB2" w:rsidP="00DA7639">
      <w:pPr>
        <w:rPr>
          <w:i/>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85E1830" w14:textId="77777777" w:rsidR="00A13389" w:rsidRDefault="00A13389" w:rsidP="00DA7639">
      <w:pPr>
        <w:rPr>
          <w:b/>
          <w:i/>
        </w:rPr>
      </w:pPr>
    </w:p>
    <w:p w14:paraId="0A012EFA" w14:textId="77777777" w:rsidR="00DA7639" w:rsidRDefault="00160851" w:rsidP="00DA7639">
      <w:pPr>
        <w:keepNext/>
        <w:keepLines/>
        <w:rPr>
          <w:b/>
          <w:i/>
        </w:rPr>
      </w:pPr>
      <w:r>
        <w:rPr>
          <w:b/>
          <w:i/>
        </w:rPr>
        <w:t>Cuadros de transposición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B668CBB" w14:textId="77777777" w:rsidR="00DA7639" w:rsidRDefault="00DA7639" w:rsidP="00DA7639">
      <w:pPr>
        <w:keepNext/>
        <w:keepLines/>
      </w:pPr>
    </w:p>
    <w:p w14:paraId="33E76D7C" w14:textId="77777777" w:rsidR="00537AD1" w:rsidRDefault="00537AD1" w:rsidP="00DA7639">
      <w:r>
        <w:t>Los cuadros de transposición que siguen indican qué artículo de la Orden sobre la seguridad de los buques marítimos o qué otros artículos reglamentarios de las Directivas se han implementado.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0600CE8" w14:textId="77777777" w:rsidR="00537AD1" w:rsidRDefault="00537AD1" w:rsidP="00DA7639">
      <w:pPr/>
    </w:p>
    <w:p w14:paraId="0FDBF87A" w14:textId="77777777" w:rsidR="00537AD1" w:rsidRPr="004C0CE1" w:rsidRDefault="00537AD1" w:rsidP="00DA7639">
      <w:pPr>
        <w:keepNext/>
        <w:keepLines/>
        <w:shd w:val="clear" w:color="auto" w:fill="FFFFFF"/>
        <w:autoSpaceDN/>
        <w:spacing w:line="240" w:lineRule="auto"/>
        <w:textAlignment w:val="auto"/>
        <w:rPr>
          <w:rFonts w:eastAsia="Times New Roman" w:cs="Times New Roman"/>
          <w:b/>
        </w:rPr>
      </w:pPr>
      <w:r>
        <w:rPr>
          <w:rFonts/>
          <w:b/>
        </w:rPr>
        <w:t xml:space="preserve">Cuadro de transposición 1.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4D80BC8" w14:textId="77777777" w:rsidR="006D4890" w:rsidRPr="004C0CE1" w:rsidRDefault="006D4890" w:rsidP="00DA7639">
      <w:pPr>
        <w:keepNext/>
        <w:keepLines/>
        <w:shd w:val="clear" w:color="auto" w:fill="FFFFFF"/>
        <w:autoSpaceDN/>
        <w:spacing w:line="240" w:lineRule="auto"/>
        <w:textAlignment w:val="auto"/>
        <w:rPr>
          <w:rFonts w:eastAsia="Times New Roman" w:cs="Times New Roman"/>
          <w:b/>
        </w:rPr>
      </w:pPr>
    </w:p>
    <w:p w14:paraId="6F48B89E" w14:textId="77777777" w:rsidR="006D4890" w:rsidRPr="00632BA0" w:rsidRDefault="006D4890" w:rsidP="00632BA0">
      <w:r>
        <w:t>Directiva (UE) 2017/2108 por la que se modifica la Directiva 2009/45/CE sobre las reglas y normas de seguridad aplicables a los buques de pasaje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53DF71BE" w14:textId="77777777" w:rsidR="00537AD1" w:rsidRPr="00632BA0" w:rsidRDefault="00537AD1" w:rsidP="00632BA0">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elraster1"/>
        <w:tblW w:w="8710" w:type="dxa"/>
        <w:tblInd w:w="5" w:type="dxa"/>
        <w:tblLook w:val="04A0" w:firstRow="1" w:lastRow="0" w:firstColumn="1" w:lastColumn="0" w:noHBand="0" w:noVBand="1"/>
      </w:tblPr>
      <w:tblGrid>
        <w:gridCol w:w="1445"/>
        <w:gridCol w:w="1322"/>
        <w:gridCol w:w="2793"/>
        <w:gridCol w:w="3150"/>
      </w:tblGrid>
      <w:tr w:rsidR="00AD0D1F" w:rsidRPr="005B7AD2" w14:paraId="3CD733B3" w14:textId="77777777" w:rsidTr="00DA7639">
        <w:tc>
          <w:tcPr>
            <w:tcW w:w="1445" w:type="dxa"/>
            <w:shd w:val="clear" w:color="auto" w:fill="EEECE1"/>
          </w:tcPr>
          <w:p w14:paraId="3EFF4781" w14:textId="78319F26" w:rsidR="00AD0D1F" w:rsidRPr="00341A53" w:rsidRDefault="00AD0D1F" w:rsidP="00DA7639">
            <w:pPr>
              <w:keepNext/>
              <w:keepLines/>
              <w:spacing w:line="240" w:lineRule="auto"/>
              <w:rPr>
                <w:rFonts w:ascii="Calibri" w:eastAsia="Times New Roman" w:hAnsi="Calibri" w:cs="Times New Roman"/>
                <w:b/>
                <w:color w:val="auto"/>
                <w:sz w:val="22"/>
                <w:szCs w:val="22"/>
              </w:rPr>
            </w:pPr>
            <w:r>
              <w:rPr>
                <w:rFonts w:ascii="Calibri" w:hAnsi="Calibri"/>
                <w:b/>
                <w:color w:val="auto"/>
                <w:sz w:val="22"/>
              </w:rPr>
              <w:t xml:space="preserve">Disposición de la Directiva (UE) 2017/2108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shd w:val="clear" w:color="auto" w:fill="EEECE1"/>
          </w:tcPr>
          <w:p w14:paraId="2D7A291C" w14:textId="4B39E664" w:rsidR="00AD0D1F" w:rsidRPr="00341A53" w:rsidRDefault="00AD0D1F" w:rsidP="00DA7639">
            <w:pPr>
              <w:keepNext/>
              <w:keepLines/>
              <w:spacing w:line="240" w:lineRule="auto"/>
              <w:rPr>
                <w:rFonts w:ascii="Calibri" w:eastAsia="Times New Roman" w:hAnsi="Calibri" w:cs="Times New Roman"/>
                <w:b/>
                <w:color w:val="auto"/>
                <w:sz w:val="22"/>
                <w:szCs w:val="22"/>
              </w:rPr>
            </w:pPr>
            <w:r>
              <w:rPr>
                <w:rFonts w:ascii="Calibri" w:hAnsi="Calibri"/>
                <w:b/>
                <w:color w:val="auto"/>
                <w:sz w:val="22"/>
              </w:rPr>
              <w:t>Disposición modificada de la Directiva 2009/45/CE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shd w:val="clear" w:color="auto" w:fill="EEECE1"/>
          </w:tcPr>
          <w:p w14:paraId="4287D12B" w14:textId="77777777" w:rsidR="00AD0D1F" w:rsidRPr="00341A53" w:rsidRDefault="00AD0D1F" w:rsidP="00DA7639">
            <w:pPr>
              <w:keepNext/>
              <w:keepLines/>
              <w:spacing w:line="240" w:lineRule="auto"/>
              <w:rPr>
                <w:rFonts w:ascii="Calibri" w:eastAsia="Times New Roman" w:hAnsi="Calibri" w:cs="Times New Roman"/>
                <w:b/>
                <w:color w:val="auto"/>
                <w:sz w:val="22"/>
                <w:szCs w:val="22"/>
              </w:rPr>
            </w:pPr>
            <w:r>
              <w:rPr>
                <w:rFonts w:ascii="Calibri" w:hAnsi="Calibri"/>
                <w:b/>
                <w:color w:val="auto"/>
                <w:sz w:val="22"/>
              </w:rPr>
              <w:t xml:space="preserve">Implementación nacional en la Rvz, salvo indicación de lo contrario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shd w:val="clear" w:color="auto" w:fill="EEECE1"/>
          </w:tcPr>
          <w:p w14:paraId="6F7028B9" w14:textId="77777777" w:rsidR="00AD0D1F" w:rsidRPr="00341A53" w:rsidRDefault="00AD0D1F" w:rsidP="00DA7639">
            <w:pPr>
              <w:keepNext/>
              <w:keepLines/>
              <w:spacing w:line="240" w:lineRule="auto"/>
              <w:rPr>
                <w:rFonts w:ascii="Calibri" w:eastAsia="Times New Roman" w:hAnsi="Calibri" w:cs="Times New Roman"/>
                <w:b/>
                <w:color w:val="auto"/>
                <w:sz w:val="22"/>
                <w:szCs w:val="22"/>
              </w:rPr>
            </w:pPr>
            <w:r>
              <w:rPr>
                <w:rFonts w:ascii="Calibri" w:hAnsi="Calibri"/>
                <w:b/>
                <w:color w:val="auto"/>
                <w:sz w:val="22"/>
              </w:rPr>
              <w:t>Exposición de motivos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5AB43A75" w14:textId="77777777" w:rsidTr="008D4134">
        <w:tc>
          <w:tcPr>
            <w:tcW w:w="1445" w:type="dxa"/>
            <w:tcBorders>
              <w:bottom w:val="single" w:sz="4" w:space="0" w:color="auto"/>
            </w:tcBorders>
          </w:tcPr>
          <w:p w14:paraId="26E7227C"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w:t>
            </w:r>
          </w:p>
          <w:p w14:paraId="0C22BB54" w14:textId="77777777" w:rsidR="00AD0D1F" w:rsidRPr="00805EB5"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apartado 1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single" w:sz="4" w:space="0" w:color="auto"/>
            </w:tcBorders>
          </w:tcPr>
          <w:p w14:paraId="6407FFE4"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single" w:sz="4" w:space="0" w:color="auto"/>
            </w:tcBorders>
          </w:tcPr>
          <w:p w14:paraId="2DB55F3C" w14:textId="77777777" w:rsidR="00AD0D1F" w:rsidRPr="006C09A8"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 apartado 1, en relación con el artículo 62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bottom w:val="single" w:sz="4" w:space="0" w:color="auto"/>
            </w:tcBorders>
          </w:tcPr>
          <w:p w14:paraId="22135518" w14:textId="77777777" w:rsidR="00AD0D1F" w:rsidRPr="00364E3A" w:rsidRDefault="00AD0D1F" w:rsidP="00DA7639">
            <w:pPr>
              <w:spacing w:line="240" w:lineRule="auto"/>
              <w:rPr>
                <w:rFonts w:ascii="Calibri" w:eastAsia="Times New Roman" w:hAnsi="Calibri" w:cs="Times New Roman"/>
                <w:color w:val="auto"/>
                <w:sz w:val="22"/>
                <w:szCs w:val="22"/>
              </w:rPr>
            </w:pPr>
          </w:p>
        </w:tc>
      </w:tr>
      <w:tr w:rsidR="00AD0D1F" w:rsidRPr="005B7AD2" w14:paraId="46E44A4E" w14:textId="77777777" w:rsidTr="008D4134">
        <w:tc>
          <w:tcPr>
            <w:tcW w:w="1445" w:type="dxa"/>
            <w:tcBorders>
              <w:bottom w:val="nil"/>
            </w:tcBorders>
          </w:tcPr>
          <w:p w14:paraId="4F3371F2"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w:t>
            </w:r>
          </w:p>
          <w:p w14:paraId="3EFAA177" w14:textId="07485D0E" w:rsidR="00AD0D1F" w:rsidRPr="005B7AD2"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200AC6BC"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3</w:t>
            </w:r>
          </w:p>
          <w:p w14:paraId="368C763D" w14:textId="63D72542" w:rsidR="00AD0D1F" w:rsidRPr="00895432"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13B6F26F" w14:textId="4FBD3496" w:rsidR="00AD0D1F" w:rsidRPr="005B7AD2"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4, apartado 1, y artículo 57, apartado 1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bottom w:val="nil"/>
            </w:tcBorders>
          </w:tcPr>
          <w:p w14:paraId="452F6937" w14:textId="77777777" w:rsidR="00AD0D1F" w:rsidRPr="005B7AD2" w:rsidRDefault="00AD0D1F" w:rsidP="009262F7">
            <w:pPr>
              <w:spacing w:line="240" w:lineRule="auto"/>
              <w:rPr>
                <w:rFonts w:ascii="Calibri" w:eastAsia="Times New Roman" w:hAnsi="Calibri" w:cs="Times New Roman"/>
                <w:color w:val="auto"/>
                <w:sz w:val="22"/>
                <w:szCs w:val="22"/>
              </w:rPr>
            </w:pPr>
          </w:p>
        </w:tc>
      </w:tr>
      <w:tr w:rsidR="008D4134" w:rsidRPr="005B7AD2" w14:paraId="514C8487" w14:textId="77777777" w:rsidTr="008D4134">
        <w:tc>
          <w:tcPr>
            <w:tcW w:w="1445" w:type="dxa"/>
            <w:tcBorders>
              <w:top w:val="nil"/>
              <w:bottom w:val="nil"/>
            </w:tcBorders>
          </w:tcPr>
          <w:p w14:paraId="36A059C9"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40A1494A" w14:textId="53399A09"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06856A7D" w14:textId="449A579D" w:rsidR="008D4134" w:rsidRPr="00895432"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Artículo 4, 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4752DF47" w14:textId="77777777"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14EE6B23" w14:textId="77777777" w:rsidTr="008D4134">
        <w:tc>
          <w:tcPr>
            <w:tcW w:w="1445" w:type="dxa"/>
            <w:tcBorders>
              <w:top w:val="nil"/>
              <w:bottom w:val="single" w:sz="4" w:space="0" w:color="auto"/>
            </w:tcBorders>
          </w:tcPr>
          <w:p w14:paraId="4820CA82"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single" w:sz="4" w:space="0" w:color="auto"/>
            </w:tcBorders>
          </w:tcPr>
          <w:p w14:paraId="2D05A6E2" w14:textId="267C14F4"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single" w:sz="4" w:space="0" w:color="auto"/>
            </w:tcBorders>
          </w:tcPr>
          <w:p w14:paraId="4CDFF4C8" w14:textId="02CE0403" w:rsidR="008D4134" w:rsidRPr="00895432"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No aplicable a los Países Bajos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single" w:sz="4" w:space="0" w:color="auto"/>
            </w:tcBorders>
          </w:tcPr>
          <w:p w14:paraId="46BE7DD7" w14:textId="77777777"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44EBB1EF" w14:textId="77777777" w:rsidTr="008D4134">
        <w:tc>
          <w:tcPr>
            <w:tcW w:w="1445" w:type="dxa"/>
            <w:tcBorders>
              <w:top w:val="single" w:sz="4" w:space="0" w:color="auto"/>
              <w:bottom w:val="nil"/>
            </w:tcBorders>
          </w:tcPr>
          <w:p w14:paraId="7E4B7E40" w14:textId="77777777"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Artículo 1</w:t>
            </w:r>
          </w:p>
          <w:p w14:paraId="19408C71" w14:textId="31374BB2" w:rsidR="008D4134" w:rsidRPr="003117B9"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single" w:sz="4" w:space="0" w:color="auto"/>
              <w:bottom w:val="nil"/>
            </w:tcBorders>
          </w:tcPr>
          <w:p w14:paraId="4152845B" w14:textId="77777777"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Artículo 4</w:t>
            </w:r>
          </w:p>
          <w:p w14:paraId="5C58868B" w14:textId="41D6D462"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single" w:sz="4" w:space="0" w:color="auto"/>
              <w:bottom w:val="nil"/>
            </w:tcBorders>
          </w:tcPr>
          <w:p w14:paraId="4B2E64E0" w14:textId="6A6F1072"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19, apartado 2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single" w:sz="4" w:space="0" w:color="auto"/>
              <w:bottom w:val="nil"/>
            </w:tcBorders>
          </w:tcPr>
          <w:p w14:paraId="4DE0D22C" w14:textId="77777777"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2DF7115B" w14:textId="77777777" w:rsidTr="008D4134">
        <w:tc>
          <w:tcPr>
            <w:tcW w:w="1445" w:type="dxa"/>
            <w:tcBorders>
              <w:top w:val="nil"/>
              <w:bottom w:val="nil"/>
            </w:tcBorders>
          </w:tcPr>
          <w:p w14:paraId="356F81F5"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001BEDEA" w14:textId="77777777"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apartado 2</w:t>
            </w:r>
          </w:p>
          <w:p w14:paraId="11D95665" w14:textId="699E8DD0"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letras a) y 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59D4119E" w14:textId="366C0E58"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Artículo 19, apartado 2, y anexo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37B4CBB1" w14:textId="77777777"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22D7840E" w14:textId="77777777" w:rsidTr="008D4134">
        <w:tc>
          <w:tcPr>
            <w:tcW w:w="1445" w:type="dxa"/>
            <w:tcBorders>
              <w:top w:val="nil"/>
              <w:bottom w:val="nil"/>
            </w:tcBorders>
          </w:tcPr>
          <w:p w14:paraId="49ABDCA3"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613C482F" w14:textId="31A01AD8"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letra 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60AA0D49" w14:textId="4B51B982"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El anexo 4 de la Orden sobre la seguridad de los buques marítimos puede consultarse en el sitio web del Boletín Oficial de los Países Bajos (</w:t>
            </w:r>
            <w:hyperlink r:id="rId15">
              <w:r>
                <w:rPr>
                  <w:rStyle w:val="Hyperlink"/>
                  <w:rFonts w:ascii="Calibri" w:hAnsi="Calibri"/>
                  <w:sz w:val="22"/>
                </w:rPr>
                <w:t>www.wetten.nl</w:t>
              </w:r>
            </w:hyperlink>
            <w:r>
              <w:rPr>
                <w:rFonts w:ascii="Calibri" w:hAnsi="Calibri"/>
                <w:color w:val="auto"/>
                <w:sz w:val="22"/>
              </w:rPr>
              <w:t>) o de la ILT (</w:t>
            </w:r>
            <w:hyperlink r:id="rId16">
              <w:r>
                <w:rPr>
                  <w:rStyle w:val="Hyperlink"/>
                  <w:rFonts w:ascii="Calibri" w:hAnsi="Calibri"/>
                  <w:sz w:val="22"/>
                </w:rPr>
                <w:t>www.ilent.nl</w:t>
              </w:r>
            </w:hyperlink>
            <w:r>
              <w:rPr>
                <w:rFonts w:ascii="Calibri" w:hAnsi="Calibri"/>
                <w:color w:val="auto"/>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76CC9E08" w14:textId="77777777"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433C5F99" w14:textId="77777777" w:rsidTr="008D4134">
        <w:tc>
          <w:tcPr>
            <w:tcW w:w="1445" w:type="dxa"/>
            <w:tcBorders>
              <w:top w:val="nil"/>
              <w:bottom w:val="nil"/>
            </w:tcBorders>
          </w:tcPr>
          <w:p w14:paraId="7F6A749A"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320826EA" w14:textId="156B1181"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letra 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7DC9B94B" w14:textId="45D17684"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Por su naturaleza no necesita implementación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vMerge w:val="restart"/>
            <w:tcBorders>
              <w:top w:val="nil"/>
              <w:bottom w:val="nil"/>
            </w:tcBorders>
          </w:tcPr>
          <w:p w14:paraId="7C85F829" w14:textId="77777777"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Se refiere a una acción efectiva por o en nombre del Ministro</w:t>
            </w:r>
          </w:p>
          <w:p w14:paraId="3A8E3D8C" w14:textId="77777777"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El anexo 4 se notificó a la Comisión Europea con la transposición de la Directiva (UE) 2017/2108</w:t>
            </w:r>
          </w:p>
          <w:p w14:paraId="3ED66DBA" w14:textId="7DDBF90D" w:rsidR="008D4134" w:rsidRPr="005B7AD2" w:rsidRDefault="008D4134" w:rsidP="009262F7">
            <w:pPr>
              <w:spacing w:line="240" w:lineRule="auto"/>
              <w:rPr>
                <w:rFonts w:ascii="Calibri" w:eastAsia="Times New Roman" w:hAnsi="Calibri" w:cs="Times New Roman"/>
                <w:color w:val="auto"/>
                <w:sz w:val="22"/>
                <w:szCs w:val="22"/>
              </w:rPr>
            </w:pPr>
            <w:r>
              <w:rPr>
                <w:rFonts w:ascii="Calibri" w:hAnsi="Calibri"/>
                <w:color w:val="auto"/>
                <w:sz w:val="22"/>
              </w:rPr>
              <w:t>Va dirigida a Grecia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D4134" w:rsidRPr="005B7AD2" w14:paraId="504E394E" w14:textId="77777777" w:rsidTr="008D4134">
        <w:tc>
          <w:tcPr>
            <w:tcW w:w="1445" w:type="dxa"/>
            <w:tcBorders>
              <w:top w:val="nil"/>
              <w:bottom w:val="nil"/>
            </w:tcBorders>
          </w:tcPr>
          <w:p w14:paraId="2AB9B539"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316A148A" w14:textId="771FAE35"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4DA2BAE3" w14:textId="412E8B3B"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No aplicable/no requiere implementación adicional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vMerge/>
            <w:tcBorders>
              <w:top w:val="nil"/>
              <w:bottom w:val="nil"/>
            </w:tcBorders>
          </w:tcPr>
          <w:p w14:paraId="76E87E9D" w14:textId="33E1E7CA"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567974C2" w14:textId="77777777" w:rsidTr="008D4134">
        <w:tc>
          <w:tcPr>
            <w:tcW w:w="1445" w:type="dxa"/>
            <w:tcBorders>
              <w:top w:val="nil"/>
              <w:bottom w:val="nil"/>
            </w:tcBorders>
          </w:tcPr>
          <w:p w14:paraId="4BAE52B7" w14:textId="77777777" w:rsidR="008D4134" w:rsidRPr="003117B9"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nil"/>
            </w:tcBorders>
          </w:tcPr>
          <w:p w14:paraId="79A824D9" w14:textId="0DB51628"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429A8807" w14:textId="7325D6F9"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Artículo 19, apartado 2, y anexo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vMerge/>
            <w:tcBorders>
              <w:top w:val="nil"/>
              <w:bottom w:val="nil"/>
            </w:tcBorders>
          </w:tcPr>
          <w:p w14:paraId="3D613D4C" w14:textId="79BFE516" w:rsidR="008D4134" w:rsidRPr="005B7AD2" w:rsidRDefault="008D4134" w:rsidP="009262F7">
            <w:pPr>
              <w:spacing w:line="240" w:lineRule="auto"/>
              <w:rPr>
                <w:rFonts w:ascii="Calibri" w:eastAsia="Times New Roman" w:hAnsi="Calibri" w:cs="Times New Roman"/>
                <w:color w:val="auto"/>
                <w:sz w:val="22"/>
                <w:szCs w:val="22"/>
              </w:rPr>
            </w:pPr>
          </w:p>
        </w:tc>
      </w:tr>
      <w:tr w:rsidR="008D4134" w:rsidRPr="005B7AD2" w14:paraId="35F14F14" w14:textId="77777777" w:rsidTr="008D4134">
        <w:tc>
          <w:tcPr>
            <w:tcW w:w="1445" w:type="dxa"/>
            <w:tcBorders>
              <w:top w:val="nil"/>
              <w:bottom w:val="single" w:sz="4" w:space="0" w:color="auto"/>
            </w:tcBorders>
          </w:tcPr>
          <w:p w14:paraId="041FCC14" w14:textId="591463F4" w:rsidR="008D4134" w:rsidRPr="005B7AD2" w:rsidRDefault="008D4134" w:rsidP="00DA7639">
            <w:pPr>
              <w:spacing w:line="240" w:lineRule="auto"/>
              <w:rPr>
                <w:rFonts w:ascii="Calibri" w:eastAsia="Times New Roman" w:hAnsi="Calibri" w:cs="Times New Roman"/>
                <w:color w:val="auto"/>
                <w:sz w:val="22"/>
                <w:szCs w:val="22"/>
              </w:rPr>
            </w:pPr>
          </w:p>
        </w:tc>
        <w:tc>
          <w:tcPr>
            <w:tcW w:w="1322" w:type="dxa"/>
            <w:tcBorders>
              <w:top w:val="nil"/>
              <w:bottom w:val="single" w:sz="4" w:space="0" w:color="auto"/>
            </w:tcBorders>
          </w:tcPr>
          <w:p w14:paraId="36D3296D" w14:textId="77777777" w:rsidR="008D4134" w:rsidRPr="006F08C3"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single" w:sz="4" w:space="0" w:color="auto"/>
            </w:tcBorders>
          </w:tcPr>
          <w:p w14:paraId="30165F38" w14:textId="77777777"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Artículo 7 del Decreto relativo a los buques de 2004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vMerge/>
            <w:tcBorders>
              <w:top w:val="nil"/>
              <w:bottom w:val="single" w:sz="4" w:space="0" w:color="auto"/>
            </w:tcBorders>
          </w:tcPr>
          <w:p w14:paraId="60AF08CB" w14:textId="2D5C19CB" w:rsidR="008D4134" w:rsidRDefault="008D4134" w:rsidP="009262F7">
            <w:pPr>
              <w:spacing w:line="240" w:lineRule="auto"/>
              <w:rPr>
                <w:rFonts w:ascii="Calibri" w:eastAsia="Times New Roman" w:hAnsi="Calibri" w:cs="Times New Roman"/>
                <w:color w:val="auto"/>
                <w:sz w:val="22"/>
                <w:szCs w:val="22"/>
              </w:rPr>
            </w:pPr>
          </w:p>
        </w:tc>
      </w:tr>
      <w:tr w:rsidR="008D4134" w:rsidRPr="005B7AD2" w14:paraId="0D367CE6" w14:textId="77777777" w:rsidTr="008D4134">
        <w:tc>
          <w:tcPr>
            <w:tcW w:w="1445" w:type="dxa"/>
            <w:tcBorders>
              <w:top w:val="single" w:sz="4" w:space="0" w:color="auto"/>
              <w:bottom w:val="nil"/>
            </w:tcBorders>
          </w:tcPr>
          <w:p w14:paraId="625643ED" w14:textId="77777777" w:rsidR="008D4134" w:rsidRDefault="008D4134" w:rsidP="008D4134">
            <w:pPr>
              <w:spacing w:line="240" w:lineRule="auto"/>
              <w:rPr>
                <w:rFonts w:ascii="Calibri" w:eastAsia="Times New Roman" w:hAnsi="Calibri" w:cs="Times New Roman"/>
                <w:color w:val="auto"/>
                <w:sz w:val="22"/>
                <w:szCs w:val="22"/>
              </w:rPr>
            </w:pPr>
            <w:r>
              <w:rPr>
                <w:rFonts w:ascii="Calibri" w:hAnsi="Calibri"/>
                <w:color w:val="auto"/>
                <w:sz w:val="22"/>
              </w:rPr>
              <w:t>Artículo 1</w:t>
            </w:r>
          </w:p>
          <w:p w14:paraId="01CD25AA" w14:textId="09E55720" w:rsidR="008D4134" w:rsidRPr="005B7AD2"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single" w:sz="4" w:space="0" w:color="auto"/>
              <w:bottom w:val="nil"/>
            </w:tcBorders>
          </w:tcPr>
          <w:p w14:paraId="362A9EE9" w14:textId="3E4C28CA"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Artículo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single" w:sz="4" w:space="0" w:color="auto"/>
              <w:bottom w:val="nil"/>
            </w:tcBorders>
          </w:tcPr>
          <w:p w14:paraId="1C1F144F" w14:textId="77777777" w:rsidR="008D4134" w:rsidRDefault="008D4134" w:rsidP="00DA7639">
            <w:pPr>
              <w:spacing w:line="240" w:lineRule="auto"/>
              <w:rPr>
                <w:rFonts w:ascii="Calibri" w:eastAsia="Times New Roman" w:hAnsi="Calibri" w:cs="Times New Roman"/>
                <w:color w:val="auto"/>
                <w:sz w:val="22"/>
                <w:szCs w:val="22"/>
              </w:rPr>
            </w:pPr>
          </w:p>
        </w:tc>
        <w:tc>
          <w:tcPr>
            <w:tcW w:w="3150" w:type="dxa"/>
            <w:tcBorders>
              <w:top w:val="single" w:sz="4" w:space="0" w:color="auto"/>
              <w:bottom w:val="nil"/>
            </w:tcBorders>
          </w:tcPr>
          <w:p w14:paraId="6F5AE600" w14:textId="77777777" w:rsidR="008D4134" w:rsidRDefault="008D4134" w:rsidP="009262F7">
            <w:pPr>
              <w:spacing w:line="240" w:lineRule="auto"/>
              <w:rPr>
                <w:rFonts w:ascii="Calibri" w:eastAsia="Times New Roman" w:hAnsi="Calibri" w:cs="Times New Roman"/>
                <w:color w:val="auto"/>
                <w:sz w:val="22"/>
                <w:szCs w:val="22"/>
              </w:rPr>
            </w:pPr>
          </w:p>
        </w:tc>
      </w:tr>
      <w:tr w:rsidR="008D4134" w:rsidRPr="005B7AD2" w14:paraId="7F9AEB3C" w14:textId="77777777" w:rsidTr="008D4134">
        <w:tc>
          <w:tcPr>
            <w:tcW w:w="1445" w:type="dxa"/>
            <w:tcBorders>
              <w:top w:val="nil"/>
              <w:bottom w:val="nil"/>
            </w:tcBorders>
          </w:tcPr>
          <w:p w14:paraId="3A13D918" w14:textId="52971AA0" w:rsidR="008D4134" w:rsidRPr="005B7AD2"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267C4E27" w14:textId="0AC58FC6"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09CEFF3E" w14:textId="58294FDB"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6522B587" w14:textId="77777777" w:rsidR="008D4134" w:rsidRDefault="008D4134" w:rsidP="009262F7">
            <w:pPr>
              <w:spacing w:line="240" w:lineRule="auto"/>
              <w:rPr>
                <w:rFonts w:ascii="Calibri" w:eastAsia="Times New Roman" w:hAnsi="Calibri" w:cs="Times New Roman"/>
                <w:color w:val="auto"/>
                <w:sz w:val="22"/>
                <w:szCs w:val="22"/>
              </w:rPr>
            </w:pPr>
          </w:p>
        </w:tc>
      </w:tr>
      <w:tr w:rsidR="008D4134" w:rsidRPr="005B7AD2" w14:paraId="60539A0F" w14:textId="77777777" w:rsidTr="008D4134">
        <w:tc>
          <w:tcPr>
            <w:tcW w:w="1445" w:type="dxa"/>
            <w:tcBorders>
              <w:top w:val="nil"/>
              <w:bottom w:val="nil"/>
            </w:tcBorders>
          </w:tcPr>
          <w:p w14:paraId="540FBC6D" w14:textId="0A46A0E5" w:rsidR="008D4134" w:rsidRPr="005B7AD2"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7ABC8F37" w14:textId="0D76311B"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2ECF2738" w14:textId="18F1C097" w:rsidR="008D4134" w:rsidRDefault="008D4134"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57, apartado 1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5C205B18" w14:textId="77777777" w:rsidR="008D4134" w:rsidRDefault="008D4134" w:rsidP="009262F7">
            <w:pPr>
              <w:spacing w:line="240" w:lineRule="auto"/>
              <w:rPr>
                <w:rFonts w:ascii="Calibri" w:eastAsia="Times New Roman" w:hAnsi="Calibri" w:cs="Times New Roman"/>
                <w:color w:val="auto"/>
                <w:sz w:val="22"/>
                <w:szCs w:val="22"/>
              </w:rPr>
            </w:pPr>
          </w:p>
        </w:tc>
      </w:tr>
      <w:tr w:rsidR="00AD0D1F" w:rsidRPr="005B7AD2" w14:paraId="430AEB44" w14:textId="77777777" w:rsidTr="00F2781C">
        <w:tc>
          <w:tcPr>
            <w:tcW w:w="1445" w:type="dxa"/>
            <w:tcBorders>
              <w:top w:val="nil"/>
              <w:bottom w:val="single" w:sz="4" w:space="0" w:color="auto"/>
            </w:tcBorders>
          </w:tcPr>
          <w:p w14:paraId="15292557" w14:textId="77777777" w:rsidR="00AD0D1F" w:rsidRPr="005B7AD2"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single" w:sz="4" w:space="0" w:color="auto"/>
            </w:tcBorders>
          </w:tcPr>
          <w:p w14:paraId="3164FBFA"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single" w:sz="4" w:space="0" w:color="auto"/>
            </w:tcBorders>
          </w:tcPr>
          <w:p w14:paraId="18813CB7" w14:textId="5EC96D0F" w:rsidR="00A13389" w:rsidRDefault="00A13389" w:rsidP="00DA7639">
            <w:pPr>
              <w:spacing w:line="240" w:lineRule="auto"/>
              <w:rPr>
                <w:rFonts w:ascii="Calibri" w:eastAsia="Times New Roman" w:hAnsi="Calibri" w:cs="Times New Roman"/>
                <w:color w:val="auto"/>
                <w:sz w:val="22"/>
                <w:szCs w:val="22"/>
              </w:rPr>
            </w:pPr>
            <w:r>
              <w:rPr>
                <w:rFonts w:ascii="Calibri" w:hAnsi="Calibri"/>
                <w:color w:val="auto"/>
                <w:sz w:val="22"/>
              </w:rPr>
              <w:t>Artículo 1 y artículo 62, apartado 2</w:t>
            </w:r>
          </w:p>
          <w:p w14:paraId="1D01C2C7" w14:textId="13359802" w:rsidR="00AD0D1F" w:rsidRDefault="003F37F9" w:rsidP="00DA7639">
            <w:pPr>
              <w:spacing w:line="240" w:lineRule="auto"/>
              <w:rPr>
                <w:rFonts w:ascii="Calibri" w:eastAsia="Times New Roman" w:hAnsi="Calibri" w:cs="Times New Roman"/>
                <w:color w:val="auto"/>
                <w:sz w:val="22"/>
                <w:szCs w:val="22"/>
              </w:rPr>
            </w:pPr>
            <w:r>
              <w:rPr>
                <w:rFonts w:ascii="Calibri" w:hAnsi="Calibri"/>
                <w:color w:val="auto"/>
                <w:sz w:val="22"/>
              </w:rPr>
              <w:t>Artículo 1 y artículo 17, apartado 2, Orden para la prevención de la contaminación por los buques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single" w:sz="4" w:space="0" w:color="auto"/>
            </w:tcBorders>
          </w:tcPr>
          <w:p w14:paraId="2F49F363" w14:textId="2A67C55C" w:rsidR="00AD0D1F" w:rsidRPr="00A13389" w:rsidRDefault="00AD0D1F" w:rsidP="00DA7639">
            <w:pPr>
              <w:spacing w:line="240" w:lineRule="auto"/>
              <w:rPr>
                <w:rFonts w:ascii="Calibri" w:eastAsia="Times New Roman" w:hAnsi="Calibri" w:cs="Times New Roman"/>
                <w:caps/>
                <w:color w:val="auto"/>
                <w:sz w:val="22"/>
                <w:szCs w:val="22"/>
              </w:rPr>
            </w:pPr>
          </w:p>
        </w:tc>
      </w:tr>
      <w:tr w:rsidR="00F2781C" w:rsidRPr="005B7AD2" w14:paraId="278E5A8B" w14:textId="77777777" w:rsidTr="00F2781C">
        <w:tc>
          <w:tcPr>
            <w:tcW w:w="1445" w:type="dxa"/>
            <w:tcBorders>
              <w:bottom w:val="nil"/>
            </w:tcBorders>
          </w:tcPr>
          <w:p w14:paraId="21391106" w14:textId="5F227950"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254EE35B" w14:textId="4E20E5F3" w:rsidR="00F2781C" w:rsidRDefault="00F2781C" w:rsidP="00F2781C">
            <w:pPr>
              <w:spacing w:line="240" w:lineRule="auto"/>
              <w:rPr>
                <w:rFonts w:ascii="Calibri" w:eastAsia="Times New Roman" w:hAnsi="Calibri" w:cs="Times New Roman"/>
                <w:color w:val="auto"/>
                <w:sz w:val="22"/>
                <w:szCs w:val="22"/>
              </w:rPr>
            </w:pPr>
            <w:r>
              <w:rPr>
                <w:rFonts w:ascii="Calibri" w:hAnsi="Calibri"/>
                <w:color w:val="auto"/>
                <w:sz w:val="22"/>
              </w:rPr>
              <w:t>Artículo 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5E74DB2B" w14:textId="1255DE90" w:rsidR="00F2781C" w:rsidRDefault="00F2781C" w:rsidP="00DA7639">
            <w:pPr>
              <w:spacing w:line="240" w:lineRule="auto"/>
              <w:rPr>
                <w:rFonts w:ascii="Calibri" w:eastAsia="Times New Roman" w:hAnsi="Calibri" w:cs="Times New Roman"/>
                <w:color w:val="auto"/>
                <w:sz w:val="22"/>
                <w:szCs w:val="22"/>
              </w:rPr>
            </w:pPr>
          </w:p>
        </w:tc>
        <w:tc>
          <w:tcPr>
            <w:tcW w:w="3150" w:type="dxa"/>
            <w:tcBorders>
              <w:bottom w:val="nil"/>
            </w:tcBorders>
          </w:tcPr>
          <w:p w14:paraId="4408FAE7" w14:textId="77777777" w:rsidR="00F2781C" w:rsidRPr="00F37185" w:rsidRDefault="00F2781C" w:rsidP="009262F7">
            <w:pPr>
              <w:spacing w:line="240" w:lineRule="auto"/>
              <w:rPr>
                <w:rFonts w:ascii="Calibri" w:eastAsia="Times New Roman" w:hAnsi="Calibri" w:cs="Times New Roman"/>
                <w:color w:val="auto"/>
                <w:sz w:val="22"/>
                <w:szCs w:val="22"/>
              </w:rPr>
            </w:pPr>
          </w:p>
        </w:tc>
      </w:tr>
      <w:tr w:rsidR="00F2781C" w:rsidRPr="005B7AD2" w14:paraId="06180A96" w14:textId="77777777" w:rsidTr="00F2781C">
        <w:tc>
          <w:tcPr>
            <w:tcW w:w="1445" w:type="dxa"/>
            <w:tcBorders>
              <w:top w:val="nil"/>
              <w:bottom w:val="nil"/>
            </w:tcBorders>
          </w:tcPr>
          <w:p w14:paraId="137952E7" w14:textId="7C5A0EF2"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306E267C" w14:textId="25FC467D"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0CC7303A" w14:textId="034800F9"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19,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5091D7FE" w14:textId="77777777" w:rsidR="00F2781C" w:rsidRPr="00F37185" w:rsidRDefault="00F2781C" w:rsidP="009262F7">
            <w:pPr>
              <w:spacing w:line="240" w:lineRule="auto"/>
              <w:rPr>
                <w:rFonts w:ascii="Calibri" w:eastAsia="Times New Roman" w:hAnsi="Calibri" w:cs="Times New Roman"/>
                <w:color w:val="auto"/>
                <w:sz w:val="22"/>
                <w:szCs w:val="22"/>
              </w:rPr>
            </w:pPr>
          </w:p>
        </w:tc>
      </w:tr>
      <w:tr w:rsidR="00F2781C" w:rsidRPr="005B7AD2" w14:paraId="2672F4F1" w14:textId="77777777" w:rsidTr="00F2781C">
        <w:tc>
          <w:tcPr>
            <w:tcW w:w="1445" w:type="dxa"/>
            <w:tcBorders>
              <w:top w:val="nil"/>
              <w:bottom w:val="nil"/>
            </w:tcBorders>
          </w:tcPr>
          <w:p w14:paraId="547F6F49" w14:textId="5A28FB75"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37DD3184" w14:textId="71438D5E"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3BC1614E" w14:textId="4793557F"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19,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04BECAB3" w14:textId="77777777" w:rsidR="00F2781C" w:rsidRPr="00F37185" w:rsidRDefault="00F2781C" w:rsidP="009262F7">
            <w:pPr>
              <w:spacing w:line="240" w:lineRule="auto"/>
              <w:rPr>
                <w:rFonts w:ascii="Calibri" w:eastAsia="Times New Roman" w:hAnsi="Calibri" w:cs="Times New Roman"/>
                <w:color w:val="auto"/>
                <w:sz w:val="22"/>
                <w:szCs w:val="22"/>
              </w:rPr>
            </w:pPr>
          </w:p>
        </w:tc>
      </w:tr>
      <w:tr w:rsidR="00F2781C" w:rsidRPr="005B7AD2" w14:paraId="13177037" w14:textId="77777777" w:rsidTr="00F2781C">
        <w:tc>
          <w:tcPr>
            <w:tcW w:w="1445" w:type="dxa"/>
            <w:tcBorders>
              <w:top w:val="nil"/>
              <w:bottom w:val="nil"/>
            </w:tcBorders>
          </w:tcPr>
          <w:p w14:paraId="4B57D081" w14:textId="6DF232DF"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02E6CC0B" w14:textId="12CA1772"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6B2E7A0A" w14:textId="7A43B6D6"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19,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710CCCBD" w14:textId="77777777" w:rsidR="00F2781C" w:rsidRPr="00F37185" w:rsidRDefault="00F2781C" w:rsidP="009262F7">
            <w:pPr>
              <w:spacing w:line="240" w:lineRule="auto"/>
              <w:rPr>
                <w:rFonts w:ascii="Calibri" w:eastAsia="Times New Roman" w:hAnsi="Calibri" w:cs="Times New Roman"/>
                <w:color w:val="auto"/>
                <w:sz w:val="22"/>
                <w:szCs w:val="22"/>
              </w:rPr>
            </w:pPr>
          </w:p>
        </w:tc>
      </w:tr>
      <w:tr w:rsidR="00F2781C" w:rsidRPr="005B7AD2" w14:paraId="51214BA5" w14:textId="77777777" w:rsidTr="00F2781C">
        <w:tc>
          <w:tcPr>
            <w:tcW w:w="1445" w:type="dxa"/>
            <w:tcBorders>
              <w:top w:val="nil"/>
              <w:bottom w:val="nil"/>
            </w:tcBorders>
          </w:tcPr>
          <w:p w14:paraId="75CF2BF8" w14:textId="5E3A0FE0"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27D6D1FD" w14:textId="747FF643"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7742AB5A" w14:textId="6C176C23"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12, apartado 1, letra a), de la Rvz y artículo 16 del Decreto relativo a los buques de 2004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53B490BC" w14:textId="77777777" w:rsidR="00F2781C" w:rsidRPr="00F37185" w:rsidRDefault="00F2781C" w:rsidP="009262F7">
            <w:pPr>
              <w:spacing w:line="240" w:lineRule="auto"/>
              <w:rPr>
                <w:rFonts w:ascii="Calibri" w:eastAsia="Times New Roman" w:hAnsi="Calibri" w:cs="Times New Roman"/>
                <w:color w:val="auto"/>
                <w:sz w:val="22"/>
                <w:szCs w:val="22"/>
              </w:rPr>
            </w:pPr>
          </w:p>
        </w:tc>
      </w:tr>
      <w:tr w:rsidR="00AD0D1F" w:rsidRPr="005B7AD2" w14:paraId="4A6055D1" w14:textId="77777777" w:rsidTr="00F2781C">
        <w:tc>
          <w:tcPr>
            <w:tcW w:w="1445" w:type="dxa"/>
            <w:tcBorders>
              <w:top w:val="nil"/>
            </w:tcBorders>
          </w:tcPr>
          <w:p w14:paraId="6FEC6F0E" w14:textId="77777777" w:rsidR="00AD0D1F" w:rsidRPr="005B7AD2"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tcBorders>
          </w:tcPr>
          <w:p w14:paraId="598201E2"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nuevos apartados 5, 6 y 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tcBorders>
          </w:tcPr>
          <w:p w14:paraId="6206862E" w14:textId="60A264F7" w:rsidR="00AD0D1F" w:rsidRPr="00F37185" w:rsidRDefault="00BB061F" w:rsidP="009262F7">
            <w:pPr>
              <w:spacing w:line="240" w:lineRule="auto"/>
              <w:rPr>
                <w:rFonts w:ascii="Calibri" w:eastAsia="Times New Roman" w:hAnsi="Calibri" w:cs="Times New Roman"/>
                <w:color w:val="auto"/>
                <w:sz w:val="22"/>
                <w:szCs w:val="22"/>
              </w:rPr>
            </w:pPr>
            <w:r>
              <w:rPr>
                <w:rFonts w:ascii="Calibri" w:hAnsi="Calibri"/>
                <w:color w:val="auto"/>
                <w:sz w:val="22"/>
              </w:rPr>
              <w:t>Artículo 19,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tcBorders>
          </w:tcPr>
          <w:p w14:paraId="70ECE028" w14:textId="77777777" w:rsidR="00AD0D1F" w:rsidRPr="00F37185" w:rsidRDefault="00AD0D1F" w:rsidP="009262F7">
            <w:pPr>
              <w:spacing w:line="240" w:lineRule="auto"/>
              <w:rPr>
                <w:rFonts w:ascii="Calibri" w:eastAsia="Times New Roman" w:hAnsi="Calibri" w:cs="Times New Roman"/>
                <w:color w:val="auto"/>
                <w:sz w:val="22"/>
                <w:szCs w:val="22"/>
              </w:rPr>
            </w:pPr>
          </w:p>
        </w:tc>
      </w:tr>
      <w:tr w:rsidR="00AD0D1F" w:rsidRPr="005B7AD2" w14:paraId="7F7BD41A" w14:textId="77777777" w:rsidTr="00F2781C">
        <w:tc>
          <w:tcPr>
            <w:tcW w:w="1445" w:type="dxa"/>
            <w:tcBorders>
              <w:bottom w:val="single" w:sz="4" w:space="0" w:color="auto"/>
            </w:tcBorders>
          </w:tcPr>
          <w:p w14:paraId="6CC9135B"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6</w:t>
            </w:r>
          </w:p>
          <w:p w14:paraId="78F8817E" w14:textId="77777777" w:rsidR="00AD0D1F" w:rsidRPr="00507681" w:rsidRDefault="00AD0D1F" w:rsidP="00DA7639">
            <w:pPr>
              <w:spacing w:line="240" w:lineRule="auto"/>
              <w:rPr>
                <w:rFonts w:ascii="Calibri" w:eastAsia="Times New Roman" w:hAnsi="Calibri" w:cs="Times New Roman"/>
                <w:color w:val="auto"/>
                <w:sz w:val="22"/>
                <w:szCs w:val="22"/>
                <w:highlight w:val="yellow"/>
              </w:rPr>
            </w:pPr>
            <w:r>
              <w:rPr>
                <w:rFonts w:ascii="Calibri" w:hAnsi="Calibri"/>
                <w:color w:val="auto"/>
                <w:sz w:val="22"/>
              </w:rPr>
              <w:t>a) y 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single" w:sz="4" w:space="0" w:color="auto"/>
            </w:tcBorders>
          </w:tcPr>
          <w:p w14:paraId="5FE0ED16" w14:textId="77777777" w:rsidR="00AD0D1F" w:rsidRPr="00507681" w:rsidRDefault="00AD0D1F" w:rsidP="00DA7639">
            <w:pPr>
              <w:spacing w:line="240" w:lineRule="auto"/>
              <w:rPr>
                <w:rFonts w:ascii="Calibri" w:eastAsia="Times New Roman" w:hAnsi="Calibri" w:cs="Times New Roman"/>
                <w:color w:val="auto"/>
                <w:sz w:val="22"/>
                <w:szCs w:val="22"/>
                <w:highlight w:val="yellow"/>
              </w:rPr>
            </w:pPr>
            <w:r>
              <w:rPr>
                <w:rFonts w:ascii="Calibri" w:hAnsi="Calibri"/>
                <w:color w:val="auto"/>
                <w:sz w:val="22"/>
              </w:rPr>
              <w:t>Artículo 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single" w:sz="4" w:space="0" w:color="auto"/>
            </w:tcBorders>
          </w:tcPr>
          <w:p w14:paraId="021DA065" w14:textId="77777777" w:rsidR="00AD0D1F" w:rsidRPr="00F37185"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7,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bottom w:val="single" w:sz="4" w:space="0" w:color="auto"/>
            </w:tcBorders>
          </w:tcPr>
          <w:p w14:paraId="459EFDCF" w14:textId="77777777" w:rsidR="00AD0D1F" w:rsidRPr="00F37185" w:rsidRDefault="00AD0D1F" w:rsidP="00DA7639">
            <w:pPr>
              <w:spacing w:line="240" w:lineRule="auto"/>
              <w:rPr>
                <w:rFonts w:ascii="Calibri" w:eastAsia="Times New Roman" w:hAnsi="Calibri" w:cs="Times New Roman"/>
                <w:color w:val="auto"/>
                <w:sz w:val="22"/>
                <w:szCs w:val="22"/>
              </w:rPr>
            </w:pPr>
          </w:p>
        </w:tc>
      </w:tr>
      <w:tr w:rsidR="00AD0D1F" w:rsidRPr="005B7AD2" w14:paraId="125703C6" w14:textId="77777777" w:rsidTr="00F2781C">
        <w:tc>
          <w:tcPr>
            <w:tcW w:w="1445" w:type="dxa"/>
            <w:tcBorders>
              <w:bottom w:val="nil"/>
            </w:tcBorders>
          </w:tcPr>
          <w:p w14:paraId="3193209E" w14:textId="4CF5AAFD" w:rsidR="00AD0D1F" w:rsidRPr="00F2781C" w:rsidRDefault="00AD0D1F" w:rsidP="00F2781C">
            <w:pPr>
              <w:spacing w:line="240" w:lineRule="auto"/>
              <w:rPr>
                <w:rFonts w:ascii="Calibri" w:eastAsia="Times New Roman" w:hAnsi="Calibri" w:cs="Times New Roman"/>
                <w:color w:val="auto"/>
                <w:sz w:val="22"/>
                <w:szCs w:val="22"/>
              </w:rPr>
            </w:pPr>
            <w:r>
              <w:rPr>
                <w:rFonts w:ascii="Calibri" w:hAnsi="Calibri"/>
                <w:color w:val="auto"/>
                <w:sz w:val="22"/>
              </w:rPr>
              <w:t>Artículo 1, apartado 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4C7278E3" w14:textId="77777777" w:rsidR="00AD0D1F" w:rsidRPr="0086372A"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210577E2" w14:textId="31750861" w:rsidR="00AD0D1F" w:rsidRPr="00507681" w:rsidRDefault="00AD0D1F" w:rsidP="00DA7639">
            <w:pPr>
              <w:spacing w:line="240" w:lineRule="auto"/>
              <w:rPr>
                <w:rFonts w:ascii="Calibri" w:eastAsia="Times New Roman" w:hAnsi="Calibri" w:cs="Times New Roman"/>
                <w:color w:val="auto"/>
                <w:sz w:val="22"/>
                <w:szCs w:val="22"/>
                <w:highlight w:val="yellow"/>
              </w:rPr>
            </w:pPr>
          </w:p>
        </w:tc>
        <w:tc>
          <w:tcPr>
            <w:tcW w:w="3150" w:type="dxa"/>
            <w:tcBorders>
              <w:bottom w:val="nil"/>
            </w:tcBorders>
          </w:tcPr>
          <w:p w14:paraId="549FD263" w14:textId="78D42DA9" w:rsidR="00AD0D1F" w:rsidRPr="00507681" w:rsidRDefault="00AD0D1F" w:rsidP="00DA7639">
            <w:pPr>
              <w:spacing w:line="240" w:lineRule="auto"/>
              <w:rPr>
                <w:rFonts w:ascii="Calibri" w:eastAsia="Times New Roman" w:hAnsi="Calibri" w:cs="Times New Roman"/>
                <w:color w:val="auto"/>
                <w:sz w:val="22"/>
                <w:szCs w:val="22"/>
                <w:highlight w:val="yellow"/>
              </w:rPr>
            </w:pPr>
          </w:p>
        </w:tc>
      </w:tr>
      <w:tr w:rsidR="00F2781C" w:rsidRPr="005B7AD2" w14:paraId="0C423E51" w14:textId="77777777" w:rsidTr="00F2781C">
        <w:tc>
          <w:tcPr>
            <w:tcW w:w="1445" w:type="dxa"/>
            <w:tcBorders>
              <w:top w:val="nil"/>
              <w:bottom w:val="nil"/>
            </w:tcBorders>
          </w:tcPr>
          <w:p w14:paraId="385317D2" w14:textId="36073128" w:rsidR="00F2781C" w:rsidRPr="0086372A"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66C59EBD" w14:textId="77777777" w:rsidR="00F2781C" w:rsidRDefault="00F2781C" w:rsidP="00DA7639">
            <w:pPr>
              <w:spacing w:line="240" w:lineRule="auto"/>
              <w:rPr>
                <w:rFonts w:ascii="Calibri" w:eastAsia="Times New Roman" w:hAnsi="Calibri" w:cs="Times New Roman"/>
                <w:color w:val="auto"/>
                <w:sz w:val="22"/>
                <w:szCs w:val="22"/>
              </w:rPr>
            </w:pPr>
          </w:p>
        </w:tc>
        <w:tc>
          <w:tcPr>
            <w:tcW w:w="2793" w:type="dxa"/>
            <w:tcBorders>
              <w:top w:val="nil"/>
              <w:bottom w:val="nil"/>
            </w:tcBorders>
          </w:tcPr>
          <w:p w14:paraId="4667B57E" w14:textId="364CA949" w:rsidR="00F2781C" w:rsidRPr="00350BC6"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19, 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13AA6DC8" w14:textId="77777777" w:rsidR="00F2781C" w:rsidRPr="00FE0D27" w:rsidRDefault="00F2781C" w:rsidP="00DA7639">
            <w:pPr>
              <w:spacing w:line="240" w:lineRule="auto"/>
              <w:rPr>
                <w:rFonts w:ascii="Calibri" w:eastAsia="Times New Roman" w:hAnsi="Calibri" w:cs="Times New Roman"/>
                <w:color w:val="auto"/>
                <w:sz w:val="22"/>
                <w:szCs w:val="22"/>
              </w:rPr>
            </w:pPr>
          </w:p>
        </w:tc>
      </w:tr>
      <w:tr w:rsidR="00F2781C" w:rsidRPr="005B7AD2" w14:paraId="581BA975" w14:textId="77777777" w:rsidTr="00F2781C">
        <w:tc>
          <w:tcPr>
            <w:tcW w:w="1445" w:type="dxa"/>
            <w:tcBorders>
              <w:top w:val="nil"/>
              <w:bottom w:val="single" w:sz="4" w:space="0" w:color="auto"/>
            </w:tcBorders>
          </w:tcPr>
          <w:p w14:paraId="166184D9" w14:textId="4060A2D0" w:rsidR="00F2781C" w:rsidRPr="0086372A"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single" w:sz="4" w:space="0" w:color="auto"/>
            </w:tcBorders>
          </w:tcPr>
          <w:p w14:paraId="36322F61" w14:textId="77777777" w:rsidR="00F2781C" w:rsidRDefault="00F2781C" w:rsidP="00DA7639">
            <w:pPr>
              <w:spacing w:line="240" w:lineRule="auto"/>
              <w:rPr>
                <w:rFonts w:ascii="Calibri" w:eastAsia="Times New Roman" w:hAnsi="Calibri" w:cs="Times New Roman"/>
                <w:color w:val="auto"/>
                <w:sz w:val="22"/>
                <w:szCs w:val="22"/>
              </w:rPr>
            </w:pPr>
          </w:p>
        </w:tc>
        <w:tc>
          <w:tcPr>
            <w:tcW w:w="2793" w:type="dxa"/>
            <w:tcBorders>
              <w:top w:val="nil"/>
              <w:bottom w:val="single" w:sz="4" w:space="0" w:color="auto"/>
            </w:tcBorders>
          </w:tcPr>
          <w:p w14:paraId="3E507F12" w14:textId="71CF3C63" w:rsidR="00F2781C" w:rsidRPr="00350BC6"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single" w:sz="4" w:space="0" w:color="auto"/>
            </w:tcBorders>
          </w:tcPr>
          <w:p w14:paraId="31279F6B" w14:textId="7EE8A2ED" w:rsidR="00F2781C" w:rsidRPr="00FE0D27"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Afecta a partes suprimidas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0C5919BD" w14:textId="77777777" w:rsidTr="00F2781C">
        <w:tc>
          <w:tcPr>
            <w:tcW w:w="1445" w:type="dxa"/>
            <w:tcBorders>
              <w:bottom w:val="nil"/>
            </w:tcBorders>
          </w:tcPr>
          <w:p w14:paraId="6878B797" w14:textId="1CD32B47" w:rsidR="00AD0D1F" w:rsidRPr="0086372A" w:rsidRDefault="00F2781C" w:rsidP="00F2781C">
            <w:pPr>
              <w:spacing w:line="240" w:lineRule="auto"/>
              <w:rPr>
                <w:rFonts w:ascii="Calibri" w:eastAsia="Times New Roman" w:hAnsi="Calibri" w:cs="Times New Roman"/>
                <w:color w:val="auto"/>
                <w:sz w:val="22"/>
                <w:szCs w:val="22"/>
              </w:rPr>
            </w:pPr>
            <w:r>
              <w:rPr>
                <w:rFonts w:ascii="Calibri" w:hAnsi="Calibri"/>
                <w:color w:val="auto"/>
                <w:sz w:val="22"/>
              </w:rPr>
              <w:t>Artículo 1, apartado 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1650F407" w14:textId="6C2FF3A5" w:rsidR="00A8142F"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3CCAEE08" w14:textId="56727C56" w:rsidR="00AD0D1F" w:rsidRPr="0086372A" w:rsidRDefault="00AD0D1F" w:rsidP="00DA7639">
            <w:pPr>
              <w:spacing w:line="240" w:lineRule="auto"/>
              <w:rPr>
                <w:rFonts w:ascii="Calibri" w:eastAsia="Times New Roman" w:hAnsi="Calibri" w:cs="Times New Roman"/>
                <w:color w:val="auto"/>
                <w:sz w:val="22"/>
                <w:szCs w:val="22"/>
              </w:rPr>
            </w:pPr>
          </w:p>
        </w:tc>
        <w:tc>
          <w:tcPr>
            <w:tcW w:w="3150" w:type="dxa"/>
            <w:tcBorders>
              <w:bottom w:val="nil"/>
            </w:tcBorders>
          </w:tcPr>
          <w:p w14:paraId="756A5C05" w14:textId="4879A52B" w:rsidR="00AD0D1F" w:rsidRPr="00FE0D27" w:rsidRDefault="00AD0D1F" w:rsidP="00DA7639">
            <w:pPr>
              <w:spacing w:line="240" w:lineRule="auto"/>
              <w:rPr>
                <w:rFonts w:ascii="Calibri" w:eastAsia="Times New Roman" w:hAnsi="Calibri" w:cs="Times New Roman"/>
                <w:color w:val="auto"/>
                <w:sz w:val="22"/>
                <w:szCs w:val="22"/>
              </w:rPr>
            </w:pPr>
          </w:p>
        </w:tc>
      </w:tr>
      <w:tr w:rsidR="00F2781C" w:rsidRPr="005B7AD2" w14:paraId="4A641D4B" w14:textId="77777777" w:rsidTr="00F2781C">
        <w:tc>
          <w:tcPr>
            <w:tcW w:w="1445" w:type="dxa"/>
            <w:tcBorders>
              <w:top w:val="nil"/>
              <w:bottom w:val="nil"/>
            </w:tcBorders>
          </w:tcPr>
          <w:p w14:paraId="2EB1A494" w14:textId="20C76750"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 y b)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700383ED" w14:textId="176535A3"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2 y 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51E903D9" w14:textId="0C5E440C"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73457345" w14:textId="77777777" w:rsidR="00F2781C" w:rsidRDefault="00F2781C" w:rsidP="00DA7639">
            <w:pPr>
              <w:spacing w:line="240" w:lineRule="auto"/>
              <w:rPr>
                <w:rFonts w:ascii="Calibri" w:eastAsia="Times New Roman" w:hAnsi="Calibri" w:cs="Times New Roman"/>
                <w:color w:val="auto"/>
                <w:sz w:val="22"/>
                <w:szCs w:val="22"/>
              </w:rPr>
            </w:pPr>
          </w:p>
        </w:tc>
      </w:tr>
      <w:tr w:rsidR="00F2781C" w:rsidRPr="005B7AD2" w14:paraId="23A2D247" w14:textId="77777777" w:rsidTr="00F2781C">
        <w:tc>
          <w:tcPr>
            <w:tcW w:w="1445" w:type="dxa"/>
            <w:tcBorders>
              <w:top w:val="nil"/>
            </w:tcBorders>
          </w:tcPr>
          <w:p w14:paraId="778E2266" w14:textId="37D23875"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tcBorders>
          </w:tcPr>
          <w:p w14:paraId="22CA903A" w14:textId="0FB76204"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tcBorders>
          </w:tcPr>
          <w:p w14:paraId="500BCD92" w14:textId="0118E4A9"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tcBorders>
          </w:tcPr>
          <w:p w14:paraId="6FDA4555" w14:textId="7DC24034"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6A8B1190" w14:textId="77777777" w:rsidTr="00DA7639">
        <w:tc>
          <w:tcPr>
            <w:tcW w:w="1445" w:type="dxa"/>
          </w:tcPr>
          <w:p w14:paraId="513D2D1E"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9</w:t>
            </w:r>
          </w:p>
          <w:p w14:paraId="32F8C059"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 a 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42F64BF3"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Pr>
          <w:p w14:paraId="278481F4"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217A43E3" w14:textId="77777777" w:rsidR="00AD0D1F" w:rsidRDefault="00AD0D1F" w:rsidP="00DA7639">
            <w:pPr>
              <w:spacing w:line="240" w:lineRule="auto"/>
              <w:rPr>
                <w:rFonts w:ascii="Calibri" w:eastAsia="Times New Roman" w:hAnsi="Calibri" w:cs="Times New Roman"/>
                <w:color w:val="auto"/>
                <w:sz w:val="22"/>
                <w:szCs w:val="22"/>
              </w:rPr>
            </w:pPr>
          </w:p>
        </w:tc>
      </w:tr>
      <w:tr w:rsidR="00AD0D1F" w:rsidRPr="005B7AD2" w14:paraId="55996A7C" w14:textId="77777777" w:rsidTr="00DA7639">
        <w:tc>
          <w:tcPr>
            <w:tcW w:w="1445" w:type="dxa"/>
          </w:tcPr>
          <w:p w14:paraId="742DA0B1"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157AAF46"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Nuevo artículo 10 </w:t>
            </w:r>
            <w:r>
              <w:rPr>
                <w:rFonts w:ascii="Calibri" w:hAnsi="Calibri"/>
                <w:color w:val="auto"/>
                <w:sz w:val="22"/>
                <w:i w:val="1"/>
              </w:rPr>
              <w:t>bis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Pr>
          <w:p w14:paraId="657BEA5D"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32969330"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 se refiere al ejercicio de la delegación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724F7302" w14:textId="77777777" w:rsidTr="00F2781C">
        <w:tc>
          <w:tcPr>
            <w:tcW w:w="1445" w:type="dxa"/>
            <w:tcBorders>
              <w:bottom w:val="single" w:sz="4" w:space="0" w:color="auto"/>
            </w:tcBorders>
          </w:tcPr>
          <w:p w14:paraId="7996ECE9"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11</w:t>
            </w:r>
          </w:p>
          <w:p w14:paraId="2E0BACFE"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 y 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single" w:sz="4" w:space="0" w:color="auto"/>
            </w:tcBorders>
          </w:tcPr>
          <w:p w14:paraId="22A08D29"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single" w:sz="4" w:space="0" w:color="auto"/>
            </w:tcBorders>
          </w:tcPr>
          <w:p w14:paraId="2A6A2152"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bottom w:val="single" w:sz="4" w:space="0" w:color="auto"/>
            </w:tcBorders>
          </w:tcPr>
          <w:p w14:paraId="448D0D99" w14:textId="77777777" w:rsidR="00AD0D1F" w:rsidRDefault="00AD0D1F" w:rsidP="00DA7639">
            <w:pPr>
              <w:spacing w:line="240" w:lineRule="auto"/>
              <w:rPr>
                <w:rFonts w:ascii="Calibri" w:eastAsia="Times New Roman" w:hAnsi="Calibri" w:cs="Times New Roman"/>
                <w:color w:val="auto"/>
                <w:sz w:val="22"/>
                <w:szCs w:val="22"/>
              </w:rPr>
            </w:pPr>
          </w:p>
        </w:tc>
      </w:tr>
      <w:tr w:rsidR="00AD0D1F" w:rsidRPr="005B7AD2" w14:paraId="63C95B8F" w14:textId="77777777" w:rsidTr="00F2781C">
        <w:tc>
          <w:tcPr>
            <w:tcW w:w="1445" w:type="dxa"/>
            <w:tcBorders>
              <w:bottom w:val="nil"/>
            </w:tcBorders>
          </w:tcPr>
          <w:p w14:paraId="19681352" w14:textId="69D6805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 apartado 12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30751EB8" w14:textId="73C1B8AB" w:rsidR="00AD0D1F" w:rsidRDefault="00F2781C" w:rsidP="00F2781C">
            <w:pPr>
              <w:spacing w:line="240" w:lineRule="auto"/>
              <w:rPr>
                <w:rFonts w:ascii="Calibri" w:eastAsia="Times New Roman" w:hAnsi="Calibri" w:cs="Times New Roman"/>
                <w:color w:val="auto"/>
                <w:sz w:val="22"/>
                <w:szCs w:val="22"/>
              </w:rPr>
            </w:pPr>
            <w:r>
              <w:rPr>
                <w:rFonts w:ascii="Calibri" w:hAnsi="Calibri"/>
                <w:color w:val="auto"/>
                <w:sz w:val="22"/>
              </w:rPr>
              <w:t>Artículo 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24CAD1C2" w14:textId="1D0F6C7D"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bottom w:val="nil"/>
            </w:tcBorders>
          </w:tcPr>
          <w:p w14:paraId="2A2836C1" w14:textId="36A3D44E" w:rsidR="00AD0D1F" w:rsidRDefault="00AD0D1F" w:rsidP="00DA7639">
            <w:pPr>
              <w:spacing w:line="240" w:lineRule="auto"/>
              <w:rPr>
                <w:rFonts w:ascii="Calibri" w:eastAsia="Times New Roman" w:hAnsi="Calibri" w:cs="Times New Roman"/>
                <w:color w:val="auto"/>
                <w:sz w:val="22"/>
                <w:szCs w:val="22"/>
              </w:rPr>
            </w:pPr>
          </w:p>
        </w:tc>
      </w:tr>
      <w:tr w:rsidR="00F2781C" w:rsidRPr="005B7AD2" w14:paraId="20C4AF62" w14:textId="77777777" w:rsidTr="00F2781C">
        <w:tc>
          <w:tcPr>
            <w:tcW w:w="1445" w:type="dxa"/>
            <w:tcBorders>
              <w:top w:val="nil"/>
              <w:bottom w:val="nil"/>
            </w:tcBorders>
          </w:tcPr>
          <w:p w14:paraId="53350EEF" w14:textId="41DC349E"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358AD292" w14:textId="65066C22"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29BD0C86" w14:textId="77777777" w:rsidR="00F2781C" w:rsidRDefault="00F2781C" w:rsidP="00DA7639">
            <w:pPr>
              <w:spacing w:line="240" w:lineRule="auto"/>
              <w:rPr>
                <w:rFonts w:ascii="Calibri" w:eastAsia="Times New Roman" w:hAnsi="Calibri" w:cs="Times New Roman"/>
                <w:color w:val="auto"/>
                <w:sz w:val="22"/>
                <w:szCs w:val="22"/>
              </w:rPr>
            </w:pPr>
          </w:p>
        </w:tc>
        <w:tc>
          <w:tcPr>
            <w:tcW w:w="3150" w:type="dxa"/>
            <w:tcBorders>
              <w:top w:val="nil"/>
              <w:bottom w:val="nil"/>
            </w:tcBorders>
          </w:tcPr>
          <w:p w14:paraId="54963038" w14:textId="77777777" w:rsidR="00F2781C" w:rsidRDefault="00F2781C" w:rsidP="00DA7639">
            <w:pPr>
              <w:spacing w:line="240" w:lineRule="auto"/>
              <w:rPr>
                <w:rFonts w:ascii="Calibri" w:eastAsia="Times New Roman" w:hAnsi="Calibri" w:cs="Times New Roman"/>
                <w:color w:val="auto"/>
                <w:sz w:val="22"/>
                <w:szCs w:val="22"/>
              </w:rPr>
            </w:pPr>
          </w:p>
        </w:tc>
      </w:tr>
      <w:tr w:rsidR="00F2781C" w:rsidRPr="005B7AD2" w14:paraId="057C44A8" w14:textId="77777777" w:rsidTr="00F2781C">
        <w:tc>
          <w:tcPr>
            <w:tcW w:w="1445" w:type="dxa"/>
            <w:tcBorders>
              <w:top w:val="nil"/>
              <w:bottom w:val="single" w:sz="4" w:space="0" w:color="auto"/>
            </w:tcBorders>
          </w:tcPr>
          <w:p w14:paraId="43D4C95C" w14:textId="3268E1F9"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single" w:sz="4" w:space="0" w:color="auto"/>
            </w:tcBorders>
          </w:tcPr>
          <w:p w14:paraId="553DB6F2" w14:textId="53B766DA"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single" w:sz="4" w:space="0" w:color="auto"/>
            </w:tcBorders>
          </w:tcPr>
          <w:p w14:paraId="3BA04AAA" w14:textId="63F3D22F"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No requiere mayor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single" w:sz="4" w:space="0" w:color="auto"/>
            </w:tcBorders>
          </w:tcPr>
          <w:p w14:paraId="0F5D330D" w14:textId="46148A6E"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suprimido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05633E54" w14:textId="77777777" w:rsidTr="00F2781C">
        <w:tc>
          <w:tcPr>
            <w:tcW w:w="1445" w:type="dxa"/>
            <w:tcBorders>
              <w:bottom w:val="nil"/>
            </w:tcBorders>
          </w:tcPr>
          <w:p w14:paraId="5B4F6873" w14:textId="3007ED92"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 apartado 13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bottom w:val="nil"/>
            </w:tcBorders>
          </w:tcPr>
          <w:p w14:paraId="69B9447D" w14:textId="711AE674" w:rsidR="00AD0D1F" w:rsidRDefault="00F2781C" w:rsidP="00F2781C">
            <w:pPr>
              <w:spacing w:line="240" w:lineRule="auto"/>
              <w:rPr>
                <w:rFonts w:ascii="Calibri" w:eastAsia="Times New Roman" w:hAnsi="Calibri" w:cs="Times New Roman"/>
                <w:color w:val="auto"/>
                <w:sz w:val="22"/>
                <w:szCs w:val="22"/>
              </w:rPr>
            </w:pPr>
            <w:r>
              <w:rPr>
                <w:rFonts w:ascii="Calibri" w:hAnsi="Calibri"/>
                <w:color w:val="auto"/>
                <w:sz w:val="22"/>
              </w:rPr>
              <w:t>Artículo 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bottom w:val="nil"/>
            </w:tcBorders>
          </w:tcPr>
          <w:p w14:paraId="64EE9F5F" w14:textId="6998DDD2" w:rsidR="00AD0D1F" w:rsidRDefault="00AD0D1F" w:rsidP="00DA7639">
            <w:pPr>
              <w:spacing w:line="240" w:lineRule="auto"/>
              <w:rPr>
                <w:rFonts w:ascii="Calibri" w:eastAsia="Times New Roman" w:hAnsi="Calibri" w:cs="Times New Roman"/>
                <w:color w:val="auto"/>
                <w:sz w:val="22"/>
                <w:szCs w:val="22"/>
              </w:rPr>
            </w:pPr>
          </w:p>
        </w:tc>
        <w:tc>
          <w:tcPr>
            <w:tcW w:w="3150" w:type="dxa"/>
            <w:tcBorders>
              <w:bottom w:val="nil"/>
            </w:tcBorders>
          </w:tcPr>
          <w:p w14:paraId="3164DC46" w14:textId="77777777" w:rsidR="00AD0D1F" w:rsidRDefault="00AD0D1F" w:rsidP="00DA7639">
            <w:pPr>
              <w:spacing w:line="240" w:lineRule="auto"/>
              <w:rPr>
                <w:rFonts w:ascii="Calibri" w:eastAsia="Times New Roman" w:hAnsi="Calibri" w:cs="Times New Roman"/>
                <w:color w:val="auto"/>
                <w:sz w:val="22"/>
                <w:szCs w:val="22"/>
              </w:rPr>
            </w:pPr>
          </w:p>
        </w:tc>
      </w:tr>
      <w:tr w:rsidR="00F2781C" w:rsidRPr="005B7AD2" w14:paraId="42FB6FF7" w14:textId="77777777" w:rsidTr="00F2781C">
        <w:tc>
          <w:tcPr>
            <w:tcW w:w="1445" w:type="dxa"/>
            <w:tcBorders>
              <w:top w:val="nil"/>
              <w:bottom w:val="nil"/>
            </w:tcBorders>
          </w:tcPr>
          <w:p w14:paraId="10F1D125" w14:textId="524FEAC2" w:rsidR="00F2781C" w:rsidRDefault="00F2781C" w:rsidP="009262F7">
            <w:pPr>
              <w:spacing w:line="240" w:lineRule="auto"/>
              <w:rPr>
                <w:rFonts w:ascii="Calibri" w:eastAsia="Times New Roman" w:hAnsi="Calibri" w:cs="Times New Roman"/>
                <w:color w:val="auto"/>
                <w:sz w:val="22"/>
                <w:szCs w:val="22"/>
              </w:rPr>
            </w:pPr>
            <w:r>
              <w:rPr>
                <w:rFonts w:ascii="Calibri" w:hAnsi="Calibri"/>
                <w:color w:val="auto"/>
                <w:sz w:val="22"/>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27F12061" w14:textId="1526E99A"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6873FBF5" w14:textId="2882AF23" w:rsidR="00F2781C" w:rsidRPr="00510AD0"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4, apartado 1, y artículo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4495D439" w14:textId="77777777" w:rsidR="00F2781C" w:rsidRPr="00B20FB5" w:rsidRDefault="00F2781C" w:rsidP="00DA7639">
            <w:pPr>
              <w:spacing w:line="240" w:lineRule="auto"/>
              <w:rPr>
                <w:rFonts w:ascii="Calibri" w:eastAsia="Times New Roman" w:hAnsi="Calibri" w:cs="Times New Roman"/>
                <w:color w:val="auto"/>
                <w:sz w:val="22"/>
                <w:szCs w:val="22"/>
              </w:rPr>
            </w:pPr>
          </w:p>
        </w:tc>
      </w:tr>
      <w:tr w:rsidR="00F2781C" w:rsidRPr="005B7AD2" w14:paraId="1A499460" w14:textId="77777777" w:rsidTr="00F2781C">
        <w:tc>
          <w:tcPr>
            <w:tcW w:w="1445" w:type="dxa"/>
            <w:tcBorders>
              <w:top w:val="nil"/>
              <w:bottom w:val="nil"/>
            </w:tcBorders>
          </w:tcPr>
          <w:p w14:paraId="1FCB5609" w14:textId="10DC6E4D" w:rsidR="00F2781C" w:rsidRDefault="00F2781C" w:rsidP="009262F7">
            <w:pPr>
              <w:spacing w:line="240" w:lineRule="auto"/>
              <w:rPr>
                <w:rFonts w:ascii="Calibri" w:eastAsia="Times New Roman" w:hAnsi="Calibri" w:cs="Times New Roman"/>
                <w:color w:val="auto"/>
                <w:sz w:val="22"/>
                <w:szCs w:val="22"/>
              </w:rPr>
            </w:pPr>
            <w:r>
              <w:rPr>
                <w:rFonts w:ascii="Calibri" w:hAnsi="Calibri"/>
                <w:color w:val="auto"/>
                <w:sz w:val="22"/>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bottom w:val="nil"/>
            </w:tcBorders>
          </w:tcPr>
          <w:p w14:paraId="56B06C63" w14:textId="738030AC"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bottom w:val="nil"/>
            </w:tcBorders>
          </w:tcPr>
          <w:p w14:paraId="493AF8FE" w14:textId="5D188B49" w:rsidR="00F2781C" w:rsidRPr="00510AD0"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Artículo 4, apartado 2, letra 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bottom w:val="nil"/>
            </w:tcBorders>
          </w:tcPr>
          <w:p w14:paraId="766EF8BE" w14:textId="77777777" w:rsidR="00F2781C" w:rsidRPr="00B20FB5" w:rsidRDefault="00F2781C" w:rsidP="00DA7639">
            <w:pPr>
              <w:spacing w:line="240" w:lineRule="auto"/>
              <w:rPr>
                <w:rFonts w:ascii="Calibri" w:eastAsia="Times New Roman" w:hAnsi="Calibri" w:cs="Times New Roman"/>
                <w:color w:val="auto"/>
                <w:sz w:val="22"/>
                <w:szCs w:val="22"/>
              </w:rPr>
            </w:pPr>
          </w:p>
        </w:tc>
      </w:tr>
      <w:tr w:rsidR="00F2781C" w:rsidRPr="005B7AD2" w14:paraId="388DBB62" w14:textId="77777777" w:rsidTr="00F2781C">
        <w:tc>
          <w:tcPr>
            <w:tcW w:w="1445" w:type="dxa"/>
            <w:tcBorders>
              <w:top w:val="nil"/>
            </w:tcBorders>
          </w:tcPr>
          <w:p w14:paraId="6D200EB0" w14:textId="7E584699" w:rsidR="00F2781C" w:rsidRDefault="00F2781C" w:rsidP="009262F7">
            <w:pPr>
              <w:spacing w:line="240" w:lineRule="auto"/>
              <w:rPr>
                <w:rFonts w:ascii="Calibri" w:eastAsia="Times New Roman" w:hAnsi="Calibri" w:cs="Times New Roman"/>
                <w:color w:val="auto"/>
                <w:sz w:val="22"/>
                <w:szCs w:val="22"/>
              </w:rPr>
            </w:pPr>
            <w:r>
              <w:rPr>
                <w:rFonts w:ascii="Calibri" w:hAnsi="Calibri"/>
                <w:color w:val="auto"/>
                <w:sz w:val="22"/>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Borders>
              <w:top w:val="nil"/>
            </w:tcBorders>
          </w:tcPr>
          <w:p w14:paraId="01E0704D" w14:textId="68DAE7EC" w:rsidR="00F2781C"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Borders>
              <w:top w:val="nil"/>
            </w:tcBorders>
          </w:tcPr>
          <w:p w14:paraId="1A40DEEA" w14:textId="1EF5CBF5" w:rsidR="00F2781C" w:rsidRPr="00510AD0" w:rsidRDefault="00F2781C"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Borders>
              <w:top w:val="nil"/>
            </w:tcBorders>
          </w:tcPr>
          <w:p w14:paraId="45B47F8A" w14:textId="77777777" w:rsidR="00F2781C" w:rsidRPr="00B20FB5" w:rsidRDefault="00F2781C" w:rsidP="00DA7639">
            <w:pPr>
              <w:spacing w:line="240" w:lineRule="auto"/>
              <w:rPr>
                <w:rFonts w:ascii="Calibri" w:eastAsia="Times New Roman" w:hAnsi="Calibri" w:cs="Times New Roman"/>
                <w:color w:val="auto"/>
                <w:sz w:val="22"/>
                <w:szCs w:val="22"/>
              </w:rPr>
            </w:pPr>
          </w:p>
        </w:tc>
      </w:tr>
      <w:tr w:rsidR="00AD0D1F" w:rsidRPr="005B7AD2" w14:paraId="59973E3B" w14:textId="77777777" w:rsidTr="00DA7639">
        <w:tc>
          <w:tcPr>
            <w:tcW w:w="1445" w:type="dxa"/>
          </w:tcPr>
          <w:p w14:paraId="74C20243" w14:textId="458D9CE0" w:rsidR="00AD0D1F" w:rsidRDefault="00AD0D1F" w:rsidP="009262F7">
            <w:pPr>
              <w:spacing w:line="240" w:lineRule="auto"/>
              <w:rPr>
                <w:rFonts w:ascii="Calibri" w:eastAsia="Times New Roman" w:hAnsi="Calibri" w:cs="Times New Roman"/>
                <w:color w:val="auto"/>
                <w:sz w:val="22"/>
                <w:szCs w:val="22"/>
              </w:rPr>
            </w:pPr>
            <w:r>
              <w:rPr>
                <w:rFonts w:ascii="Calibri" w:hAnsi="Calibri"/>
                <w:color w:val="auto"/>
                <w:sz w:val="22"/>
              </w:rPr>
              <w:t>Artículo 1, apartado 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441776D3"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Pr>
          <w:p w14:paraId="1585BAE7" w14:textId="6F5F9615"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6A18EF0A"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Referido a la supresión del artículo 14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4CE5CDB9" w14:textId="77777777" w:rsidTr="00DA7639">
        <w:tc>
          <w:tcPr>
            <w:tcW w:w="1445" w:type="dxa"/>
          </w:tcPr>
          <w:p w14:paraId="1A3B30FB"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6BD2D4F6" w14:textId="77777777" w:rsidR="00AD0D1F" w:rsidRPr="0014672E"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Nuevo artículo 16 </w:t>
            </w:r>
            <w:r>
              <w:rPr>
                <w:rFonts w:ascii="Calibri" w:hAnsi="Calibri"/>
                <w:color w:val="auto"/>
                <w:sz w:val="22"/>
                <w:i w:val="1"/>
              </w:rPr>
              <w:t>bis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Pr>
          <w:p w14:paraId="1240E206"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5E2BAF02"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51BE1F9A" w14:textId="77777777" w:rsidTr="00DA7639">
        <w:tc>
          <w:tcPr>
            <w:tcW w:w="1445" w:type="dxa"/>
          </w:tcPr>
          <w:p w14:paraId="2711FE90"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1, apartado 16, a) y 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055669FB" w14:textId="77777777" w:rsidR="00AD0D1F" w:rsidRPr="0092155A"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Anexo I correspondiente al artículo 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93" w:type="dxa"/>
          </w:tcPr>
          <w:p w14:paraId="0C714AD9" w14:textId="410D87CF" w:rsidR="00AD0D1F" w:rsidRPr="0014672E" w:rsidRDefault="00AD0D1F" w:rsidP="009262F7">
            <w:pPr>
              <w:spacing w:line="240" w:lineRule="auto"/>
              <w:rPr>
                <w:rFonts w:ascii="Calibri" w:eastAsia="Times New Roman" w:hAnsi="Calibri" w:cs="Times New Roman"/>
                <w:color w:val="auto"/>
                <w:sz w:val="22"/>
                <w:szCs w:val="22"/>
              </w:rPr>
            </w:pPr>
            <w:r>
              <w:rPr>
                <w:rFonts w:ascii="Calibri" w:hAnsi="Calibri"/>
                <w:color w:val="auto"/>
                <w:sz w:val="22"/>
              </w:rPr>
              <w:t>Artículo 19, apartado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715129D1" w14:textId="77777777" w:rsidR="00AD0D1F" w:rsidRDefault="00AD0D1F" w:rsidP="00DA7639">
            <w:pPr>
              <w:spacing w:line="240" w:lineRule="auto"/>
              <w:rPr>
                <w:rFonts w:ascii="Calibri" w:eastAsia="Times New Roman" w:hAnsi="Calibri" w:cs="Times New Roman"/>
                <w:color w:val="auto"/>
                <w:sz w:val="22"/>
                <w:szCs w:val="22"/>
              </w:rPr>
            </w:pPr>
          </w:p>
        </w:tc>
      </w:tr>
      <w:tr w:rsidR="00AD0D1F" w:rsidRPr="005B7AD2" w14:paraId="4D94E12C" w14:textId="77777777" w:rsidTr="00DA7639">
        <w:tc>
          <w:tcPr>
            <w:tcW w:w="1445" w:type="dxa"/>
          </w:tcPr>
          <w:p w14:paraId="05CF2759"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772530FC" w14:textId="77777777" w:rsidR="00AD0D1F" w:rsidRDefault="00AD0D1F" w:rsidP="00DA7639">
            <w:pPr>
              <w:spacing w:line="240" w:lineRule="auto"/>
              <w:rPr>
                <w:rFonts w:ascii="Calibri" w:eastAsia="Times New Roman" w:hAnsi="Calibri" w:cs="Times New Roman"/>
                <w:color w:val="auto"/>
                <w:sz w:val="22"/>
                <w:szCs w:val="22"/>
              </w:rPr>
            </w:pPr>
          </w:p>
        </w:tc>
        <w:tc>
          <w:tcPr>
            <w:tcW w:w="2793" w:type="dxa"/>
          </w:tcPr>
          <w:p w14:paraId="68D52177" w14:textId="77777777" w:rsidR="00AD0D1F" w:rsidRPr="0092155A"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5371BE0D"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Concierne en particular a plazos de implementación y de entrada en vigor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4E899B39" w14:textId="77777777" w:rsidTr="00DA7639">
        <w:tc>
          <w:tcPr>
            <w:tcW w:w="1445" w:type="dxa"/>
          </w:tcPr>
          <w:p w14:paraId="638F36C4"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0834D89F" w14:textId="77777777" w:rsidR="00AD0D1F" w:rsidRPr="0092155A" w:rsidRDefault="00AD0D1F" w:rsidP="00DA7639">
            <w:pPr>
              <w:spacing w:line="240" w:lineRule="auto"/>
              <w:rPr>
                <w:rFonts w:ascii="Calibri" w:eastAsia="Times New Roman" w:hAnsi="Calibri" w:cs="Times New Roman"/>
                <w:color w:val="auto"/>
                <w:sz w:val="22"/>
                <w:szCs w:val="22"/>
              </w:rPr>
            </w:pPr>
          </w:p>
        </w:tc>
        <w:tc>
          <w:tcPr>
            <w:tcW w:w="2793" w:type="dxa"/>
          </w:tcPr>
          <w:p w14:paraId="6E66EFF3"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7E103336"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Se refiere a disposición de entrada en vigor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0D1F" w:rsidRPr="005B7AD2" w14:paraId="5B968147" w14:textId="77777777" w:rsidTr="00DA7639">
        <w:tc>
          <w:tcPr>
            <w:tcW w:w="1445" w:type="dxa"/>
          </w:tcPr>
          <w:p w14:paraId="1014B63F"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Artículo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22" w:type="dxa"/>
          </w:tcPr>
          <w:p w14:paraId="05A04EE1" w14:textId="77777777" w:rsidR="00AD0D1F" w:rsidRPr="0092155A" w:rsidRDefault="00AD0D1F" w:rsidP="00DA7639">
            <w:pPr>
              <w:spacing w:line="240" w:lineRule="auto"/>
              <w:rPr>
                <w:rFonts w:ascii="Calibri" w:eastAsia="Times New Roman" w:hAnsi="Calibri" w:cs="Times New Roman"/>
                <w:color w:val="auto"/>
                <w:sz w:val="22"/>
                <w:szCs w:val="22"/>
              </w:rPr>
            </w:pPr>
          </w:p>
        </w:tc>
        <w:tc>
          <w:tcPr>
            <w:tcW w:w="2793" w:type="dxa"/>
          </w:tcPr>
          <w:p w14:paraId="71FEC5DB" w14:textId="77777777" w:rsidR="00AD0D1F" w:rsidRPr="0092155A"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50" w:type="dxa"/>
          </w:tcPr>
          <w:p w14:paraId="55F964A2" w14:textId="77777777" w:rsidR="00AD0D1F" w:rsidRDefault="00AD0D1F" w:rsidP="00DA7639">
            <w:pPr>
              <w:spacing w:line="240" w:lineRule="auto"/>
              <w:rPr>
                <w:rFonts w:ascii="Calibri" w:eastAsia="Times New Roman" w:hAnsi="Calibri" w:cs="Times New Roman"/>
                <w:color w:val="auto"/>
                <w:sz w:val="22"/>
                <w:szCs w:val="22"/>
              </w:rPr>
            </w:pPr>
            <w:r>
              <w:rPr>
                <w:rFonts w:ascii="Calibri" w:hAnsi="Calibri"/>
                <w:color w:val="auto"/>
                <w:sz w:val="22"/>
              </w:rPr>
              <w:t>Se refiere a los destinatarios de la Directiva</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7EA663F" w14:textId="77777777" w:rsidR="00537AD1" w:rsidRPr="005B7AD2" w:rsidRDefault="00537AD1" w:rsidP="00DA7639">
      <w:pPr>
        <w:autoSpaceDN/>
        <w:spacing w:after="200" w:line="276" w:lineRule="auto"/>
        <w:textAlignment w:val="auto"/>
        <w:rPr>
          <w:rFonts w:ascii="Calibri" w:eastAsia="Calibri" w:hAnsi="Calibri" w:cs="Arial"/>
          <w:color w:val="auto"/>
          <w:sz w:val="22"/>
          <w:szCs w:val="22"/>
          <w:lang/>
        </w:rPr>
      </w:pPr>
    </w:p>
    <w:p w14:paraId="779F4DC6" w14:textId="77777777" w:rsidR="00FB609D" w:rsidRPr="004C0CE1" w:rsidRDefault="00FB609D" w:rsidP="009262F7">
      <w:pPr>
        <w:keepNext/>
        <w:keepLines/>
        <w:shd w:val="clear" w:color="auto" w:fill="FFFFFF"/>
        <w:autoSpaceDN/>
        <w:spacing w:line="240" w:lineRule="auto"/>
        <w:textAlignment w:val="auto"/>
        <w:rPr>
          <w:rFonts w:eastAsia="Times New Roman" w:cs="Times New Roman"/>
          <w:b/>
        </w:rPr>
      </w:pPr>
      <w:r>
        <w:rPr>
          <w:rFonts/>
          <w:b/>
        </w:rPr>
        <w:t xml:space="preserve">Cuadro de transposición 2.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57796F9" w14:textId="77777777" w:rsidR="00FB609D" w:rsidRPr="004C0CE1" w:rsidRDefault="00FB609D" w:rsidP="009262F7">
      <w:pPr>
        <w:keepNext/>
        <w:keepLines/>
        <w:shd w:val="clear" w:color="auto" w:fill="FFFFFF"/>
        <w:autoSpaceDN/>
        <w:spacing w:line="240" w:lineRule="auto"/>
        <w:textAlignment w:val="auto"/>
        <w:rPr>
          <w:rFonts w:eastAsia="Times New Roman" w:cs="Times New Roman"/>
          <w:b/>
        </w:rPr>
      </w:pPr>
    </w:p>
    <w:p w14:paraId="47E7939E" w14:textId="77777777" w:rsidR="00FB609D" w:rsidRPr="006D4890" w:rsidRDefault="00076C90" w:rsidP="00DA7639">
      <w:pPr>
        <w:shd w:val="clear" w:color="auto" w:fill="FFFFFF"/>
        <w:autoSpaceDN/>
        <w:spacing w:line="240" w:lineRule="auto"/>
        <w:textAlignment w:val="auto"/>
        <w:rPr>
          <w:rFonts w:eastAsia="Times New Roman" w:cs="Times New Roman"/>
        </w:rPr>
      </w:pPr>
      <w:r>
        <w:t xml:space="preserve">Directiva (UE) 2017/2110 sobre un sistema de inspecciones para garantizar la seguridad en la explotación de buques de pasaje de transbordo rodado y naves de pasaje de gran velocidad en servicio regular y por la que se modifica la Directiva 2009/16/CE y se deroga la Directiva 1999/35/CE del Consejo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A16E0FA" w14:textId="77777777" w:rsidR="00FB609D" w:rsidRPr="006D4890" w:rsidRDefault="00FB609D" w:rsidP="00DA7639">
      <w:pPr>
        <w:shd w:val="clear" w:color="auto" w:fill="FFFFFF"/>
        <w:autoSpaceDN/>
        <w:spacing w:line="240" w:lineRule="auto"/>
        <w:textAlignment w:val="auto"/>
        <w:rPr>
          <w:rFonts w:ascii="Calibri" w:eastAsia="Times New Roman" w:hAnsi="Calibri" w:cs="Times New Roman"/>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elraster1"/>
        <w:tblW w:w="9913" w:type="dxa"/>
        <w:tblInd w:w="5" w:type="dxa"/>
        <w:tblLook w:val="04A0" w:firstRow="1" w:lastRow="0" w:firstColumn="1" w:lastColumn="0" w:noHBand="0" w:noVBand="1"/>
      </w:tblPr>
      <w:tblGrid>
        <w:gridCol w:w="1975"/>
        <w:gridCol w:w="3118"/>
        <w:gridCol w:w="4820"/>
      </w:tblGrid>
      <w:tr w:rsidR="00FB609D" w:rsidRPr="005B7AD2" w14:paraId="374FECE9" w14:textId="77777777" w:rsidTr="00741E3A">
        <w:tc>
          <w:tcPr>
            <w:tcW w:w="1975" w:type="dxa"/>
            <w:tcBorders>
              <w:bottom w:val="single" w:sz="4" w:space="0" w:color="auto"/>
            </w:tcBorders>
            <w:shd w:val="clear" w:color="auto" w:fill="EEECE1"/>
          </w:tcPr>
          <w:p w14:paraId="7AC1A2B8" w14:textId="77777777" w:rsidR="00FB609D" w:rsidRDefault="00FB609D" w:rsidP="009262F7">
            <w:pPr>
              <w:keepNext/>
              <w:keepLines/>
              <w:spacing w:line="240" w:lineRule="auto"/>
              <w:rPr>
                <w:rFonts w:ascii="Calibri" w:eastAsia="Times New Roman" w:hAnsi="Calibri" w:cs="Times New Roman"/>
                <w:b/>
                <w:color w:val="auto"/>
                <w:sz w:val="22"/>
                <w:szCs w:val="22"/>
              </w:rPr>
            </w:pPr>
            <w:r>
              <w:rPr>
                <w:rFonts w:ascii="Calibri" w:hAnsi="Calibri"/>
                <w:b/>
                <w:color w:val="auto"/>
                <w:sz w:val="22"/>
              </w:rPr>
              <w:t xml:space="preserve">Disposición de la Directiva UE </w:t>
            </w:r>
          </w:p>
          <w:p w14:paraId="718C6D1E" w14:textId="77777777" w:rsidR="0012425C" w:rsidRPr="00341A53" w:rsidRDefault="0012425C" w:rsidP="009262F7">
            <w:pPr>
              <w:keepNext/>
              <w:keepLines/>
              <w:spacing w:line="240" w:lineRule="auto"/>
              <w:rPr>
                <w:rFonts w:ascii="Calibri" w:eastAsia="Times New Roman" w:hAnsi="Calibri" w:cs="Times New Roman"/>
                <w:b/>
                <w:color w:val="auto"/>
                <w:sz w:val="22"/>
                <w:szCs w:val="22"/>
              </w:rPr>
            </w:pPr>
            <w:r>
              <w:rPr>
                <w:rFonts w:ascii="Calibri" w:hAnsi="Calibri"/>
                <w:b/>
                <w:color w:val="auto"/>
                <w:sz w:val="22"/>
              </w:rPr>
              <w:t>2017/2110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Borders>
              <w:bottom w:val="single" w:sz="4" w:space="0" w:color="auto"/>
            </w:tcBorders>
            <w:shd w:val="clear" w:color="auto" w:fill="EEECE1"/>
          </w:tcPr>
          <w:p w14:paraId="334316E7" w14:textId="77777777" w:rsidR="00FB609D" w:rsidRPr="00341A53" w:rsidRDefault="0012425C" w:rsidP="009262F7">
            <w:pPr>
              <w:keepNext/>
              <w:keepLines/>
              <w:spacing w:line="240" w:lineRule="auto"/>
              <w:rPr>
                <w:rFonts w:ascii="Calibri" w:eastAsia="Times New Roman" w:hAnsi="Calibri" w:cs="Times New Roman"/>
                <w:b/>
                <w:color w:val="auto"/>
                <w:sz w:val="22"/>
                <w:szCs w:val="22"/>
              </w:rPr>
            </w:pPr>
            <w:r>
              <w:rPr>
                <w:rFonts w:ascii="Calibri" w:hAnsi="Calibri"/>
                <w:b/>
                <w:color w:val="auto"/>
                <w:sz w:val="22"/>
              </w:rPr>
              <w:t xml:space="preserve">Implementación nacional en la Rvz, salvo indicación de lo contrario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Borders>
              <w:bottom w:val="single" w:sz="4" w:space="0" w:color="auto"/>
              <w:right w:val="single" w:sz="4" w:space="0" w:color="auto"/>
            </w:tcBorders>
            <w:shd w:val="clear" w:color="auto" w:fill="EEECE1"/>
          </w:tcPr>
          <w:p w14:paraId="2FD27143" w14:textId="77777777" w:rsidR="00FB609D" w:rsidRPr="00341A53" w:rsidRDefault="00FB609D" w:rsidP="009262F7">
            <w:pPr>
              <w:keepNext/>
              <w:keepLines/>
              <w:spacing w:line="240" w:lineRule="auto"/>
              <w:rPr>
                <w:rFonts w:ascii="Calibri" w:eastAsia="Times New Roman" w:hAnsi="Calibri" w:cs="Times New Roman"/>
                <w:b/>
                <w:color w:val="auto"/>
                <w:sz w:val="22"/>
                <w:szCs w:val="22"/>
              </w:rPr>
            </w:pPr>
            <w:r>
              <w:rPr>
                <w:rFonts w:ascii="Calibri" w:hAnsi="Calibri"/>
                <w:b/>
                <w:color w:val="auto"/>
                <w:sz w:val="22"/>
              </w:rPr>
              <w:t>Exposición de motivos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B609D" w:rsidRPr="005B7AD2" w14:paraId="493D0F5A" w14:textId="77777777" w:rsidTr="00741E3A">
        <w:tc>
          <w:tcPr>
            <w:tcW w:w="1975" w:type="dxa"/>
            <w:tcBorders>
              <w:bottom w:val="nil"/>
            </w:tcBorders>
          </w:tcPr>
          <w:p w14:paraId="141505F2" w14:textId="02940F87" w:rsidR="00C9140F" w:rsidRPr="005B7AD2" w:rsidRDefault="00FB609D" w:rsidP="009262F7">
            <w:pPr>
              <w:spacing w:line="240" w:lineRule="auto"/>
              <w:rPr>
                <w:rFonts w:ascii="Calibri" w:eastAsia="Times New Roman" w:hAnsi="Calibri" w:cs="Times New Roman"/>
                <w:color w:val="auto"/>
                <w:sz w:val="22"/>
                <w:szCs w:val="22"/>
              </w:rPr>
            </w:pPr>
            <w:r>
              <w:rPr>
                <w:rFonts w:ascii="Calibri" w:hAnsi="Calibri"/>
                <w:color w:val="auto"/>
                <w:sz w:val="22"/>
              </w:rPr>
              <w:t>Artículo 1, apartado 1 a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Borders>
              <w:bottom w:val="nil"/>
            </w:tcBorders>
          </w:tcPr>
          <w:p w14:paraId="13DE2CF0" w14:textId="05246DD0" w:rsidR="00C9140F" w:rsidRPr="006C09A8" w:rsidRDefault="00E055B8" w:rsidP="00DA7639">
            <w:pPr>
              <w:spacing w:line="240" w:lineRule="auto"/>
              <w:rPr>
                <w:rFonts w:ascii="Calibri" w:eastAsia="Times New Roman" w:hAnsi="Calibri" w:cs="Times New Roman"/>
                <w:color w:val="auto"/>
                <w:sz w:val="22"/>
                <w:szCs w:val="22"/>
              </w:rPr>
            </w:pPr>
            <w:r>
              <w:rPr>
                <w:rFonts w:ascii="Calibri" w:hAnsi="Calibri"/>
                <w:color w:val="auto"/>
                <w:sz w:val="22"/>
              </w:rPr>
              <w:t>Artículo 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Borders>
              <w:bottom w:val="nil"/>
            </w:tcBorders>
          </w:tcPr>
          <w:p w14:paraId="28E3E10A" w14:textId="4591FAA7" w:rsidR="00FB609D" w:rsidRPr="00364E3A" w:rsidRDefault="00FB609D" w:rsidP="00DA7639">
            <w:pPr>
              <w:spacing w:line="240" w:lineRule="auto"/>
              <w:rPr>
                <w:rFonts w:ascii="Calibri" w:eastAsia="Times New Roman" w:hAnsi="Calibri" w:cs="Times New Roman"/>
                <w:color w:val="auto"/>
                <w:sz w:val="22"/>
                <w:szCs w:val="22"/>
              </w:rPr>
            </w:pPr>
          </w:p>
        </w:tc>
      </w:tr>
      <w:tr w:rsidR="00741E3A" w:rsidRPr="005B7AD2" w14:paraId="15F5717D" w14:textId="77777777" w:rsidTr="00741E3A">
        <w:tc>
          <w:tcPr>
            <w:tcW w:w="1975" w:type="dxa"/>
            <w:tcBorders>
              <w:top w:val="nil"/>
            </w:tcBorders>
          </w:tcPr>
          <w:p w14:paraId="1532A05F" w14:textId="3517F3DF" w:rsidR="00741E3A" w:rsidRDefault="00741E3A" w:rsidP="00DA7639">
            <w:pPr>
              <w:spacing w:line="240" w:lineRule="auto"/>
              <w:rPr>
                <w:rFonts w:ascii="Calibri" w:eastAsia="Times New Roman" w:hAnsi="Calibri" w:cs="Times New Roman"/>
                <w:color w:val="auto"/>
                <w:sz w:val="22"/>
                <w:szCs w:val="22"/>
              </w:rPr>
            </w:pPr>
            <w:r>
              <w:rPr>
                <w:rFonts w:ascii="Calibri" w:hAnsi="Calibri"/>
                <w:color w:val="auto"/>
                <w:sz w:val="22"/>
              </w:rPr>
              <w:t>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Borders>
              <w:top w:val="nil"/>
            </w:tcBorders>
          </w:tcPr>
          <w:p w14:paraId="523F0EA3" w14:textId="33F4A52C" w:rsidR="00741E3A" w:rsidRDefault="00741E3A"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Borders>
              <w:top w:val="nil"/>
            </w:tcBorders>
          </w:tcPr>
          <w:p w14:paraId="582170E9" w14:textId="0C49BE80" w:rsidR="00741E3A" w:rsidRDefault="00741E3A" w:rsidP="00DA7639">
            <w:pPr>
              <w:spacing w:line="240" w:lineRule="auto"/>
              <w:rPr>
                <w:rFonts w:ascii="Calibri" w:eastAsia="Times New Roman" w:hAnsi="Calibri" w:cs="Times New Roman"/>
                <w:color w:val="auto"/>
                <w:sz w:val="22"/>
                <w:szCs w:val="22"/>
              </w:rPr>
            </w:pPr>
            <w:r>
              <w:rPr>
                <w:rFonts w:ascii="Calibri" w:hAnsi="Calibri"/>
                <w:color w:val="auto"/>
                <w:sz w:val="22"/>
              </w:rPr>
              <w:t>No aplicable; dirigido a Estados miembros sin puertos marítimos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5B7AD2" w14:paraId="6D2E6A6D" w14:textId="77777777" w:rsidTr="009262F7">
        <w:tc>
          <w:tcPr>
            <w:tcW w:w="1975" w:type="dxa"/>
          </w:tcPr>
          <w:p w14:paraId="4682DDEA" w14:textId="77777777" w:rsidR="00076C90" w:rsidRDefault="00076C90" w:rsidP="00DA7639">
            <w:pPr>
              <w:spacing w:line="240" w:lineRule="auto"/>
              <w:rPr>
                <w:rFonts w:ascii="Calibri" w:eastAsia="Times New Roman" w:hAnsi="Calibri" w:cs="Times New Roman"/>
                <w:color w:val="auto"/>
                <w:sz w:val="22"/>
                <w:szCs w:val="22"/>
              </w:rPr>
            </w:pPr>
            <w:r>
              <w:rPr>
                <w:rFonts w:ascii="Calibri" w:hAnsi="Calibri"/>
                <w:color w:val="auto"/>
                <w:sz w:val="22"/>
              </w:rPr>
              <w:t>Artículo 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25883B44" w14:textId="77777777" w:rsidR="00C61444" w:rsidRPr="00173740" w:rsidRDefault="00C9140F" w:rsidP="00DA7639">
            <w:pPr>
              <w:spacing w:line="240" w:lineRule="auto"/>
              <w:rPr>
                <w:rFonts w:ascii="Calibri" w:eastAsia="Times New Roman" w:hAnsi="Calibri" w:cs="Times New Roman"/>
                <w:color w:val="auto"/>
                <w:sz w:val="22"/>
                <w:szCs w:val="22"/>
              </w:rPr>
            </w:pPr>
            <w:r>
              <w:rPr>
                <w:rFonts w:ascii="Calibri" w:hAnsi="Calibri"/>
                <w:color w:val="auto"/>
                <w:sz w:val="22"/>
              </w:rPr>
              <w:t>Artículo 1 en relación con el artículo 62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765670B3" w14:textId="77777777" w:rsidR="009B24EA" w:rsidRPr="00364E3A" w:rsidRDefault="00C9140F" w:rsidP="00DA7639">
            <w:pPr>
              <w:spacing w:line="240" w:lineRule="auto"/>
              <w:rPr>
                <w:rFonts w:ascii="Calibri" w:eastAsia="Times New Roman" w:hAnsi="Calibri" w:cs="Times New Roman"/>
                <w:color w:val="auto"/>
                <w:sz w:val="22"/>
                <w:szCs w:val="22"/>
              </w:rPr>
            </w:pPr>
            <w:r>
              <w:rPr>
                <w:rFonts w:ascii="Calibri" w:hAnsi="Calibri"/>
                <w:color w:val="auto"/>
                <w:sz w:val="22"/>
              </w:rPr>
              <w:t>Incluido en la definición del artículo 1</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5B7AD2" w14:paraId="634A219E" w14:textId="77777777" w:rsidTr="009262F7">
        <w:tc>
          <w:tcPr>
            <w:tcW w:w="1975" w:type="dxa"/>
          </w:tcPr>
          <w:p w14:paraId="28B5CAEA" w14:textId="77777777" w:rsidR="00076C90" w:rsidRPr="00AD06B7" w:rsidRDefault="00076C90" w:rsidP="00DA7639">
            <w:pPr>
              <w:spacing w:line="240" w:lineRule="auto"/>
              <w:rPr>
                <w:rFonts w:ascii="Calibri" w:eastAsia="Times New Roman" w:hAnsi="Calibri" w:cs="Times New Roman"/>
                <w:color w:val="auto"/>
                <w:sz w:val="22"/>
                <w:szCs w:val="22"/>
                <w:highlight w:val="yellow"/>
              </w:rPr>
            </w:pPr>
            <w:r>
              <w:rPr>
                <w:rFonts w:ascii="Calibri" w:hAnsi="Calibri"/>
                <w:color w:val="auto"/>
                <w:sz w:val="22"/>
              </w:rPr>
              <w:t>Artículo 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61363B76" w14:textId="77777777" w:rsidR="00076C90" w:rsidRPr="006C09A8" w:rsidRDefault="001D1304"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Artículo 13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78941081" w14:textId="77777777" w:rsidR="00076C90" w:rsidRPr="00364E3A" w:rsidRDefault="00076C90" w:rsidP="00DA7639">
            <w:pPr>
              <w:spacing w:line="240" w:lineRule="auto"/>
              <w:rPr>
                <w:rFonts w:ascii="Calibri" w:eastAsia="Times New Roman" w:hAnsi="Calibri" w:cs="Times New Roman"/>
                <w:color w:val="auto"/>
                <w:sz w:val="22"/>
                <w:szCs w:val="22"/>
              </w:rPr>
            </w:pPr>
          </w:p>
        </w:tc>
      </w:tr>
      <w:tr w:rsidR="00173740" w:rsidRPr="005B7AD2" w14:paraId="19CC05CF" w14:textId="77777777" w:rsidTr="009262F7">
        <w:tc>
          <w:tcPr>
            <w:tcW w:w="1975" w:type="dxa"/>
          </w:tcPr>
          <w:p w14:paraId="2DF894DF" w14:textId="77777777" w:rsidR="00173740" w:rsidRPr="00173740" w:rsidRDefault="00173740" w:rsidP="00DA7639">
            <w:pPr>
              <w:spacing w:line="240" w:lineRule="auto"/>
              <w:rPr>
                <w:rFonts w:ascii="Calibri" w:eastAsia="Times New Roman" w:hAnsi="Calibri" w:cs="Times New Roman"/>
                <w:color w:val="auto"/>
                <w:sz w:val="22"/>
                <w:szCs w:val="22"/>
              </w:rPr>
            </w:pPr>
            <w:r>
              <w:rPr>
                <w:rFonts w:ascii="Calibri" w:hAnsi="Calibri"/>
                <w:color w:val="auto"/>
                <w:sz w:val="22"/>
              </w:rPr>
              <w:t>Artículo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34740D1F" w14:textId="77777777" w:rsidR="00173740" w:rsidRDefault="00575A98" w:rsidP="00DA7639">
            <w:pPr>
              <w:spacing w:line="240" w:lineRule="auto"/>
              <w:rPr>
                <w:rFonts w:ascii="Calibri" w:eastAsia="Times New Roman" w:hAnsi="Calibri" w:cs="Times New Roman"/>
                <w:color w:val="auto"/>
                <w:sz w:val="22"/>
                <w:szCs w:val="22"/>
              </w:rPr>
            </w:pPr>
            <w:r>
              <w:rPr>
                <w:rFonts w:ascii="Calibri" w:hAnsi="Calibri"/>
                <w:color w:val="auto"/>
                <w:sz w:val="22"/>
              </w:rPr>
              <w:t>Artículo 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63283D7E" w14:textId="77777777" w:rsidR="00173740" w:rsidRPr="00364E3A" w:rsidRDefault="00173740" w:rsidP="00DA7639">
            <w:pPr>
              <w:spacing w:line="240" w:lineRule="auto"/>
              <w:rPr>
                <w:rFonts w:ascii="Calibri" w:eastAsia="Times New Roman" w:hAnsi="Calibri" w:cs="Times New Roman"/>
                <w:color w:val="auto"/>
                <w:sz w:val="22"/>
                <w:szCs w:val="22"/>
              </w:rPr>
            </w:pPr>
          </w:p>
        </w:tc>
      </w:tr>
      <w:tr w:rsidR="00C60C15" w:rsidRPr="005B7AD2" w14:paraId="4B39CE57" w14:textId="77777777" w:rsidTr="009262F7">
        <w:tc>
          <w:tcPr>
            <w:tcW w:w="1975" w:type="dxa"/>
          </w:tcPr>
          <w:p w14:paraId="4307936A" w14:textId="77777777" w:rsidR="00C60C15" w:rsidRDefault="00C60C15" w:rsidP="00DA7639">
            <w:pPr>
              <w:spacing w:line="240" w:lineRule="auto"/>
              <w:rPr>
                <w:rFonts w:ascii="Calibri" w:eastAsia="Times New Roman" w:hAnsi="Calibri" w:cs="Times New Roman"/>
                <w:color w:val="auto"/>
                <w:sz w:val="22"/>
                <w:szCs w:val="22"/>
              </w:rPr>
            </w:pPr>
            <w:r>
              <w:rPr>
                <w:rFonts w:ascii="Calibri" w:hAnsi="Calibri"/>
                <w:color w:val="auto"/>
                <w:sz w:val="22"/>
              </w:rPr>
              <w:t>Artículo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14AF32B6" w14:textId="77777777" w:rsidR="00C60C15" w:rsidRDefault="00C60C15" w:rsidP="00DA7639">
            <w:pPr>
              <w:spacing w:line="240" w:lineRule="auto"/>
              <w:rPr>
                <w:rFonts w:ascii="Calibri" w:eastAsia="Times New Roman" w:hAnsi="Calibri" w:cs="Times New Roman"/>
                <w:color w:val="auto"/>
                <w:sz w:val="22"/>
                <w:szCs w:val="22"/>
              </w:rPr>
            </w:pPr>
            <w:r>
              <w:rPr>
                <w:rFonts w:ascii="Calibri" w:hAnsi="Calibri"/>
                <w:color w:val="auto"/>
                <w:sz w:val="22"/>
              </w:rPr>
              <w:t>Artículo 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2039247F" w14:textId="77777777" w:rsidR="00C60C15" w:rsidRPr="00364E3A" w:rsidRDefault="00C60C15" w:rsidP="00DA7639">
            <w:pPr>
              <w:spacing w:line="240" w:lineRule="auto"/>
              <w:rPr>
                <w:rFonts w:ascii="Calibri" w:eastAsia="Times New Roman" w:hAnsi="Calibri" w:cs="Times New Roman"/>
                <w:color w:val="auto"/>
                <w:sz w:val="22"/>
                <w:szCs w:val="22"/>
              </w:rPr>
            </w:pPr>
          </w:p>
        </w:tc>
      </w:tr>
      <w:tr w:rsidR="00575A98" w:rsidRPr="005B7AD2" w14:paraId="5680AB9A" w14:textId="77777777" w:rsidTr="009262F7">
        <w:tc>
          <w:tcPr>
            <w:tcW w:w="1975" w:type="dxa"/>
          </w:tcPr>
          <w:p w14:paraId="03ADADE9" w14:textId="77777777" w:rsidR="00575A98" w:rsidRDefault="00575A98" w:rsidP="00DA7639">
            <w:pPr>
              <w:spacing w:line="240" w:lineRule="auto"/>
              <w:rPr>
                <w:rFonts w:ascii="Calibri" w:eastAsia="Times New Roman" w:hAnsi="Calibri" w:cs="Times New Roman"/>
                <w:color w:val="auto"/>
                <w:sz w:val="22"/>
                <w:szCs w:val="22"/>
              </w:rPr>
            </w:pPr>
            <w:r>
              <w:rPr>
                <w:rFonts w:ascii="Calibri" w:hAnsi="Calibri"/>
                <w:color w:val="auto"/>
                <w:sz w:val="22"/>
              </w:rPr>
              <w:t>Artículo 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38F57001" w14:textId="77777777" w:rsidR="00575A98" w:rsidRDefault="00057622" w:rsidP="00DA7639">
            <w:pPr>
              <w:spacing w:line="240" w:lineRule="auto"/>
              <w:rPr>
                <w:rFonts w:ascii="Calibri" w:eastAsia="Times New Roman" w:hAnsi="Calibri" w:cs="Times New Roman"/>
                <w:color w:val="auto"/>
                <w:sz w:val="22"/>
                <w:szCs w:val="22"/>
              </w:rPr>
            </w:pPr>
            <w:r>
              <w:rPr>
                <w:rFonts w:ascii="Calibri" w:hAnsi="Calibri"/>
                <w:color w:val="auto"/>
                <w:sz w:val="22"/>
              </w:rPr>
              <w:t>Artículo 13, 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3AD69E38" w14:textId="77777777" w:rsidR="00575A98" w:rsidRPr="00364E3A" w:rsidRDefault="00575A98" w:rsidP="00DA7639">
            <w:pPr>
              <w:spacing w:line="240" w:lineRule="auto"/>
              <w:rPr>
                <w:rFonts w:ascii="Calibri" w:eastAsia="Times New Roman" w:hAnsi="Calibri" w:cs="Times New Roman"/>
                <w:color w:val="auto"/>
                <w:sz w:val="22"/>
                <w:szCs w:val="22"/>
              </w:rPr>
            </w:pPr>
          </w:p>
        </w:tc>
      </w:tr>
      <w:tr w:rsidR="00057622" w:rsidRPr="005B7AD2" w14:paraId="16FC8B9A" w14:textId="77777777" w:rsidTr="009262F7">
        <w:tc>
          <w:tcPr>
            <w:tcW w:w="1975" w:type="dxa"/>
          </w:tcPr>
          <w:p w14:paraId="214403F2" w14:textId="77777777" w:rsidR="00057622" w:rsidRDefault="00057622" w:rsidP="00DA7639">
            <w:pPr>
              <w:spacing w:line="240" w:lineRule="auto"/>
              <w:rPr>
                <w:rFonts w:ascii="Calibri" w:eastAsia="Times New Roman" w:hAnsi="Calibri" w:cs="Times New Roman"/>
                <w:color w:val="auto"/>
                <w:sz w:val="22"/>
                <w:szCs w:val="22"/>
              </w:rPr>
            </w:pPr>
            <w:r>
              <w:rPr>
                <w:rFonts w:ascii="Calibri" w:hAnsi="Calibri"/>
                <w:color w:val="auto"/>
                <w:sz w:val="22"/>
              </w:rPr>
              <w:t>Artículo 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9581BF4" w14:textId="77777777" w:rsidR="00057622" w:rsidRDefault="00E51CB7" w:rsidP="00DA7639">
            <w:pPr>
              <w:spacing w:line="240" w:lineRule="auto"/>
              <w:rPr>
                <w:rFonts w:ascii="Calibri" w:eastAsia="Times New Roman" w:hAnsi="Calibri" w:cs="Times New Roman"/>
                <w:color w:val="auto"/>
                <w:sz w:val="22"/>
                <w:szCs w:val="22"/>
              </w:rPr>
            </w:pPr>
            <w:r>
              <w:rPr>
                <w:rFonts w:ascii="Calibri" w:hAnsi="Calibri"/>
                <w:color w:val="auto"/>
                <w:sz w:val="22"/>
              </w:rPr>
              <w:t>Artículo 13, apartado 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54352C97" w14:textId="77777777" w:rsidR="00057622" w:rsidRPr="00364E3A" w:rsidRDefault="00057622" w:rsidP="00DA7639">
            <w:pPr>
              <w:spacing w:line="240" w:lineRule="auto"/>
              <w:rPr>
                <w:rFonts w:ascii="Calibri" w:eastAsia="Times New Roman" w:hAnsi="Calibri" w:cs="Times New Roman"/>
                <w:color w:val="auto"/>
                <w:sz w:val="22"/>
                <w:szCs w:val="22"/>
              </w:rPr>
            </w:pPr>
          </w:p>
        </w:tc>
      </w:tr>
      <w:tr w:rsidR="00E51CB7" w:rsidRPr="005B7AD2" w14:paraId="1F49149D" w14:textId="77777777" w:rsidTr="009262F7">
        <w:tc>
          <w:tcPr>
            <w:tcW w:w="1975" w:type="dxa"/>
          </w:tcPr>
          <w:p w14:paraId="71845840" w14:textId="77777777" w:rsidR="00E51CB7" w:rsidRDefault="00E51CB7" w:rsidP="00DA7639">
            <w:pPr>
              <w:spacing w:line="240" w:lineRule="auto"/>
              <w:rPr>
                <w:rFonts w:ascii="Calibri" w:eastAsia="Times New Roman" w:hAnsi="Calibri" w:cs="Times New Roman"/>
                <w:color w:val="auto"/>
                <w:sz w:val="22"/>
                <w:szCs w:val="22"/>
              </w:rPr>
            </w:pPr>
            <w:r>
              <w:rPr>
                <w:rFonts w:ascii="Calibri" w:hAnsi="Calibri"/>
                <w:color w:val="auto"/>
                <w:sz w:val="22"/>
              </w:rPr>
              <w:t>Artículo 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AB805A6" w14:textId="6AD36ECA" w:rsidR="00E51CB7" w:rsidRDefault="00CE4894"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Sistema de la Ley de los buques (SW): artículos 18 a 22 SW, artículo </w:t>
            </w:r>
            <w:r>
              <w:rPr>
                <w:rFonts w:ascii="Calibri" w:hAnsi="Calibri"/>
                <w:color w:val="auto"/>
                <w:sz w:val="22"/>
              </w:rPr>
              <w:t>13, apartado 4, de la Rvz</w:t>
            </w:r>
          </w:p>
          <w:p w14:paraId="10BD8C0C" w14:textId="77777777" w:rsidR="00577D42" w:rsidRDefault="00577D42" w:rsidP="00DA7639">
            <w:pPr>
              <w:spacing w:line="240" w:lineRule="auto"/>
              <w:rPr>
                <w:rFonts w:ascii="Calibri" w:eastAsia="Times New Roman" w:hAnsi="Calibri" w:cs="Times New Roman"/>
                <w:color w:val="auto"/>
                <w:sz w:val="22"/>
                <w:szCs w:val="22"/>
              </w:rPr>
            </w:pPr>
            <w:r>
              <w:rPr>
                <w:rFonts w:ascii="Calibri" w:hAnsi="Calibri"/>
                <w:color w:val="auto"/>
                <w:sz w:val="22"/>
              </w:rPr>
              <w:t>Artículos 26, 26</w:t>
            </w:r>
            <w:r>
              <w:rPr>
                <w:rFonts w:ascii="Calibri" w:hAnsi="Calibri"/>
                <w:color w:val="auto"/>
                <w:sz w:val="22"/>
                <w:i w:val="1"/>
              </w:rPr>
              <w:t xml:space="preserve"> bis</w:t>
            </w:r>
            <w:r>
              <w:rPr>
                <w:rFonts w:ascii="Calibri" w:hAnsi="Calibri"/>
                <w:color w:val="auto"/>
                <w:sz w:val="22"/>
              </w:rPr>
              <w:t xml:space="preserve"> y 27 de la Ley del control de los buques por el Estado del puerto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52B25A8F" w14:textId="77777777" w:rsidR="00E51CB7" w:rsidRPr="00364E3A" w:rsidRDefault="00E51CB7" w:rsidP="00DA7639">
            <w:pPr>
              <w:spacing w:line="240" w:lineRule="auto"/>
              <w:rPr>
                <w:rFonts w:ascii="Calibri" w:eastAsia="Times New Roman" w:hAnsi="Calibri" w:cs="Times New Roman"/>
                <w:color w:val="auto"/>
                <w:sz w:val="22"/>
                <w:szCs w:val="22"/>
              </w:rPr>
            </w:pPr>
          </w:p>
        </w:tc>
      </w:tr>
      <w:tr w:rsidR="00C761D2" w:rsidRPr="005B7AD2" w14:paraId="5A95B0B6" w14:textId="77777777" w:rsidTr="009262F7">
        <w:tc>
          <w:tcPr>
            <w:tcW w:w="1975" w:type="dxa"/>
          </w:tcPr>
          <w:p w14:paraId="51A89DC1" w14:textId="77777777" w:rsidR="00C761D2" w:rsidRDefault="00C761D2" w:rsidP="00DA7639">
            <w:pPr>
              <w:spacing w:line="240" w:lineRule="auto"/>
              <w:rPr>
                <w:rFonts w:ascii="Calibri" w:eastAsia="Times New Roman" w:hAnsi="Calibri" w:cs="Times New Roman"/>
                <w:color w:val="auto"/>
                <w:sz w:val="22"/>
                <w:szCs w:val="22"/>
              </w:rPr>
            </w:pPr>
            <w:r>
              <w:rPr>
                <w:rFonts w:ascii="Calibri" w:hAnsi="Calibri"/>
                <w:color w:val="auto"/>
                <w:sz w:val="22"/>
              </w:rPr>
              <w:t>Artículo 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CB8E355" w14:textId="77777777" w:rsidR="00C761D2" w:rsidRPr="000B46B7" w:rsidRDefault="00F212FC" w:rsidP="00DA7639">
            <w:pPr>
              <w:spacing w:line="240" w:lineRule="auto"/>
              <w:rPr>
                <w:rFonts w:ascii="Calibri" w:eastAsia="Times New Roman" w:hAnsi="Calibri" w:cs="Times New Roman"/>
                <w:color w:val="auto"/>
                <w:sz w:val="22"/>
                <w:szCs w:val="22"/>
              </w:rPr>
            </w:pPr>
            <w:r>
              <w:rPr>
                <w:rFonts w:ascii="Calibri" w:hAnsi="Calibri"/>
                <w:color w:val="auto"/>
                <w:sz w:val="22"/>
              </w:rPr>
              <w:t>Artículo 14 de la Ley del control de los buques por el Estado del puerto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6BF61522" w14:textId="77777777" w:rsidR="00C761D2" w:rsidRPr="00364E3A" w:rsidRDefault="00C761D2" w:rsidP="00DA7639">
            <w:pPr>
              <w:spacing w:line="240" w:lineRule="auto"/>
              <w:rPr>
                <w:rFonts w:ascii="Calibri" w:eastAsia="Times New Roman" w:hAnsi="Calibri" w:cs="Times New Roman"/>
                <w:color w:val="auto"/>
                <w:sz w:val="22"/>
                <w:szCs w:val="22"/>
              </w:rPr>
            </w:pPr>
          </w:p>
        </w:tc>
      </w:tr>
      <w:tr w:rsidR="00F212FC" w:rsidRPr="005B7AD2" w14:paraId="1021F84B" w14:textId="77777777" w:rsidTr="009262F7">
        <w:tc>
          <w:tcPr>
            <w:tcW w:w="1975" w:type="dxa"/>
          </w:tcPr>
          <w:p w14:paraId="3BA91D98" w14:textId="77777777" w:rsidR="00F212FC" w:rsidRDefault="00F212FC" w:rsidP="00DA7639">
            <w:pPr>
              <w:spacing w:line="240" w:lineRule="auto"/>
              <w:rPr>
                <w:rFonts w:ascii="Calibri" w:eastAsia="Times New Roman" w:hAnsi="Calibri" w:cs="Times New Roman"/>
                <w:color w:val="auto"/>
                <w:sz w:val="22"/>
                <w:szCs w:val="22"/>
              </w:rPr>
            </w:pPr>
            <w:r>
              <w:rPr>
                <w:rFonts w:ascii="Calibri" w:hAnsi="Calibri"/>
                <w:color w:val="auto"/>
                <w:sz w:val="22"/>
              </w:rPr>
              <w:t>Artículo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61E12423" w14:textId="753FC69C" w:rsidR="00F212FC" w:rsidRPr="00F212FC" w:rsidRDefault="001A5D67" w:rsidP="00DA7639">
            <w:pPr>
              <w:spacing w:line="240" w:lineRule="auto"/>
              <w:rPr>
                <w:rFonts w:ascii="Calibri" w:eastAsia="Times New Roman" w:hAnsi="Calibri" w:cs="Times New Roman"/>
                <w:color w:val="auto"/>
                <w:sz w:val="22"/>
                <w:szCs w:val="22"/>
                <w:highlight w:val="yellow"/>
              </w:rPr>
            </w:pPr>
            <w:r>
              <w:rPr>
                <w:rFonts w:ascii="Calibri" w:hAnsi="Calibri"/>
                <w:color w:val="auto"/>
                <w:sz w:val="22"/>
              </w:rPr>
              <w:t>Artículo 1, letra q), y artículo 11, apartado 1, de la Ley de control de los buques por el Estado rector del puerto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15343D57" w14:textId="77777777" w:rsidR="00F212FC" w:rsidRPr="00364E3A" w:rsidRDefault="00F212FC" w:rsidP="00DA7639">
            <w:pPr>
              <w:spacing w:line="240" w:lineRule="auto"/>
              <w:rPr>
                <w:rFonts w:ascii="Calibri" w:eastAsia="Times New Roman" w:hAnsi="Calibri" w:cs="Times New Roman"/>
                <w:color w:val="auto"/>
                <w:sz w:val="22"/>
                <w:szCs w:val="22"/>
              </w:rPr>
            </w:pPr>
          </w:p>
        </w:tc>
      </w:tr>
      <w:tr w:rsidR="00AD06B7" w:rsidRPr="00AD06B7" w14:paraId="257F5D03" w14:textId="77777777" w:rsidTr="009262F7">
        <w:tc>
          <w:tcPr>
            <w:tcW w:w="1975" w:type="dxa"/>
          </w:tcPr>
          <w:p w14:paraId="023F05E1" w14:textId="77777777" w:rsidR="00AD06B7" w:rsidRDefault="00AD06B7" w:rsidP="00DA7639">
            <w:pPr>
              <w:spacing w:line="240" w:lineRule="auto"/>
              <w:rPr>
                <w:rFonts w:ascii="Calibri" w:eastAsia="Times New Roman" w:hAnsi="Calibri" w:cs="Times New Roman"/>
                <w:color w:val="auto"/>
                <w:sz w:val="22"/>
                <w:szCs w:val="22"/>
              </w:rPr>
            </w:pPr>
            <w:r>
              <w:rPr>
                <w:rFonts w:ascii="Calibri" w:hAnsi="Calibri"/>
                <w:color w:val="auto"/>
                <w:sz w:val="22"/>
              </w:rPr>
              <w:t>Artículo 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6D137CB" w14:textId="77777777" w:rsidR="00AD06B7" w:rsidRDefault="002F7F9E"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Sistema de la Ley de los buques (SW): artículos 56 a 58 y artículos </w:t>
            </w:r>
            <w:r>
              <w:rPr>
                <w:rFonts w:ascii="Calibri" w:hAnsi="Calibri"/>
                <w:color w:val="auto"/>
                <w:sz w:val="22"/>
              </w:rPr>
              <w:t>69</w:t>
            </w:r>
            <w:r>
              <w:rPr>
                <w:rFonts w:ascii="Calibri" w:hAnsi="Calibri"/>
                <w:color w:val="auto"/>
                <w:sz w:val="22"/>
                <w:i w:val="1"/>
              </w:rPr>
              <w:t>bis</w:t>
            </w:r>
            <w:r>
              <w:rPr>
                <w:rFonts w:ascii="Calibri" w:hAnsi="Calibri"/>
                <w:color w:val="auto"/>
                <w:sz w:val="22"/>
              </w:rPr>
              <w:t xml:space="preserve">, 61 y 65 del Decreto relativo a los buques de 2004, y artículo </w:t>
            </w:r>
            <w:r>
              <w:rPr>
                <w:rFonts w:ascii="Calibri" w:hAnsi="Calibri"/>
                <w:color w:val="auto"/>
                <w:sz w:val="22"/>
              </w:rPr>
              <w:t>13 de la Rvz</w:t>
            </w:r>
          </w:p>
          <w:p w14:paraId="63564348" w14:textId="77777777" w:rsidR="00577D42" w:rsidRPr="00A656E3" w:rsidRDefault="00577D42" w:rsidP="00DA7639">
            <w:pPr>
              <w:spacing w:line="240" w:lineRule="auto"/>
              <w:rPr>
                <w:rFonts w:ascii="Calibri" w:eastAsia="Times New Roman" w:hAnsi="Calibri" w:cs="Times New Roman"/>
                <w:color w:val="auto"/>
                <w:sz w:val="22"/>
                <w:szCs w:val="22"/>
              </w:rPr>
            </w:pPr>
            <w:r>
              <w:rPr>
                <w:rFonts w:ascii="Calibri" w:hAnsi="Calibri"/>
                <w:color w:val="auto"/>
                <w:sz w:val="22"/>
              </w:rPr>
              <w:t>Artículo 33 Ley del control de los buques por el Estado rector del puerto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7F601E82" w14:textId="77777777" w:rsidR="00AD06B7" w:rsidRPr="00A656E3" w:rsidRDefault="00AD06B7" w:rsidP="00DA7639">
            <w:pPr>
              <w:spacing w:line="240" w:lineRule="auto"/>
              <w:rPr>
                <w:rFonts w:ascii="Calibri" w:eastAsia="Times New Roman" w:hAnsi="Calibri" w:cs="Times New Roman"/>
                <w:color w:val="auto"/>
                <w:sz w:val="22"/>
                <w:szCs w:val="22"/>
              </w:rPr>
            </w:pPr>
          </w:p>
        </w:tc>
      </w:tr>
      <w:tr w:rsidR="00076C90" w:rsidRPr="00AD06B7" w14:paraId="2B3478BC" w14:textId="77777777" w:rsidTr="009262F7">
        <w:tc>
          <w:tcPr>
            <w:tcW w:w="1975" w:type="dxa"/>
          </w:tcPr>
          <w:p w14:paraId="221FF244" w14:textId="77777777" w:rsidR="00076C90" w:rsidRPr="00A656E3" w:rsidRDefault="00076C90" w:rsidP="00DA7639">
            <w:pPr>
              <w:spacing w:line="240" w:lineRule="auto"/>
              <w:rPr>
                <w:rFonts w:ascii="Calibri" w:eastAsia="Times New Roman" w:hAnsi="Calibri" w:cs="Times New Roman"/>
                <w:color w:val="auto"/>
                <w:sz w:val="22"/>
                <w:szCs w:val="22"/>
              </w:rPr>
            </w:pPr>
            <w:r>
              <w:rPr>
                <w:rFonts w:ascii="Calibri" w:hAnsi="Calibri"/>
                <w:color w:val="auto"/>
                <w:sz w:val="22"/>
              </w:rPr>
              <w:t>Artículo 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3E9DDAB1" w14:textId="77777777" w:rsidR="00076C90" w:rsidRPr="00A656E3" w:rsidRDefault="002320D2"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48DB96C9" w14:textId="77777777" w:rsidR="00076C90" w:rsidRPr="00A656E3" w:rsidRDefault="002320D2"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2320D2" w14:paraId="1130E489" w14:textId="77777777" w:rsidTr="009262F7">
        <w:tc>
          <w:tcPr>
            <w:tcW w:w="1975" w:type="dxa"/>
          </w:tcPr>
          <w:p w14:paraId="1708845D" w14:textId="77777777" w:rsidR="00076C90" w:rsidRPr="00A656E3" w:rsidRDefault="00076C90" w:rsidP="00DA7639">
            <w:pPr>
              <w:spacing w:line="240" w:lineRule="auto"/>
              <w:rPr>
                <w:rFonts w:ascii="Calibri" w:eastAsia="Times New Roman" w:hAnsi="Calibri" w:cs="Times New Roman"/>
                <w:color w:val="auto"/>
                <w:sz w:val="22"/>
                <w:szCs w:val="22"/>
              </w:rPr>
            </w:pPr>
            <w:r>
              <w:rPr>
                <w:rFonts w:ascii="Calibri" w:hAnsi="Calibri"/>
                <w:color w:val="auto"/>
                <w:sz w:val="22"/>
              </w:rPr>
              <w:t>Artículo 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3CCAA2E0" w14:textId="77777777" w:rsidR="00076C90" w:rsidRPr="00AD06B7" w:rsidRDefault="002320D2" w:rsidP="00DA7639">
            <w:pPr>
              <w:spacing w:line="240" w:lineRule="auto"/>
              <w:rPr>
                <w:rFonts w:ascii="Calibri" w:eastAsia="Times New Roman" w:hAnsi="Calibri" w:cs="Times New Roman"/>
                <w:color w:val="auto"/>
                <w:sz w:val="22"/>
                <w:szCs w:val="22"/>
                <w:lang/>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44D742F7" w14:textId="77777777" w:rsidR="00076C90" w:rsidRPr="002320D2" w:rsidRDefault="002320D2"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 se refiere al ejercicio de la delegación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C94798" w14:paraId="35E195BB" w14:textId="77777777" w:rsidTr="009262F7">
        <w:tc>
          <w:tcPr>
            <w:tcW w:w="1975" w:type="dxa"/>
          </w:tcPr>
          <w:p w14:paraId="1BBC1757" w14:textId="77777777" w:rsidR="00076C90" w:rsidRPr="00AD06B7" w:rsidRDefault="00076C90" w:rsidP="00DA7639">
            <w:pPr>
              <w:spacing w:line="240" w:lineRule="auto"/>
              <w:rPr>
                <w:rFonts w:ascii="Calibri" w:eastAsia="Times New Roman" w:hAnsi="Calibri" w:cs="Times New Roman"/>
                <w:color w:val="auto"/>
                <w:sz w:val="22"/>
                <w:szCs w:val="22"/>
                <w:lang/>
              </w:rPr>
            </w:pPr>
            <w:r>
              <w:rPr>
                <w:rFonts w:ascii="Calibri" w:hAnsi="Calibri"/>
                <w:color w:val="auto"/>
                <w:sz w:val="22"/>
              </w:rPr>
              <w:t>Artículo 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19D82798" w14:textId="77777777"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 xml:space="preserve">El artículo 1 en relación con el artículo 11 de la Ley del control de los buques por el Estado rector del puerto y los artículos 1, 4, 11 </w:t>
            </w:r>
            <w:r>
              <w:rPr>
                <w:rFonts w:ascii="Calibri" w:hAnsi="Calibri"/>
                <w:color w:val="auto"/>
                <w:sz w:val="22"/>
                <w:i w:val="1"/>
              </w:rPr>
              <w:t>bis</w:t>
            </w:r>
            <w:r>
              <w:rPr>
                <w:rFonts w:ascii="Calibri" w:hAnsi="Calibri"/>
                <w:color w:val="auto"/>
                <w:sz w:val="22"/>
              </w:rPr>
              <w:t xml:space="preserve"> y artículo </w:t>
            </w:r>
            <w:r>
              <w:rPr>
                <w:rFonts w:ascii="Calibri" w:hAnsi="Calibri"/>
                <w:color w:val="auto"/>
                <w:sz w:val="22"/>
              </w:rPr>
              <w:t>22 de la Orden de control de buques por el Estado rector del puerto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1473B489" w14:textId="77777777"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Implementación independiente en la Orden de control de buques por el Estado rector del puerto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AD06B7" w14:paraId="0A2ED246" w14:textId="77777777" w:rsidTr="009262F7">
        <w:tc>
          <w:tcPr>
            <w:tcW w:w="1975" w:type="dxa"/>
          </w:tcPr>
          <w:p w14:paraId="2A39F5FC" w14:textId="77777777" w:rsidR="00076C90" w:rsidRPr="00AD06B7" w:rsidRDefault="00076C90" w:rsidP="00DA7639">
            <w:pPr>
              <w:spacing w:line="240" w:lineRule="auto"/>
              <w:rPr>
                <w:rFonts w:ascii="Calibri" w:eastAsia="Times New Roman" w:hAnsi="Calibri" w:cs="Times New Roman"/>
                <w:color w:val="auto"/>
                <w:sz w:val="22"/>
                <w:szCs w:val="22"/>
                <w:lang/>
              </w:rPr>
            </w:pPr>
            <w:r>
              <w:rPr>
                <w:rFonts w:ascii="Calibri" w:hAnsi="Calibri"/>
                <w:color w:val="auto"/>
                <w:sz w:val="22"/>
              </w:rPr>
              <w:t>Artículo 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0C9E903A" w14:textId="77777777" w:rsidR="00076C90" w:rsidRPr="00AD06B7" w:rsidRDefault="00C94798" w:rsidP="00DA7639">
            <w:pPr>
              <w:spacing w:line="240" w:lineRule="auto"/>
              <w:rPr>
                <w:rFonts w:ascii="Calibri" w:eastAsia="Times New Roman" w:hAnsi="Calibri" w:cs="Times New Roman"/>
                <w:color w:val="auto"/>
                <w:sz w:val="22"/>
                <w:szCs w:val="22"/>
                <w:lang/>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3A0FC614" w14:textId="77777777" w:rsidR="00076C90" w:rsidRPr="00AC0B04" w:rsidRDefault="00AC0B04" w:rsidP="00DA7639">
            <w:pPr>
              <w:spacing w:line="240" w:lineRule="auto"/>
              <w:rPr>
                <w:rFonts w:ascii="Calibri" w:eastAsia="Times New Roman" w:hAnsi="Calibri" w:cs="Times New Roman"/>
                <w:color w:val="auto"/>
                <w:sz w:val="22"/>
                <w:szCs w:val="22"/>
              </w:rPr>
            </w:pPr>
            <w:r>
              <w:rPr>
                <w:rFonts w:ascii="Calibri" w:hAnsi="Calibri"/>
                <w:color w:val="auto"/>
                <w:sz w:val="22"/>
              </w:rPr>
              <w:t>Derogación de la Directiva 1999/35/CE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AD06B7" w14:paraId="171E12B9" w14:textId="77777777" w:rsidTr="009262F7">
        <w:tc>
          <w:tcPr>
            <w:tcW w:w="1975" w:type="dxa"/>
          </w:tcPr>
          <w:p w14:paraId="41457536" w14:textId="77777777" w:rsidR="00076C90" w:rsidRPr="00AC0B04" w:rsidRDefault="00076C90" w:rsidP="00DA7639">
            <w:pPr>
              <w:spacing w:line="240" w:lineRule="auto"/>
              <w:rPr>
                <w:rFonts w:ascii="Calibri" w:eastAsia="Times New Roman" w:hAnsi="Calibri" w:cs="Times New Roman"/>
                <w:color w:val="auto"/>
                <w:sz w:val="22"/>
                <w:szCs w:val="22"/>
              </w:rPr>
            </w:pPr>
            <w:r>
              <w:rPr>
                <w:rFonts w:ascii="Calibri" w:hAnsi="Calibri"/>
                <w:color w:val="auto"/>
                <w:sz w:val="22"/>
              </w:rPr>
              <w:t>Artículo 16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20AE71C9" w14:textId="77777777" w:rsidR="00076C90" w:rsidRPr="00AC0B04"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No requiere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5F4FE557" w14:textId="77777777" w:rsidR="00076C90" w:rsidRPr="00AC0B04"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Dirigido a la Comisión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C94798" w14:paraId="78EF4405" w14:textId="77777777" w:rsidTr="009262F7">
        <w:tc>
          <w:tcPr>
            <w:tcW w:w="1975" w:type="dxa"/>
          </w:tcPr>
          <w:p w14:paraId="77C10E0F" w14:textId="77777777" w:rsidR="00076C90" w:rsidRPr="00AC0B04" w:rsidRDefault="00076C90" w:rsidP="00DA7639">
            <w:pPr>
              <w:spacing w:line="240" w:lineRule="auto"/>
              <w:rPr>
                <w:rFonts w:ascii="Calibri" w:eastAsia="Times New Roman" w:hAnsi="Calibri" w:cs="Times New Roman"/>
                <w:color w:val="auto"/>
                <w:sz w:val="22"/>
                <w:szCs w:val="22"/>
              </w:rPr>
            </w:pPr>
            <w:r>
              <w:rPr>
                <w:rFonts w:ascii="Calibri" w:hAnsi="Calibri"/>
                <w:color w:val="auto"/>
                <w:sz w:val="22"/>
              </w:rPr>
              <w:t>Artículo 17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44540E5" w14:textId="77777777"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2FD77D50" w14:textId="3AAC674B"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Se refiere a plazos de implementación y entrada en vigor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C94798" w14:paraId="11921A7A" w14:textId="77777777" w:rsidTr="009262F7">
        <w:tc>
          <w:tcPr>
            <w:tcW w:w="1975" w:type="dxa"/>
          </w:tcPr>
          <w:p w14:paraId="0E116B7B" w14:textId="77777777" w:rsidR="00076C90" w:rsidRPr="00AD06B7" w:rsidRDefault="00076C90" w:rsidP="00DA7639">
            <w:pPr>
              <w:spacing w:line="240" w:lineRule="auto"/>
              <w:rPr>
                <w:rFonts w:ascii="Calibri" w:eastAsia="Times New Roman" w:hAnsi="Calibri" w:cs="Times New Roman"/>
                <w:color w:val="auto"/>
                <w:sz w:val="22"/>
                <w:szCs w:val="22"/>
                <w:lang/>
              </w:rPr>
            </w:pPr>
            <w:r>
              <w:rPr>
                <w:rFonts w:ascii="Calibri" w:hAnsi="Calibri"/>
                <w:color w:val="auto"/>
                <w:sz w:val="22"/>
              </w:rPr>
              <w:t>Artículo 18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4D55044E" w14:textId="77777777"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51930E22" w14:textId="77777777" w:rsidR="00076C90" w:rsidRPr="00C94798"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Se refiere a disposición de entrada en vigor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C90" w:rsidRPr="00873FA2" w14:paraId="41C5FBBD" w14:textId="77777777" w:rsidTr="009262F7">
        <w:tc>
          <w:tcPr>
            <w:tcW w:w="1975" w:type="dxa"/>
          </w:tcPr>
          <w:p w14:paraId="2D0E71EB" w14:textId="77777777" w:rsidR="00076C90" w:rsidRPr="00AD06B7" w:rsidRDefault="00076C90" w:rsidP="00DA7639">
            <w:pPr>
              <w:spacing w:line="240" w:lineRule="auto"/>
              <w:rPr>
                <w:rFonts w:ascii="Calibri" w:eastAsia="Times New Roman" w:hAnsi="Calibri" w:cs="Times New Roman"/>
                <w:color w:val="auto"/>
                <w:sz w:val="22"/>
                <w:szCs w:val="22"/>
                <w:lang/>
              </w:rPr>
            </w:pPr>
            <w:r>
              <w:rPr>
                <w:rFonts w:ascii="Calibri" w:hAnsi="Calibri"/>
                <w:color w:val="auto"/>
                <w:sz w:val="22"/>
              </w:rPr>
              <w:t>Artículo 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18" w:type="dxa"/>
          </w:tcPr>
          <w:p w14:paraId="1E3515AC" w14:textId="77777777" w:rsidR="00076C90" w:rsidRPr="00873FA2" w:rsidRDefault="00C94798" w:rsidP="00DA7639">
            <w:pPr>
              <w:spacing w:line="240" w:lineRule="auto"/>
              <w:rPr>
                <w:rFonts w:ascii="Calibri" w:eastAsia="Times New Roman" w:hAnsi="Calibri" w:cs="Times New Roman"/>
                <w:color w:val="auto"/>
                <w:sz w:val="22"/>
                <w:szCs w:val="22"/>
              </w:rPr>
            </w:pPr>
            <w:r>
              <w:rPr>
                <w:rFonts w:ascii="Calibri" w:hAnsi="Calibri"/>
                <w:color w:val="auto"/>
                <w:sz w:val="22"/>
              </w:rPr>
              <w:t>Por su naturaleza no necesita implementación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820" w:type="dxa"/>
          </w:tcPr>
          <w:p w14:paraId="758D1E07" w14:textId="77777777" w:rsidR="00076C90" w:rsidRPr="00873FA2" w:rsidRDefault="00873FA2" w:rsidP="00DA7639">
            <w:pPr>
              <w:spacing w:line="240" w:lineRule="auto"/>
              <w:rPr>
                <w:rFonts w:ascii="Calibri" w:eastAsia="Times New Roman" w:hAnsi="Calibri" w:cs="Times New Roman"/>
                <w:color w:val="auto"/>
                <w:sz w:val="22"/>
                <w:szCs w:val="22"/>
              </w:rPr>
            </w:pPr>
            <w:r>
              <w:rPr>
                <w:rFonts w:ascii="Calibri" w:hAnsi="Calibri"/>
                <w:color w:val="auto"/>
                <w:sz w:val="22"/>
              </w:rPr>
              <w:t>Se refiere a los destinatarios de la Directiva</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3574B9D" w14:textId="77777777" w:rsidR="00537AD1" w:rsidRPr="00873FA2" w:rsidRDefault="00537AD1"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6FCAA97" w14:textId="77777777" w:rsidR="00537AD1" w:rsidRPr="00873FA2" w:rsidRDefault="00537AD1" w:rsidP="00DA7639">
      <w:pPr>
        <w:rPr>
          <w:b/>
        </w:rPr>
      </w:pPr>
    </w:p>
    <w:p w14:paraId="7603D6FF" w14:textId="77777777" w:rsidR="00AC0B04" w:rsidRDefault="00AC0B04" w:rsidP="00DA7639">
      <w:r>
        <w:t>LA MINISTRA DE INFRAESTRUCTURAS Y GESTIÓN DEL AGUA,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C5BFB36"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FC102C9"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A94AD63"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4CC9D08"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8B13598"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161BB18" w14:textId="77777777" w:rsidR="00AC0B04" w:rsidRDefault="00AC0B04" w:rsidP="00DA7639">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36E5E" w14:textId="77777777" w:rsidR="00AC0B04" w:rsidRDefault="00AC0B04" w:rsidP="00DA7639">
      <w:pPr/>
    </w:p>
    <w:p w14:paraId="04BE0683" w14:textId="77777777" w:rsidR="00AC0B04" w:rsidRDefault="00AC0B04" w:rsidP="00DA7639">
      <w:r>
        <w:t>C. van Nieuwenhuizen Wijbenga</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C0B04" w:rsidSect="00DA7639">
      <w:headerReference w:type="default" r:id="rId17"/>
      <w:type w:val="continuous"/>
      <w:pgSz w:w="11905" w:h="16837"/>
      <w:pgMar w:top="3188" w:right="2805" w:bottom="1418" w:left="1603" w:header="708" w:footer="1030" w:gutter="0"/>
      <w:cols w:space="708"/>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7C5926B5" w14:textId="77777777" w:rsidR="00C36171" w:rsidRDefault="00C36171">
      <w:pPr>
        <w:spacing w:line="240" w:lineRule="auto"/>
      </w:pPr>
      <w:r>
        <w:separator/>
      </w:r>
    </w:p>
  </w:endnote>
  <w:endnote xmlns:w15="http://schemas.microsoft.com/office/word/2012/wordml" w:type="continuationSeparator" w:id="0">
    <w:p w14:paraId="3A0CC618" w14:textId="77777777" w:rsidR="00C36171" w:rsidRDefault="00C36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2E30" w14:textId="77777777" w:rsidR="00266EE4" w:rsidRDefault="00266EE4">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666152"/>
      <w:docPartObj>
        <w:docPartGallery w:val="Page Numbers (Bottom of Page)"/>
        <w:docPartUnique/>
      </w:docPartObj>
    </w:sdtPr>
    <w:sdtEndPr/>
    <w:sdtContent>
      <w:p w14:paraId="7EE50015" w14:textId="25A02FA5" w:rsidR="00DA7639" w:rsidRDefault="00DA7639">
        <w:pPr>
          <w:pStyle w:val="Footer"/>
          <w:jc w:val="center"/>
        </w:pPr>
        <w:r>
          <w:fldChar w:fldCharType="begin"/>
        </w:r>
        <w:r>
          <w:instrText>PAGE    \* MERGEFORMAT</w:instrText>
        </w:r>
        <w:r>
          <w:fldChar w:fldCharType="separate"/>
        </w:r>
        <w:r w:rsidR="00EF6AB5">
          <w:rPr>
            <w:noProof/>
          </w:rPr>
          <w:t>22</w:t>
        </w:r>
        <w:r>
          <w:fldChar w:fldCharType="end"/>
        </w:r>
      </w:p>
    </w:sdtContent>
  </w:sdt>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0639" w14:textId="77777777" w:rsidR="00266EE4" w:rsidRDefault="00266EE4">
    <w:pPr>
      <w:pStyle w:val="Foote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797256BE" w14:textId="77777777" w:rsidR="00C36171" w:rsidRDefault="00C36171">
      <w:pPr>
        <w:spacing w:line="240" w:lineRule="auto"/>
      </w:pPr>
      <w:r>
        <w:separator/>
      </w:r>
    </w:p>
  </w:footnote>
  <w:footnote xmlns:w15="http://schemas.microsoft.com/office/word/2012/wordml" w:type="continuationSeparator" w:id="0">
    <w:p w14:paraId="0BAB6880" w14:textId="77777777" w:rsidR="00C36171" w:rsidRDefault="00C36171">
      <w:pPr>
        <w:spacing w:line="240" w:lineRule="auto"/>
      </w:pPr>
      <w:r>
        <w:continuationSeparator/>
      </w:r>
    </w:p>
  </w:footnote>
  <w:footnote xmlns:w="http://schemas.openxmlformats.org/wordprocessingml/2006/main" w:id="1">
    <w:p w14:paraId="0963E36C" w14:textId="620BE848" w:rsidR="00DA7639" w:rsidRPr="00E919ED" w:rsidRDefault="00DA7639" w:rsidP="00E43FB2">
      <w:pPr>
        <w:pStyle w:val="FootnoteText"/>
        <w:rPr>
          <w:sz w:val="16"/>
          <w:szCs w:val="16"/>
        </w:rPr>
      </w:pPr>
      <w:r>
        <w:rPr>
          <w:rStyle w:val="FootnoteReference"/>
        </w:rPr>
        <w:footnoteRef/>
      </w:r>
      <w:r>
        <w:t xml:space="preserve"> </w:t>
      </w:r>
      <w:r>
        <w:rPr>
          <w:sz w:val="16"/>
        </w:rPr>
        <w:t>Directiva (UE) 2017/2108 del Parlamento Europeo y del Consejo, de 15 de noviembre de 2017, por la que se modifica la Directiva 2009/45/CE sobre las reglas y normas de seguridad aplicables a los buques de pasaje (DO L 315 de 2017).</w:t>
      </w:r>
    </w:p>
  </w:footnote>
  <w:footnote xmlns:w="http://schemas.openxmlformats.org/wordprocessingml/2006/main" w:id="2">
    <w:p w14:paraId="390B4EBB" w14:textId="2D28E4F7" w:rsidR="00DA7639" w:rsidRDefault="00DA7639">
      <w:pPr>
        <w:pStyle w:val="FootnoteText"/>
      </w:pPr>
      <w:r>
        <w:rPr>
          <w:rStyle w:val="FootnoteReference"/>
        </w:rPr>
        <w:footnoteRef/>
      </w:r>
      <w:r>
        <w:t xml:space="preserve"> </w:t>
      </w:r>
      <w:r>
        <w:rPr>
          <w:sz w:val="16"/>
        </w:rPr>
        <w:t>Directiva (UE) 2017/2110 del Parlamento Europeo y del Consejo, de 15 de noviembre de 2017, sobre un sistema de inspecciones para garantizar la seguridad en la explotación de buques de pasaje de transbordo rodado y naves de pasaje de gran velocidad en servicio regular y por la que se modifica la Directiva 2009/16/CE y se deroga la Directiva 1999/35/CE del Consejo (DO L 315 de 2017).</w:t>
      </w:r>
    </w:p>
  </w:footnote>
  <w:footnote xmlns:w="http://schemas.openxmlformats.org/wordprocessingml/2006/main" w:id="3">
    <w:p w14:paraId="16A127C1" w14:textId="14E4A00A" w:rsidR="00DA7639" w:rsidRPr="00993486" w:rsidRDefault="00DA7639" w:rsidP="00993486">
      <w:pPr>
        <w:pStyle w:val="FootnoteText"/>
        <w:rPr>
          <w:sz w:val="16"/>
          <w:szCs w:val="16"/>
        </w:rPr>
      </w:pPr>
      <w:r>
        <w:rPr>
          <w:rStyle w:val="FootnoteReference"/>
        </w:rPr>
        <w:footnoteRef/>
      </w:r>
      <w:r>
        <w:t xml:space="preserve"> </w:t>
      </w:r>
      <w:r>
        <w:rPr>
          <w:sz w:val="16"/>
        </w:rPr>
        <w:t>Directiva 2009/45/CE del Parlamento Europeo y del Consejo, de 6 de mayo de 2009, sobre las reglas y normas de seguridad aplicables a los buques de pasaje (versión refundida) (DO L 163 de 2009).</w:t>
      </w:r>
    </w:p>
  </w:footnote>
  <w:footnote xmlns:w="http://schemas.openxmlformats.org/wordprocessingml/2006/main" w:id="4">
    <w:p w14:paraId="3F7ED5E7" w14:textId="77777777" w:rsidR="00DA7639" w:rsidRPr="00E34D62" w:rsidRDefault="00DA7639">
      <w:pPr>
        <w:pStyle w:val="FootnoteText"/>
        <w:rPr>
          <w:sz w:val="16"/>
          <w:szCs w:val="16"/>
        </w:rPr>
      </w:pPr>
      <w:r>
        <w:rPr>
          <w:rStyle w:val="FootnoteReference"/>
        </w:rPr>
        <w:footnoteRef/>
      </w:r>
      <w:r>
        <w:t xml:space="preserve"> </w:t>
      </w:r>
      <w:r>
        <w:rPr>
          <w:sz w:val="16"/>
        </w:rPr>
        <w:t>Directiva 1999/35/CE del Consejo, de 29 de abril de 1999, sobre un régimen de reconocimientos obligatorio para garantizar la seguridad en la explotación de servicios regulares de transbordadores de carga rodada y naves de pasaje de gran velocidad (DO L 138 de 1999).</w:t>
      </w:r>
    </w:p>
  </w:footnote>
  <w:footnote xmlns:w="http://schemas.openxmlformats.org/wordprocessingml/2006/main" w:id="5">
    <w:p w14:paraId="076F3A88" w14:textId="1E0DF818" w:rsidR="00DA7639" w:rsidRDefault="00DA7639" w:rsidP="00521186">
      <w:pPr>
        <w:pStyle w:val="FootnoteText"/>
      </w:pPr>
      <w:r>
        <w:rPr>
          <w:rStyle w:val="FootnoteReference"/>
        </w:rPr>
        <w:footnoteRef/>
      </w:r>
      <w:r>
        <w:t xml:space="preserve"> </w:t>
      </w:r>
      <w:r>
        <w:rPr>
          <w:sz w:val="16"/>
        </w:rPr>
        <w:t>Directiva 2009/16/CE del Parlamento Europeo y del Consejo, de 23 de abril de 2009, sobre el control de los buques por el Estado rector del puerto (DO L 131 de 2009).</w:t>
      </w:r>
    </w:p>
  </w:footnote>
  <w:footnote xmlns:w="http://schemas.openxmlformats.org/wordprocessingml/2006/main" w:id="6">
    <w:p w14:paraId="507B8C4A" w14:textId="5D5C6F51" w:rsidR="00DA7639" w:rsidRPr="00C22D7F" w:rsidRDefault="00DA7639">
      <w:pPr>
        <w:pStyle w:val="FootnoteText"/>
        <w:rPr>
          <w:sz w:val="16"/>
          <w:szCs w:val="16"/>
        </w:rPr>
      </w:pPr>
      <w:r>
        <w:rPr>
          <w:rStyle w:val="FootnoteReference"/>
        </w:rPr>
        <w:footnoteRef/>
      </w:r>
      <w:r>
        <w:t xml:space="preserve"> </w:t>
      </w:r>
      <w:r>
        <w:rPr>
          <w:sz w:val="16"/>
        </w:rPr>
        <w:t>Reglamento de Ejecución (UE) n.º 2018/773 de la Comisión, de 15 de mayo de 2018, relativo a los requisitos de diseño, construcción y rendimiento y a las normas de ensayo para equipos marinos y por el que se deroga el Reglamento de Ejecución (UE) n.º 2017/306 (DO L 133 de 2018).</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395EB" w14:textId="77777777" w:rsidR="00266EE4" w:rsidRDefault="00266EE4">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ECF86" w14:textId="2E51ACB1" w:rsidR="00DA7639" w:rsidRDefault="00266EE4">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62848" behindDoc="0" locked="1" layoutInCell="1" allowOverlap="1" wp14:anchorId="0E5AC703" wp14:editId="57088B8B">
              <wp:simplePos x="0" y="0"/>
              <wp:positionH relativeFrom="page">
                <wp:posOffset>4104005</wp:posOffset>
              </wp:positionH>
              <wp:positionV relativeFrom="page">
                <wp:posOffset>887095</wp:posOffset>
              </wp:positionV>
              <wp:extent cx="1819275" cy="381000"/>
              <wp:effectExtent l="0" t="0" r="9525" b="0"/>
              <wp:wrapNone/>
              <wp:docPr id="1" name="Merking tweede pagin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1819275" cy="381000"/>
                      </a:xfrm>
                      <a:prstGeom prst="rect">
                        <a:avLst/>
                      </a:prstGeom>
                      <a:solidFill>
                        <a:schemeClr val="bg1"/>
                      </a:solidFill>
                    </wps:spPr>
                    <wps:txbx>
                      <w:txbxContent>
                        <w:p xmlns:w14="http://schemas.microsoft.com/office/word/2010/wordml" w14:paraId="17262B23" w14:textId="77777777" w:rsidR="00266EE4" w:rsidRDefault="00266EE4" w:rsidP="00266EE4">
                          <w:r>
                            <w:t>Ministerio de Infraestructuras y Gestión del Agua</w:t>
                          </w:r>
                        </w:p>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0E5AC703" id="_x0000_t202" coordsize="21600,21600" o:spt="202" path="m,l,21600r21600,l21600,xe">
              <v:stroke joinstyle="miter"/>
              <v:path gradientshapeok="t" o:connecttype="rect"/>
            </v:shapetype>
            <v:shape xmlns:o="urn:schemas-microsoft-com:office:office" xmlns:v="urn:schemas-microsoft-com:vml" id="Merking tweede pagina" o:spid="_x0000_s1026" type="#_x0000_t202" style="position:absolute;margin-left:323.15pt;margin-top:69.85pt;width:143.25pt;height:30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" fillcolor="white [3212]" stroked="f">
              <v:path arrowok="t"/>
              <v:textbox inset="0,0,0,0">
                <w:txbxContent>
                  <w:p xmlns:w14="http://schemas.microsoft.com/office/word/2010/wordml" w14:paraId="17262B23" w14:textId="77777777" w:rsidR="00266EE4" w:rsidRDefault="00266EE4" w:rsidP="00266EE4">
                    <w:r>
                      <w:t>Ministerio de Infraestructuras y Gestión del Agua</w:t>
                    </w:r>
                  </w:p>
                </w:txbxContent>
              </v:textbox>
              <w10:wrap xmlns:w10="urn:schemas-microsoft-com:office:word" anchorx="page" anchory="page"/>
              <w10:anchorlock xmlns:w10="urn:schemas-microsoft-com:office:word"/>
            </v:shape>
          </w:pict>
        </mc:Fallback>
      </mc:AlternateContent>
    </w:r>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54656" behindDoc="0" locked="1" layoutInCell="1" allowOverlap="1" wp14:anchorId="03C38FFE" wp14:editId="365040C9">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2339975" cy="1336675"/>
                      </a:xfrm>
                      <a:prstGeom prst="rect">
                        <a:avLst/>
                      </a:prstGeom>
                      <a:noFill/>
                    </wps:spPr>
                    <wps:txbx>
                      <w:txbxContent>
                        <w:p xmlns:w14="http://schemas.microsoft.com/office/word/2010/wordml" w14:paraId="29997DC5" w14:textId="77777777" w:rsidR="00DA7639" w:rsidRDefault="00DA7639">
                          <w:pPr>
                            <w:spacing w:line="240" w:lineRule="auto"/>
                          </w:pPr>
                          <w:r>
                            <w:rPr>
                              <w:noProof/>
                            </w:rPr>
                            <w:drawing>
                              <wp:inline distT="0" distB="0" distL="0" distR="0" wp14:anchorId="475BC5C9" wp14:editId="26BF8A03">
                                <wp:extent cx="2339975" cy="1582834"/>
                                <wp:effectExtent l="0" t="0" r="0" b="0"/>
                                <wp:docPr id="3" name="HBJZ_Ministerie_van_IenM"/>
                                <wp:cNvGraphicFramePr/>
                                <a:graphic>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03C38FFE" id="Woordmerk_IenM" o:spid="_x0000_s1027" type="#_x0000_t202" style="position:absolute;margin-left:316.05pt;margin-top:0;width:184.25pt;height:105.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" filled="f" stroked="f">
              <v:path arrowok="t"/>
              <v:textbox inset="0,0,0,0">
                <w:txbxContent>
                  <w:p w14:paraId="29997DC5" w14:textId="77777777" w:rsidR="00DA7639" w:rsidRDefault="00DA7639">
                    <w:pPr>
                      <w:spacing w:line="240" w:lineRule="auto"/>
                    </w:pPr>
                    <w:r>
                      <w:rPr>
                        <w:noProof/>
                      </w:rPr>
                      <w:drawing>
                        <wp:inline xmlns:wp14="http://schemas.microsoft.com/office/word/2010/wordprocessingDrawing" xmlns:wp="http://schemas.openxmlformats.org/drawingml/2006/wordprocessingDrawing" distT="0" distB="0" distL="0" distR="0" wp14:anchorId="475BC5C9" wp14:editId="26BF8A03">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xmlns:w10="urn:schemas-microsoft-com:office:word" anchorx="page" anchory="page"/>
              <w10:anchorlock xmlns:w10="urn:schemas-microsoft-com:office:word"/>
            </v:shape>
          </w:pict>
        </mc:Fallback>
      </mc:AlternateContent>
    </w:r>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55680" behindDoc="0" locked="1" layoutInCell="1" allowOverlap="1" wp14:anchorId="095D6FF0" wp14:editId="609BFE0A">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1257300" cy="7934325"/>
                      </a:xfrm>
                      <a:prstGeom prst="rect">
                        <a:avLst/>
                      </a:prstGeom>
                      <a:noFill/>
                    </wps:spPr>
                    <wps:txbx>
                      <w:txbxContent>
                        <w:p xmlns:w14="http://schemas.microsoft.com/office/word/2010/wordml" w14:paraId="7FC64234" w14:textId="38FB73A8" w:rsidR="00DA7639" w:rsidRDefault="00DA7639">
                          <w:pPr>
                            <w:pStyle w:val="Verdana65bold"/>
                          </w:pPr>
                          <w:r>
                            <w:t xml:space="preserve">DEPARTAMENTO ADMINISTRATIVO Y DE ASUNTOS JURÍDICOS </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095D6FF0" id="Colofon" o:spid="_x0000_s1028" type="#_x0000_t202" style="position:absolute;margin-left:466.25pt;margin-top:159.55pt;width:99pt;height:624.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" filled="f" stroked="f">
              <v:path arrowok="t"/>
              <v:textbox inset="0,0,0,0">
                <w:txbxContent>
                  <w:p w14:paraId="7FC64234" w14:textId="38FB73A8" w:rsidR="00DA7639" w:rsidRDefault="00DA7639">
                    <w:pPr>
                      <w:pStyle w:val="Verdana65bold"/>
                    </w:pPr>
                    <w:r>
                      <w:t xml:space="preserve">DEPARTAMENTO ADMINISTRATIVO Y DE ASUNTOS JURÍDICOS </w:t>
                    </w:r>
                  </w:p>
                </w:txbxContent>
              </v:textbox>
              <w10:wrap xmlns:w10="urn:schemas-microsoft-com:office:word" anchorx="page" anchory="page"/>
              <w10:anchorlock xmlns:w10="urn:schemas-microsoft-com:office:word"/>
            </v:shape>
          </w:pict>
        </mc:Fallback>
      </mc:AlternateContent>
    </w:r>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57728" behindDoc="0" locked="1" layoutInCell="1" allowOverlap="1" wp14:anchorId="523B7F16" wp14:editId="2912C2E5">
              <wp:simplePos x="0" y="0"/>
              <wp:positionH relativeFrom="page">
                <wp:posOffset>1007745</wp:posOffset>
              </wp:positionH>
              <wp:positionV relativeFrom="page">
                <wp:posOffset>10223500</wp:posOffset>
              </wp:positionV>
              <wp:extent cx="1799590" cy="179705"/>
              <wp:effectExtent l="0" t="0" r="0" b="0"/>
              <wp:wrapNone/>
              <wp:docPr id="6" name="Rubricering eerste pagin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1799590" cy="179705"/>
                      </a:xfrm>
                      <a:prstGeom prst="rect">
                        <a:avLst/>
                      </a:prstGeom>
                      <a:noFill/>
                    </wps:spPr>
                    <wps:txbx>
                      <w:txbxContent>
                        <w:p xmlns:w14="http://schemas.microsoft.com/office/word/2010/wordml" w14:paraId="6D568AF5" w14:textId="77777777" w:rsidR="00DA7639" w:rsidRDefault="00DA7639"/>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523B7F16" id="Rubricering eerste pagina" o:spid="_x0000_s1029" type="#_x0000_t202" style="position:absolute;margin-left:79.35pt;margin-top:805pt;width:141.7pt;height:14.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" filled="f" stroked="f">
              <v:path arrowok="t"/>
              <v:textbox inset="0,0,0,0">
                <w:txbxContent>
                  <w:p w14:paraId="6D568AF5" w14:textId="77777777" w:rsidR="00DA7639" w:rsidRDefault="00DA7639"/>
                </w:txbxContent>
              </v:textbox>
              <w10:wrap xmlns:w10="urn:schemas-microsoft-com:office:word" anchorx="page" anchory="page"/>
              <w10:anchorlock xmlns:w10="urn:schemas-microsoft-com:office:word"/>
            </v:shape>
          </w:pict>
        </mc:Fallback>
      </mc:AlternateConten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3C8E" w14:textId="77777777" w:rsidR="00266EE4" w:rsidRDefault="00266EE4">
    <w:pPr>
      <w:pStyle w:val="Heade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9FF66" w14:textId="5B74A9BA" w:rsidR="00DA7639" w:rsidRDefault="00DA7639">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59776" behindDoc="0" locked="1" layoutInCell="1" allowOverlap="1" wp14:anchorId="14B13D2A" wp14:editId="6E843871">
              <wp:simplePos x="0" y="0"/>
              <wp:positionH relativeFrom="page">
                <wp:posOffset>4013835</wp:posOffset>
              </wp:positionH>
              <wp:positionV relativeFrom="page">
                <wp:posOffset>0</wp:posOffset>
              </wp:positionV>
              <wp:extent cx="2339975" cy="1336675"/>
              <wp:effectExtent l="0" t="0" r="0" b="0"/>
              <wp:wrapNone/>
              <wp:docPr id="8" name="Region 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2339975" cy="1336675"/>
                      </a:xfrm>
                      <a:prstGeom prst="rect">
                        <a:avLst/>
                      </a:prstGeom>
                      <a:noFill/>
                    </wps:spPr>
                    <wps:txbx>
                      <w:txbxContent>
                        <w:p xmlns:w14="http://schemas.microsoft.com/office/word/2010/wordml" w14:paraId="0E4E0D02" w14:textId="77777777" w:rsidR="00DA7639" w:rsidRDefault="00DA7639">
                          <w:pPr>
                            <w:spacing w:line="240" w:lineRule="auto"/>
                          </w:pPr>
                          <w:r>
                            <w:rPr>
                              <w:noProof/>
                            </w:rPr>
                            <w:drawing>
                              <wp:inline distT="0" distB="0" distL="0" distR="0" wp14:anchorId="1D1E4E56" wp14:editId="2EB00A64">
                                <wp:extent cx="2339975" cy="1582834"/>
                                <wp:effectExtent l="0" t="0" r="0" b="0"/>
                                <wp:docPr id="16" name="HBJZ_Ministerie_van_IenM"/>
                                <wp:cNvGraphicFramePr/>
                                <a:graphic>
                                  <a:graphicData uri="http://schemas.openxmlformats.org/drawingml/2006/picture">
                                    <pic:pic xmlns:pic="http://schemas.openxmlformats.org/drawingml/2006/picture">
                                      <pic:nvPicPr>
                                        <pic:cNvPr id="9"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14B13D2A" id="_x0000_t202" coordsize="21600,21600" o:spt="202" path="m,l,21600r21600,l21600,xe">
              <v:stroke joinstyle="miter"/>
              <v:path gradientshapeok="t" o:connecttype="rect"/>
            </v:shapetype>
            <v:shape xmlns:o="urn:schemas-microsoft-com:office:office" xmlns:v="urn:schemas-microsoft-com:vml" id="Region 5" o:spid="_x0000_s1030" type="#_x0000_t202" style="position:absolute;margin-left:316.05pt;margin-top:0;width:184.25pt;height:105.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" filled="f" stroked="f">
              <v:path arrowok="t"/>
              <v:textbox inset="0,0,0,0">
                <w:txbxContent>
                  <w:p xmlns:w14="http://schemas.microsoft.com/office/word/2010/wordml" w14:paraId="0E4E0D02" w14:textId="77777777" w:rsidR="00DA7639" w:rsidRDefault="00DA7639">
                    <w:pPr>
                      <w:spacing w:line="240" w:lineRule="auto"/>
                    </w:pPr>
                    <w:r>
                      <w:rPr>
                        <w:noProof/>
                      </w:rPr>
                      <w:drawing>
                        <wp:inline xmlns:wp14="http://schemas.microsoft.com/office/word/2010/wordprocessingDrawing" xmlns:wp="http://schemas.openxmlformats.org/drawingml/2006/wordprocessingDrawing" distT="0" distB="0" distL="0" distR="0" wp14:anchorId="1D1E4E56" wp14:editId="2EB00A64">
                          <wp:extent cx="2339975" cy="1582834"/>
                          <wp:effectExtent l="0" t="0" r="0" b="0"/>
                          <wp:docPr id="16" name="HBJZ_Ministerie_van_IenM"/>
                          <wp:cNvGraphicFramePr/>
                          <a:graphic xmlns:a="http://schemas.openxmlformats.org/drawingml/2006/main">
                            <a:graphicData uri="http://schemas.openxmlformats.org/drawingml/2006/picture">
                              <pic:pic xmlns:pic="http://schemas.openxmlformats.org/drawingml/2006/picture">
                                <pic:nvPicPr>
                                  <pic:cNvPr id="9"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xmlns:w10="urn:schemas-microsoft-com:office:word" anchorx="page" anchory="page"/>
              <w10:anchorlock xmlns:w10="urn:schemas-microsoft-com:office:word"/>
            </v:shape>
          </w:pict>
        </mc:Fallback>
      </mc:AlternateContent>
    </w:r>
    <w:r>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60800" behindDoc="0" locked="1" layoutInCell="1" allowOverlap="1" wp14:anchorId="61762C21" wp14:editId="08544802">
              <wp:simplePos x="0" y="0"/>
              <wp:positionH relativeFrom="page">
                <wp:posOffset>4095750</wp:posOffset>
              </wp:positionH>
              <wp:positionV relativeFrom="page">
                <wp:posOffset>904875</wp:posOffset>
              </wp:positionV>
              <wp:extent cx="1819275" cy="381000"/>
              <wp:effectExtent l="0" t="0" r="9525" b="0"/>
              <wp:wrapNone/>
              <wp:docPr id="10" name="Merking tweede pagin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1819275" cy="381000"/>
                      </a:xfrm>
                      <a:prstGeom prst="rect">
                        <a:avLst/>
                      </a:prstGeom>
                      <a:solidFill>
                        <a:schemeClr val="bg1"/>
                      </a:solidFill>
                    </wps:spPr>
                    <wps:txbx>
                      <w:txbxContent>
                        <w:p xmlns:w14="http://schemas.microsoft.com/office/word/2010/wordml" w14:paraId="6D8BD095" w14:textId="33F27228" w:rsidR="00DA7639" w:rsidRDefault="00266EE4">
                          <w:r>
                            <w:t>Ministerio de Infraestructuras y Gestión del Agua</w:t>
                          </w:r>
                        </w:p>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61762C21" id="_x0000_s1031" type="#_x0000_t202" style="position:absolute;margin-left:322.5pt;margin-top:71.25pt;width:143.25pt;height:30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" fillcolor="white [3212]" stroked="f">
              <v:path arrowok="t"/>
              <v:textbox inset="0,0,0,0">
                <w:txbxContent>
                  <w:p w14:paraId="6D8BD095" w14:textId="33F27228" w:rsidR="00DA7639" w:rsidRDefault="00266EE4">
                    <w:r>
                      <w:t>Ministerio de Infraestructuras y Gestión del Agua</w:t>
                    </w:r>
                  </w:p>
                </w:txbxContent>
              </v:textbox>
              <w10:wrap xmlns:w10="urn:schemas-microsoft-com:office:word" anchorx="page" anchory="page"/>
              <w10:anchorlock xmlns:w10="urn:schemas-microsoft-com:office:word"/>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D2BEC0"/>
    <w:multiLevelType w:val="multilevel"/>
    <w:tmpl w:val="41669BD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DEBC45"/>
    <w:multiLevelType w:val="multilevel"/>
    <w:tmpl w:val="1C4AD6D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E83793"/>
    <w:multiLevelType w:val="multilevel"/>
    <w:tmpl w:val="1487E6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EA1E8A"/>
    <w:multiLevelType w:val="multilevel"/>
    <w:tmpl w:val="8A2847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88EE49"/>
    <w:multiLevelType w:val="multilevel"/>
    <w:tmpl w:val="A18B56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FCB6B5"/>
    <w:multiLevelType w:val="multilevel"/>
    <w:tmpl w:val="38AE725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C04764"/>
    <w:multiLevelType w:val="multilevel"/>
    <w:tmpl w:val="660F62E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5EB4BA"/>
    <w:multiLevelType w:val="multilevel"/>
    <w:tmpl w:val="6098ECC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05E6A3"/>
    <w:multiLevelType w:val="multilevel"/>
    <w:tmpl w:val="0CC568D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5C3B40"/>
    <w:multiLevelType w:val="multilevel"/>
    <w:tmpl w:val="7A2E023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7A77FF"/>
    <w:multiLevelType w:val="multilevel"/>
    <w:tmpl w:val="13210AB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DF221"/>
    <w:multiLevelType w:val="multilevel"/>
    <w:tmpl w:val="225B632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5CA3B9"/>
    <w:multiLevelType w:val="multilevel"/>
    <w:tmpl w:val="80C217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583C6"/>
    <w:multiLevelType w:val="multilevel"/>
    <w:tmpl w:val="FF3BF1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89024A"/>
    <w:multiLevelType w:val="multilevel"/>
    <w:tmpl w:val="87F1525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051FB6"/>
    <w:multiLevelType w:val="hybridMultilevel"/>
    <w:tmpl w:val="9118E7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8"/>
  </w:num>
  <w:num w:numId="5">
    <w:abstractNumId w:val="11"/>
  </w:num>
  <w:num w:numId="6">
    <w:abstractNumId w:val="6"/>
  </w:num>
  <w:num w:numId="7">
    <w:abstractNumId w:val="3"/>
  </w:num>
  <w:num w:numId="8">
    <w:abstractNumId w:val="10"/>
  </w:num>
  <w:num w:numId="9">
    <w:abstractNumId w:val="7"/>
  </w:num>
  <w:num w:numId="10">
    <w:abstractNumId w:val="13"/>
  </w:num>
  <w:num w:numId="11">
    <w:abstractNumId w:val="5"/>
  </w:num>
  <w:num w:numId="12">
    <w:abstractNumId w:val="1"/>
  </w:num>
  <w:num w:numId="13">
    <w:abstractNumId w:val="0"/>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7E"/>
    <w:rsid w:val="000016FE"/>
    <w:rsid w:val="00001D5C"/>
    <w:rsid w:val="00006813"/>
    <w:rsid w:val="00011158"/>
    <w:rsid w:val="00011BFC"/>
    <w:rsid w:val="00015EFE"/>
    <w:rsid w:val="00024EA0"/>
    <w:rsid w:val="00025D55"/>
    <w:rsid w:val="000266F1"/>
    <w:rsid w:val="000272B2"/>
    <w:rsid w:val="00030EDD"/>
    <w:rsid w:val="000320F6"/>
    <w:rsid w:val="000326E1"/>
    <w:rsid w:val="000362C5"/>
    <w:rsid w:val="0004336E"/>
    <w:rsid w:val="00044B64"/>
    <w:rsid w:val="000458C3"/>
    <w:rsid w:val="0005070C"/>
    <w:rsid w:val="00050BDC"/>
    <w:rsid w:val="0005175D"/>
    <w:rsid w:val="000567B0"/>
    <w:rsid w:val="00056946"/>
    <w:rsid w:val="00056CCD"/>
    <w:rsid w:val="00057622"/>
    <w:rsid w:val="000620EB"/>
    <w:rsid w:val="0006403B"/>
    <w:rsid w:val="00066B4E"/>
    <w:rsid w:val="00073C83"/>
    <w:rsid w:val="000765D6"/>
    <w:rsid w:val="00076C90"/>
    <w:rsid w:val="000806A8"/>
    <w:rsid w:val="00082A56"/>
    <w:rsid w:val="00083CE9"/>
    <w:rsid w:val="0008481D"/>
    <w:rsid w:val="0009455A"/>
    <w:rsid w:val="00095F89"/>
    <w:rsid w:val="000A177C"/>
    <w:rsid w:val="000A28B3"/>
    <w:rsid w:val="000B0468"/>
    <w:rsid w:val="000B46B7"/>
    <w:rsid w:val="000B6622"/>
    <w:rsid w:val="000B7363"/>
    <w:rsid w:val="000C0B2E"/>
    <w:rsid w:val="000C1229"/>
    <w:rsid w:val="000C647B"/>
    <w:rsid w:val="000D0523"/>
    <w:rsid w:val="000D4BC4"/>
    <w:rsid w:val="000E4153"/>
    <w:rsid w:val="000E5137"/>
    <w:rsid w:val="000E5B6F"/>
    <w:rsid w:val="000F13C7"/>
    <w:rsid w:val="000F5993"/>
    <w:rsid w:val="000F5B90"/>
    <w:rsid w:val="0010098C"/>
    <w:rsid w:val="00106AD7"/>
    <w:rsid w:val="00106B50"/>
    <w:rsid w:val="00106DF3"/>
    <w:rsid w:val="00111E11"/>
    <w:rsid w:val="001142CC"/>
    <w:rsid w:val="00120A64"/>
    <w:rsid w:val="00120A7A"/>
    <w:rsid w:val="00120AE1"/>
    <w:rsid w:val="00123824"/>
    <w:rsid w:val="0012425C"/>
    <w:rsid w:val="00124321"/>
    <w:rsid w:val="00125C5F"/>
    <w:rsid w:val="001276DC"/>
    <w:rsid w:val="00131BC6"/>
    <w:rsid w:val="001333EE"/>
    <w:rsid w:val="00134FF2"/>
    <w:rsid w:val="00141E73"/>
    <w:rsid w:val="00144096"/>
    <w:rsid w:val="00145705"/>
    <w:rsid w:val="0014672E"/>
    <w:rsid w:val="00157F35"/>
    <w:rsid w:val="00160632"/>
    <w:rsid w:val="00160851"/>
    <w:rsid w:val="0016644F"/>
    <w:rsid w:val="001704B1"/>
    <w:rsid w:val="00171B99"/>
    <w:rsid w:val="00173740"/>
    <w:rsid w:val="0017483E"/>
    <w:rsid w:val="0017499A"/>
    <w:rsid w:val="00191271"/>
    <w:rsid w:val="00194ADC"/>
    <w:rsid w:val="00195C97"/>
    <w:rsid w:val="00196DE9"/>
    <w:rsid w:val="001A1174"/>
    <w:rsid w:val="001A15A9"/>
    <w:rsid w:val="001A218B"/>
    <w:rsid w:val="001A5D67"/>
    <w:rsid w:val="001B23EC"/>
    <w:rsid w:val="001B47A9"/>
    <w:rsid w:val="001B7DF1"/>
    <w:rsid w:val="001C1AF8"/>
    <w:rsid w:val="001D1213"/>
    <w:rsid w:val="001D1304"/>
    <w:rsid w:val="001D2D60"/>
    <w:rsid w:val="001D39CE"/>
    <w:rsid w:val="001D678F"/>
    <w:rsid w:val="001E11EF"/>
    <w:rsid w:val="001E35C7"/>
    <w:rsid w:val="001E399F"/>
    <w:rsid w:val="001F11D6"/>
    <w:rsid w:val="001F1DE7"/>
    <w:rsid w:val="001F5913"/>
    <w:rsid w:val="00200801"/>
    <w:rsid w:val="002056CB"/>
    <w:rsid w:val="0020753C"/>
    <w:rsid w:val="0021454C"/>
    <w:rsid w:val="002158A5"/>
    <w:rsid w:val="00220830"/>
    <w:rsid w:val="00223C68"/>
    <w:rsid w:val="00225ABA"/>
    <w:rsid w:val="0023041A"/>
    <w:rsid w:val="002320D2"/>
    <w:rsid w:val="00233687"/>
    <w:rsid w:val="00234361"/>
    <w:rsid w:val="00234A95"/>
    <w:rsid w:val="002400B4"/>
    <w:rsid w:val="0024224C"/>
    <w:rsid w:val="00243413"/>
    <w:rsid w:val="00254F82"/>
    <w:rsid w:val="0025559C"/>
    <w:rsid w:val="00257B06"/>
    <w:rsid w:val="00260FF1"/>
    <w:rsid w:val="002613CD"/>
    <w:rsid w:val="00261B4F"/>
    <w:rsid w:val="00261C59"/>
    <w:rsid w:val="00261D19"/>
    <w:rsid w:val="002669EB"/>
    <w:rsid w:val="00266EE4"/>
    <w:rsid w:val="00271E12"/>
    <w:rsid w:val="002720A3"/>
    <w:rsid w:val="00272D00"/>
    <w:rsid w:val="002738EB"/>
    <w:rsid w:val="00280865"/>
    <w:rsid w:val="00282599"/>
    <w:rsid w:val="00293FC6"/>
    <w:rsid w:val="00294C81"/>
    <w:rsid w:val="00297E6B"/>
    <w:rsid w:val="002A0940"/>
    <w:rsid w:val="002B121B"/>
    <w:rsid w:val="002B2E16"/>
    <w:rsid w:val="002C1F52"/>
    <w:rsid w:val="002C274D"/>
    <w:rsid w:val="002C378D"/>
    <w:rsid w:val="002C38C2"/>
    <w:rsid w:val="002C6132"/>
    <w:rsid w:val="002C6BA5"/>
    <w:rsid w:val="002C711F"/>
    <w:rsid w:val="002C7E1D"/>
    <w:rsid w:val="002D711E"/>
    <w:rsid w:val="002E233F"/>
    <w:rsid w:val="002E51C5"/>
    <w:rsid w:val="002E772E"/>
    <w:rsid w:val="002F7F9E"/>
    <w:rsid w:val="00300618"/>
    <w:rsid w:val="00303639"/>
    <w:rsid w:val="0030591E"/>
    <w:rsid w:val="00307719"/>
    <w:rsid w:val="003117B9"/>
    <w:rsid w:val="0031310C"/>
    <w:rsid w:val="003149D5"/>
    <w:rsid w:val="003230E6"/>
    <w:rsid w:val="00326A0E"/>
    <w:rsid w:val="0033066C"/>
    <w:rsid w:val="00331941"/>
    <w:rsid w:val="003353D1"/>
    <w:rsid w:val="0033716B"/>
    <w:rsid w:val="00341A53"/>
    <w:rsid w:val="00350413"/>
    <w:rsid w:val="003504DB"/>
    <w:rsid w:val="00350BC6"/>
    <w:rsid w:val="003549B5"/>
    <w:rsid w:val="00355623"/>
    <w:rsid w:val="00356383"/>
    <w:rsid w:val="00364E3A"/>
    <w:rsid w:val="00365AA7"/>
    <w:rsid w:val="00366C3A"/>
    <w:rsid w:val="00370F9A"/>
    <w:rsid w:val="003710C5"/>
    <w:rsid w:val="00371248"/>
    <w:rsid w:val="0037210C"/>
    <w:rsid w:val="00373688"/>
    <w:rsid w:val="00375142"/>
    <w:rsid w:val="00387C6E"/>
    <w:rsid w:val="0039062D"/>
    <w:rsid w:val="0039611E"/>
    <w:rsid w:val="0039712D"/>
    <w:rsid w:val="003A0246"/>
    <w:rsid w:val="003A1C29"/>
    <w:rsid w:val="003A2421"/>
    <w:rsid w:val="003B134E"/>
    <w:rsid w:val="003B51F0"/>
    <w:rsid w:val="003B5899"/>
    <w:rsid w:val="003B6C62"/>
    <w:rsid w:val="003C2743"/>
    <w:rsid w:val="003C4702"/>
    <w:rsid w:val="003C7D93"/>
    <w:rsid w:val="003D5141"/>
    <w:rsid w:val="003D5D49"/>
    <w:rsid w:val="003E16C7"/>
    <w:rsid w:val="003F335D"/>
    <w:rsid w:val="003F37F9"/>
    <w:rsid w:val="003F417D"/>
    <w:rsid w:val="004007FF"/>
    <w:rsid w:val="00412616"/>
    <w:rsid w:val="00415644"/>
    <w:rsid w:val="00420FD5"/>
    <w:rsid w:val="004219D4"/>
    <w:rsid w:val="00426D45"/>
    <w:rsid w:val="00430348"/>
    <w:rsid w:val="004312C2"/>
    <w:rsid w:val="00431990"/>
    <w:rsid w:val="00432130"/>
    <w:rsid w:val="00441AEB"/>
    <w:rsid w:val="00450136"/>
    <w:rsid w:val="00457770"/>
    <w:rsid w:val="00463B3F"/>
    <w:rsid w:val="00465815"/>
    <w:rsid w:val="00465DCA"/>
    <w:rsid w:val="00471AFA"/>
    <w:rsid w:val="004752BE"/>
    <w:rsid w:val="00480608"/>
    <w:rsid w:val="00487D78"/>
    <w:rsid w:val="00492C2D"/>
    <w:rsid w:val="00492CA6"/>
    <w:rsid w:val="004972B7"/>
    <w:rsid w:val="004A3495"/>
    <w:rsid w:val="004B20CE"/>
    <w:rsid w:val="004B2D8C"/>
    <w:rsid w:val="004C0CE1"/>
    <w:rsid w:val="004C206A"/>
    <w:rsid w:val="004C2306"/>
    <w:rsid w:val="004C41B8"/>
    <w:rsid w:val="004C66C3"/>
    <w:rsid w:val="004D04E2"/>
    <w:rsid w:val="004E472D"/>
    <w:rsid w:val="004E6E75"/>
    <w:rsid w:val="004F03B1"/>
    <w:rsid w:val="004F0BF1"/>
    <w:rsid w:val="004F1779"/>
    <w:rsid w:val="004F2786"/>
    <w:rsid w:val="004F2A04"/>
    <w:rsid w:val="004F2A3C"/>
    <w:rsid w:val="004F4C8C"/>
    <w:rsid w:val="004F6E02"/>
    <w:rsid w:val="004F743A"/>
    <w:rsid w:val="0050291F"/>
    <w:rsid w:val="00505BD1"/>
    <w:rsid w:val="00507681"/>
    <w:rsid w:val="00510AD0"/>
    <w:rsid w:val="00511442"/>
    <w:rsid w:val="005123B6"/>
    <w:rsid w:val="00513A8E"/>
    <w:rsid w:val="00514123"/>
    <w:rsid w:val="00514872"/>
    <w:rsid w:val="00516C5C"/>
    <w:rsid w:val="00517574"/>
    <w:rsid w:val="00520754"/>
    <w:rsid w:val="00521186"/>
    <w:rsid w:val="00523B61"/>
    <w:rsid w:val="0052449D"/>
    <w:rsid w:val="005248FD"/>
    <w:rsid w:val="00526017"/>
    <w:rsid w:val="005300AA"/>
    <w:rsid w:val="005358E9"/>
    <w:rsid w:val="00537AD1"/>
    <w:rsid w:val="005402F8"/>
    <w:rsid w:val="00540EA6"/>
    <w:rsid w:val="0054509C"/>
    <w:rsid w:val="00545F25"/>
    <w:rsid w:val="005512A4"/>
    <w:rsid w:val="00551871"/>
    <w:rsid w:val="00552AF4"/>
    <w:rsid w:val="00555092"/>
    <w:rsid w:val="00561171"/>
    <w:rsid w:val="00562E42"/>
    <w:rsid w:val="00563742"/>
    <w:rsid w:val="00570A25"/>
    <w:rsid w:val="005729F1"/>
    <w:rsid w:val="00572A3B"/>
    <w:rsid w:val="00573F51"/>
    <w:rsid w:val="005750F6"/>
    <w:rsid w:val="00575A98"/>
    <w:rsid w:val="00577D42"/>
    <w:rsid w:val="00583596"/>
    <w:rsid w:val="00585C17"/>
    <w:rsid w:val="00587809"/>
    <w:rsid w:val="00592BD3"/>
    <w:rsid w:val="00593639"/>
    <w:rsid w:val="00594497"/>
    <w:rsid w:val="00594F7E"/>
    <w:rsid w:val="005A00CB"/>
    <w:rsid w:val="005A5392"/>
    <w:rsid w:val="005A7221"/>
    <w:rsid w:val="005B459C"/>
    <w:rsid w:val="005B7AD2"/>
    <w:rsid w:val="005C1662"/>
    <w:rsid w:val="005D2E7F"/>
    <w:rsid w:val="005D3EF0"/>
    <w:rsid w:val="005D7490"/>
    <w:rsid w:val="005D7EAA"/>
    <w:rsid w:val="005E1FD6"/>
    <w:rsid w:val="005E23AA"/>
    <w:rsid w:val="005E30CF"/>
    <w:rsid w:val="005E5972"/>
    <w:rsid w:val="005E6E1F"/>
    <w:rsid w:val="005F06B7"/>
    <w:rsid w:val="005F14C4"/>
    <w:rsid w:val="00601332"/>
    <w:rsid w:val="00601977"/>
    <w:rsid w:val="0060567F"/>
    <w:rsid w:val="006124FF"/>
    <w:rsid w:val="0061415A"/>
    <w:rsid w:val="00615593"/>
    <w:rsid w:val="00616CA6"/>
    <w:rsid w:val="0062367C"/>
    <w:rsid w:val="0062574A"/>
    <w:rsid w:val="0062782F"/>
    <w:rsid w:val="00632BA0"/>
    <w:rsid w:val="00641CF6"/>
    <w:rsid w:val="00642A43"/>
    <w:rsid w:val="006461B0"/>
    <w:rsid w:val="006470C7"/>
    <w:rsid w:val="00655E5C"/>
    <w:rsid w:val="00657F2B"/>
    <w:rsid w:val="00661B78"/>
    <w:rsid w:val="006621E0"/>
    <w:rsid w:val="0066447B"/>
    <w:rsid w:val="00665C4B"/>
    <w:rsid w:val="00666187"/>
    <w:rsid w:val="00667768"/>
    <w:rsid w:val="006729F5"/>
    <w:rsid w:val="00672E6C"/>
    <w:rsid w:val="006832B2"/>
    <w:rsid w:val="0069059D"/>
    <w:rsid w:val="00692F78"/>
    <w:rsid w:val="00694D8F"/>
    <w:rsid w:val="0069696D"/>
    <w:rsid w:val="00697690"/>
    <w:rsid w:val="00697B1E"/>
    <w:rsid w:val="00697DF3"/>
    <w:rsid w:val="006A384D"/>
    <w:rsid w:val="006B0410"/>
    <w:rsid w:val="006B2C87"/>
    <w:rsid w:val="006B3099"/>
    <w:rsid w:val="006C09A8"/>
    <w:rsid w:val="006C2796"/>
    <w:rsid w:val="006C29AE"/>
    <w:rsid w:val="006C3448"/>
    <w:rsid w:val="006C36EB"/>
    <w:rsid w:val="006C4CA6"/>
    <w:rsid w:val="006C786B"/>
    <w:rsid w:val="006C78AB"/>
    <w:rsid w:val="006D4890"/>
    <w:rsid w:val="006E12D9"/>
    <w:rsid w:val="006E5F6E"/>
    <w:rsid w:val="006E6BD9"/>
    <w:rsid w:val="006E752D"/>
    <w:rsid w:val="006F08C3"/>
    <w:rsid w:val="006F21F9"/>
    <w:rsid w:val="006F404B"/>
    <w:rsid w:val="006F492B"/>
    <w:rsid w:val="006F57E4"/>
    <w:rsid w:val="0070064E"/>
    <w:rsid w:val="00705BEE"/>
    <w:rsid w:val="007074C7"/>
    <w:rsid w:val="00713038"/>
    <w:rsid w:val="0071310D"/>
    <w:rsid w:val="00717286"/>
    <w:rsid w:val="00717A8E"/>
    <w:rsid w:val="007225F1"/>
    <w:rsid w:val="007237C0"/>
    <w:rsid w:val="007276EB"/>
    <w:rsid w:val="00735CD2"/>
    <w:rsid w:val="0073698C"/>
    <w:rsid w:val="007403F0"/>
    <w:rsid w:val="00741E3A"/>
    <w:rsid w:val="0074511E"/>
    <w:rsid w:val="00753766"/>
    <w:rsid w:val="00754787"/>
    <w:rsid w:val="00755635"/>
    <w:rsid w:val="00755996"/>
    <w:rsid w:val="00776437"/>
    <w:rsid w:val="00776B97"/>
    <w:rsid w:val="00776F9F"/>
    <w:rsid w:val="00777471"/>
    <w:rsid w:val="00780422"/>
    <w:rsid w:val="007822CC"/>
    <w:rsid w:val="00783ECB"/>
    <w:rsid w:val="00784151"/>
    <w:rsid w:val="00786C12"/>
    <w:rsid w:val="00787A05"/>
    <w:rsid w:val="007912CB"/>
    <w:rsid w:val="0079420A"/>
    <w:rsid w:val="00796DC0"/>
    <w:rsid w:val="007A3C57"/>
    <w:rsid w:val="007A3D9E"/>
    <w:rsid w:val="007A403C"/>
    <w:rsid w:val="007A69BB"/>
    <w:rsid w:val="007A7E60"/>
    <w:rsid w:val="007B7714"/>
    <w:rsid w:val="007B7778"/>
    <w:rsid w:val="007C5256"/>
    <w:rsid w:val="007D34A0"/>
    <w:rsid w:val="007D6BE3"/>
    <w:rsid w:val="007D6E14"/>
    <w:rsid w:val="007E1EFB"/>
    <w:rsid w:val="007E3704"/>
    <w:rsid w:val="007F1841"/>
    <w:rsid w:val="007F27A4"/>
    <w:rsid w:val="007F4A4F"/>
    <w:rsid w:val="007F5876"/>
    <w:rsid w:val="007F6D62"/>
    <w:rsid w:val="007F70B9"/>
    <w:rsid w:val="008035E0"/>
    <w:rsid w:val="00803973"/>
    <w:rsid w:val="00805EB5"/>
    <w:rsid w:val="0080661E"/>
    <w:rsid w:val="008079C5"/>
    <w:rsid w:val="0082596A"/>
    <w:rsid w:val="00827936"/>
    <w:rsid w:val="0083220E"/>
    <w:rsid w:val="00835A2D"/>
    <w:rsid w:val="00840929"/>
    <w:rsid w:val="00841A4F"/>
    <w:rsid w:val="0084386D"/>
    <w:rsid w:val="008449F7"/>
    <w:rsid w:val="008452D5"/>
    <w:rsid w:val="00845502"/>
    <w:rsid w:val="00857313"/>
    <w:rsid w:val="00857FE8"/>
    <w:rsid w:val="008601BF"/>
    <w:rsid w:val="00861D2D"/>
    <w:rsid w:val="0086372A"/>
    <w:rsid w:val="00864299"/>
    <w:rsid w:val="00864D02"/>
    <w:rsid w:val="00865C65"/>
    <w:rsid w:val="008723F0"/>
    <w:rsid w:val="00873FA2"/>
    <w:rsid w:val="00890E4B"/>
    <w:rsid w:val="008925D6"/>
    <w:rsid w:val="00895432"/>
    <w:rsid w:val="00895FD4"/>
    <w:rsid w:val="008964F2"/>
    <w:rsid w:val="008A3C50"/>
    <w:rsid w:val="008A74D3"/>
    <w:rsid w:val="008A7DCA"/>
    <w:rsid w:val="008A7EDF"/>
    <w:rsid w:val="008B15F3"/>
    <w:rsid w:val="008B2D27"/>
    <w:rsid w:val="008B4500"/>
    <w:rsid w:val="008B5204"/>
    <w:rsid w:val="008C3DB9"/>
    <w:rsid w:val="008C41BB"/>
    <w:rsid w:val="008C5E30"/>
    <w:rsid w:val="008D4134"/>
    <w:rsid w:val="008D49B8"/>
    <w:rsid w:val="008D61A9"/>
    <w:rsid w:val="008D6D33"/>
    <w:rsid w:val="008D7937"/>
    <w:rsid w:val="008E66D9"/>
    <w:rsid w:val="008E6A43"/>
    <w:rsid w:val="008E742D"/>
    <w:rsid w:val="008F0531"/>
    <w:rsid w:val="008F6E6E"/>
    <w:rsid w:val="00900F26"/>
    <w:rsid w:val="00905C5B"/>
    <w:rsid w:val="00911101"/>
    <w:rsid w:val="00912976"/>
    <w:rsid w:val="009166F3"/>
    <w:rsid w:val="0091697E"/>
    <w:rsid w:val="0092155A"/>
    <w:rsid w:val="00922535"/>
    <w:rsid w:val="0092310E"/>
    <w:rsid w:val="009262F7"/>
    <w:rsid w:val="009332FE"/>
    <w:rsid w:val="00933C18"/>
    <w:rsid w:val="009358E8"/>
    <w:rsid w:val="0094258B"/>
    <w:rsid w:val="009500A0"/>
    <w:rsid w:val="00952189"/>
    <w:rsid w:val="00952F51"/>
    <w:rsid w:val="00955C76"/>
    <w:rsid w:val="0095799C"/>
    <w:rsid w:val="00962A7D"/>
    <w:rsid w:val="00965C59"/>
    <w:rsid w:val="00966DF8"/>
    <w:rsid w:val="0097119A"/>
    <w:rsid w:val="00972614"/>
    <w:rsid w:val="00974C15"/>
    <w:rsid w:val="00984F0F"/>
    <w:rsid w:val="0098711F"/>
    <w:rsid w:val="00990DE1"/>
    <w:rsid w:val="00993486"/>
    <w:rsid w:val="00994392"/>
    <w:rsid w:val="009944E4"/>
    <w:rsid w:val="0099545A"/>
    <w:rsid w:val="00995F2F"/>
    <w:rsid w:val="00997576"/>
    <w:rsid w:val="009A282F"/>
    <w:rsid w:val="009A2A3C"/>
    <w:rsid w:val="009A45CA"/>
    <w:rsid w:val="009A468C"/>
    <w:rsid w:val="009A501E"/>
    <w:rsid w:val="009B20AA"/>
    <w:rsid w:val="009B24EA"/>
    <w:rsid w:val="009C1480"/>
    <w:rsid w:val="009C173F"/>
    <w:rsid w:val="009C5C4E"/>
    <w:rsid w:val="009C6155"/>
    <w:rsid w:val="009C6F40"/>
    <w:rsid w:val="009D62C8"/>
    <w:rsid w:val="009D672D"/>
    <w:rsid w:val="009D7454"/>
    <w:rsid w:val="009D7B43"/>
    <w:rsid w:val="009E00F7"/>
    <w:rsid w:val="009E1D36"/>
    <w:rsid w:val="009E3321"/>
    <w:rsid w:val="009E6A6D"/>
    <w:rsid w:val="009E74B5"/>
    <w:rsid w:val="00A04C24"/>
    <w:rsid w:val="00A06091"/>
    <w:rsid w:val="00A06999"/>
    <w:rsid w:val="00A0729C"/>
    <w:rsid w:val="00A10BFA"/>
    <w:rsid w:val="00A13389"/>
    <w:rsid w:val="00A14E6C"/>
    <w:rsid w:val="00A22490"/>
    <w:rsid w:val="00A22828"/>
    <w:rsid w:val="00A2362C"/>
    <w:rsid w:val="00A257AD"/>
    <w:rsid w:val="00A2653E"/>
    <w:rsid w:val="00A313AD"/>
    <w:rsid w:val="00A31EEF"/>
    <w:rsid w:val="00A33DC4"/>
    <w:rsid w:val="00A3541C"/>
    <w:rsid w:val="00A43088"/>
    <w:rsid w:val="00A442B6"/>
    <w:rsid w:val="00A4638A"/>
    <w:rsid w:val="00A4686D"/>
    <w:rsid w:val="00A468D4"/>
    <w:rsid w:val="00A5044E"/>
    <w:rsid w:val="00A5709B"/>
    <w:rsid w:val="00A60EFC"/>
    <w:rsid w:val="00A62F30"/>
    <w:rsid w:val="00A64305"/>
    <w:rsid w:val="00A656E3"/>
    <w:rsid w:val="00A7152D"/>
    <w:rsid w:val="00A8142F"/>
    <w:rsid w:val="00A825AE"/>
    <w:rsid w:val="00A91470"/>
    <w:rsid w:val="00A970BC"/>
    <w:rsid w:val="00AA14DF"/>
    <w:rsid w:val="00AB21F3"/>
    <w:rsid w:val="00AB5AEE"/>
    <w:rsid w:val="00AC0B04"/>
    <w:rsid w:val="00AC1834"/>
    <w:rsid w:val="00AC2E09"/>
    <w:rsid w:val="00AC2FE7"/>
    <w:rsid w:val="00AC76A5"/>
    <w:rsid w:val="00AD06B7"/>
    <w:rsid w:val="00AD0D1F"/>
    <w:rsid w:val="00AD2B48"/>
    <w:rsid w:val="00AD2E33"/>
    <w:rsid w:val="00AD3600"/>
    <w:rsid w:val="00AD4385"/>
    <w:rsid w:val="00AD45BA"/>
    <w:rsid w:val="00AD5ECD"/>
    <w:rsid w:val="00AD7995"/>
    <w:rsid w:val="00AE2061"/>
    <w:rsid w:val="00AE2B78"/>
    <w:rsid w:val="00AE5453"/>
    <w:rsid w:val="00AE56B4"/>
    <w:rsid w:val="00AF27DB"/>
    <w:rsid w:val="00AF3AE8"/>
    <w:rsid w:val="00AF42C2"/>
    <w:rsid w:val="00AF5AA1"/>
    <w:rsid w:val="00B064DB"/>
    <w:rsid w:val="00B068D2"/>
    <w:rsid w:val="00B1556B"/>
    <w:rsid w:val="00B174AA"/>
    <w:rsid w:val="00B20FB5"/>
    <w:rsid w:val="00B2540A"/>
    <w:rsid w:val="00B30BBA"/>
    <w:rsid w:val="00B34070"/>
    <w:rsid w:val="00B43E1E"/>
    <w:rsid w:val="00B4460D"/>
    <w:rsid w:val="00B4587A"/>
    <w:rsid w:val="00B474F4"/>
    <w:rsid w:val="00B51063"/>
    <w:rsid w:val="00B52730"/>
    <w:rsid w:val="00B5380C"/>
    <w:rsid w:val="00B53E3E"/>
    <w:rsid w:val="00B5437C"/>
    <w:rsid w:val="00B54AEA"/>
    <w:rsid w:val="00B63F59"/>
    <w:rsid w:val="00B74AA5"/>
    <w:rsid w:val="00B76E83"/>
    <w:rsid w:val="00B800D4"/>
    <w:rsid w:val="00B840C1"/>
    <w:rsid w:val="00B84269"/>
    <w:rsid w:val="00B84D3E"/>
    <w:rsid w:val="00B85C63"/>
    <w:rsid w:val="00B8667D"/>
    <w:rsid w:val="00B8780B"/>
    <w:rsid w:val="00B90A1A"/>
    <w:rsid w:val="00B9177A"/>
    <w:rsid w:val="00B94DA4"/>
    <w:rsid w:val="00B974CE"/>
    <w:rsid w:val="00BA1186"/>
    <w:rsid w:val="00BA2F69"/>
    <w:rsid w:val="00BA40EE"/>
    <w:rsid w:val="00BA6ABC"/>
    <w:rsid w:val="00BB061F"/>
    <w:rsid w:val="00BB0D65"/>
    <w:rsid w:val="00BB31CF"/>
    <w:rsid w:val="00BB5A7D"/>
    <w:rsid w:val="00BC2497"/>
    <w:rsid w:val="00BC6CBC"/>
    <w:rsid w:val="00BE3AF5"/>
    <w:rsid w:val="00BE4257"/>
    <w:rsid w:val="00BE6013"/>
    <w:rsid w:val="00BE6084"/>
    <w:rsid w:val="00BF188A"/>
    <w:rsid w:val="00BF26E5"/>
    <w:rsid w:val="00BF31BF"/>
    <w:rsid w:val="00BF5ADB"/>
    <w:rsid w:val="00BF628D"/>
    <w:rsid w:val="00C0101D"/>
    <w:rsid w:val="00C0541C"/>
    <w:rsid w:val="00C13F3D"/>
    <w:rsid w:val="00C17CA3"/>
    <w:rsid w:val="00C220B6"/>
    <w:rsid w:val="00C2264F"/>
    <w:rsid w:val="00C22D7F"/>
    <w:rsid w:val="00C23798"/>
    <w:rsid w:val="00C25296"/>
    <w:rsid w:val="00C25FFA"/>
    <w:rsid w:val="00C32567"/>
    <w:rsid w:val="00C33E5A"/>
    <w:rsid w:val="00C36171"/>
    <w:rsid w:val="00C36E83"/>
    <w:rsid w:val="00C3739C"/>
    <w:rsid w:val="00C450C8"/>
    <w:rsid w:val="00C46D05"/>
    <w:rsid w:val="00C55051"/>
    <w:rsid w:val="00C55D40"/>
    <w:rsid w:val="00C60C15"/>
    <w:rsid w:val="00C61444"/>
    <w:rsid w:val="00C65C0E"/>
    <w:rsid w:val="00C669A7"/>
    <w:rsid w:val="00C710DC"/>
    <w:rsid w:val="00C74D42"/>
    <w:rsid w:val="00C761D2"/>
    <w:rsid w:val="00C815C1"/>
    <w:rsid w:val="00C81EF4"/>
    <w:rsid w:val="00C9140F"/>
    <w:rsid w:val="00C94798"/>
    <w:rsid w:val="00C94EF5"/>
    <w:rsid w:val="00C97195"/>
    <w:rsid w:val="00CA28BB"/>
    <w:rsid w:val="00CA5656"/>
    <w:rsid w:val="00CB021D"/>
    <w:rsid w:val="00CB084E"/>
    <w:rsid w:val="00CB4193"/>
    <w:rsid w:val="00CC0339"/>
    <w:rsid w:val="00CC12A4"/>
    <w:rsid w:val="00CC28D9"/>
    <w:rsid w:val="00CC2CAE"/>
    <w:rsid w:val="00CC4BB2"/>
    <w:rsid w:val="00CC74ED"/>
    <w:rsid w:val="00CC7686"/>
    <w:rsid w:val="00CD02C2"/>
    <w:rsid w:val="00CD4399"/>
    <w:rsid w:val="00CD4BEC"/>
    <w:rsid w:val="00CE2C17"/>
    <w:rsid w:val="00CE4894"/>
    <w:rsid w:val="00CE4A83"/>
    <w:rsid w:val="00CE7DBE"/>
    <w:rsid w:val="00CF0321"/>
    <w:rsid w:val="00CF1BCF"/>
    <w:rsid w:val="00CF3B25"/>
    <w:rsid w:val="00D0193A"/>
    <w:rsid w:val="00D07DBD"/>
    <w:rsid w:val="00D11BE3"/>
    <w:rsid w:val="00D14D8A"/>
    <w:rsid w:val="00D23317"/>
    <w:rsid w:val="00D306F5"/>
    <w:rsid w:val="00D32069"/>
    <w:rsid w:val="00D320A4"/>
    <w:rsid w:val="00D32C02"/>
    <w:rsid w:val="00D367CD"/>
    <w:rsid w:val="00D47E15"/>
    <w:rsid w:val="00D50BE1"/>
    <w:rsid w:val="00D51310"/>
    <w:rsid w:val="00D51C2A"/>
    <w:rsid w:val="00D55DC8"/>
    <w:rsid w:val="00D61830"/>
    <w:rsid w:val="00D6504B"/>
    <w:rsid w:val="00D65D31"/>
    <w:rsid w:val="00D71F28"/>
    <w:rsid w:val="00D7419F"/>
    <w:rsid w:val="00D7466F"/>
    <w:rsid w:val="00D77448"/>
    <w:rsid w:val="00D80AEE"/>
    <w:rsid w:val="00D84760"/>
    <w:rsid w:val="00DA3214"/>
    <w:rsid w:val="00DA43AE"/>
    <w:rsid w:val="00DA7639"/>
    <w:rsid w:val="00DB0842"/>
    <w:rsid w:val="00DB0A98"/>
    <w:rsid w:val="00DB30D3"/>
    <w:rsid w:val="00DC721E"/>
    <w:rsid w:val="00DD367D"/>
    <w:rsid w:val="00DD568A"/>
    <w:rsid w:val="00DE12DC"/>
    <w:rsid w:val="00E0237E"/>
    <w:rsid w:val="00E055B8"/>
    <w:rsid w:val="00E116BB"/>
    <w:rsid w:val="00E20FF0"/>
    <w:rsid w:val="00E21435"/>
    <w:rsid w:val="00E2245D"/>
    <w:rsid w:val="00E23482"/>
    <w:rsid w:val="00E23A5C"/>
    <w:rsid w:val="00E2601A"/>
    <w:rsid w:val="00E3264F"/>
    <w:rsid w:val="00E336C0"/>
    <w:rsid w:val="00E34D62"/>
    <w:rsid w:val="00E35C64"/>
    <w:rsid w:val="00E36AF2"/>
    <w:rsid w:val="00E3773B"/>
    <w:rsid w:val="00E4330A"/>
    <w:rsid w:val="00E438ED"/>
    <w:rsid w:val="00E43FB2"/>
    <w:rsid w:val="00E45A27"/>
    <w:rsid w:val="00E47762"/>
    <w:rsid w:val="00E50B5E"/>
    <w:rsid w:val="00E51CB7"/>
    <w:rsid w:val="00E60205"/>
    <w:rsid w:val="00E60726"/>
    <w:rsid w:val="00E62588"/>
    <w:rsid w:val="00E64738"/>
    <w:rsid w:val="00E6676B"/>
    <w:rsid w:val="00E73AC7"/>
    <w:rsid w:val="00E84845"/>
    <w:rsid w:val="00E857B8"/>
    <w:rsid w:val="00E90026"/>
    <w:rsid w:val="00E919ED"/>
    <w:rsid w:val="00E96147"/>
    <w:rsid w:val="00E9676A"/>
    <w:rsid w:val="00E97ADD"/>
    <w:rsid w:val="00EA0FC6"/>
    <w:rsid w:val="00EA20AC"/>
    <w:rsid w:val="00EA2359"/>
    <w:rsid w:val="00EB24C7"/>
    <w:rsid w:val="00EB3515"/>
    <w:rsid w:val="00EB3F7C"/>
    <w:rsid w:val="00EB5B5B"/>
    <w:rsid w:val="00EC7D59"/>
    <w:rsid w:val="00EE17B0"/>
    <w:rsid w:val="00EE216A"/>
    <w:rsid w:val="00EE5B7C"/>
    <w:rsid w:val="00EE679B"/>
    <w:rsid w:val="00EF3D03"/>
    <w:rsid w:val="00EF66D5"/>
    <w:rsid w:val="00EF6AB5"/>
    <w:rsid w:val="00F001B4"/>
    <w:rsid w:val="00F0276E"/>
    <w:rsid w:val="00F079B0"/>
    <w:rsid w:val="00F164D3"/>
    <w:rsid w:val="00F20315"/>
    <w:rsid w:val="00F212FC"/>
    <w:rsid w:val="00F23DC2"/>
    <w:rsid w:val="00F242B4"/>
    <w:rsid w:val="00F24765"/>
    <w:rsid w:val="00F254A1"/>
    <w:rsid w:val="00F2781C"/>
    <w:rsid w:val="00F27CCB"/>
    <w:rsid w:val="00F30393"/>
    <w:rsid w:val="00F30A5A"/>
    <w:rsid w:val="00F33B75"/>
    <w:rsid w:val="00F36493"/>
    <w:rsid w:val="00F37185"/>
    <w:rsid w:val="00F4040A"/>
    <w:rsid w:val="00F423F6"/>
    <w:rsid w:val="00F46520"/>
    <w:rsid w:val="00F519CB"/>
    <w:rsid w:val="00F52C77"/>
    <w:rsid w:val="00F5408F"/>
    <w:rsid w:val="00F54249"/>
    <w:rsid w:val="00F5500F"/>
    <w:rsid w:val="00F551CE"/>
    <w:rsid w:val="00F55CE4"/>
    <w:rsid w:val="00F5790E"/>
    <w:rsid w:val="00F60A7B"/>
    <w:rsid w:val="00F61E56"/>
    <w:rsid w:val="00F6521A"/>
    <w:rsid w:val="00F67C8F"/>
    <w:rsid w:val="00F700D2"/>
    <w:rsid w:val="00F724F4"/>
    <w:rsid w:val="00F753CD"/>
    <w:rsid w:val="00F76958"/>
    <w:rsid w:val="00F76F6F"/>
    <w:rsid w:val="00F840D3"/>
    <w:rsid w:val="00F86176"/>
    <w:rsid w:val="00F905E3"/>
    <w:rsid w:val="00F97B0F"/>
    <w:rsid w:val="00FA00AC"/>
    <w:rsid w:val="00FA0914"/>
    <w:rsid w:val="00FA665B"/>
    <w:rsid w:val="00FB52DF"/>
    <w:rsid w:val="00FB609D"/>
    <w:rsid w:val="00FC5A26"/>
    <w:rsid w:val="00FD1476"/>
    <w:rsid w:val="00FD20C4"/>
    <w:rsid w:val="00FD21B3"/>
    <w:rsid w:val="00FD4612"/>
    <w:rsid w:val="00FE0D27"/>
    <w:rsid w:val="00FE2260"/>
    <w:rsid w:val="00FF1F7B"/>
    <w:rsid w:val="00FF6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D0E0C"/>
  <w15:docId w15:val="{F426324D-24C0-4CB3-B657-190F88569AF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DejaVu Sans" w:hAnsi="Times New Roman" w:cs="Lohit Hindi"/>
        <w:lang w:val="es-ES" w:eastAsia="es-ES" w:bidi="es-ES"/>
      </w:rPr>
    </w:rPrDefault>
    <w:pPrDefault>
      <w:pPr>
        <w:autoSpaceDN w:val="0"/>
        <w:textAlignment w:val="baseline"/>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rsid w:val="00AD0D1F"/>
    <w:pPr>
      <w:spacing w:line="240" w:lineRule="exact"/>
    </w:pPr>
    <w:rPr>
      <w:rFonts w:ascii="Verdana" w:hAnsi="Verdana"/>
      <w:color w:val="000000"/>
      <w:sz w:val="18"/>
      <w:szCs w:val="18"/>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Salutation">
    <w:name w:val="Salutation"/>
    <w:basedOn w:val="Normal"/>
    <w:next w:val="Normal"/>
    <w:pPr>
      <w:spacing w:before="100" w:after="240"/>
    </w:pPr>
  </w:style>
  <w:style xmlns:w15="http://schemas.microsoft.com/office/word/2012/wordml" w:type="paragraph" w:customStyle="1" w:styleId="ACW85Documentgegevens">
    <w:name w:val="ACW 8.5 Documentgegevens"/>
    <w:basedOn w:val="Normal"/>
    <w:next w:val="Normal"/>
    <w:pPr>
      <w:spacing w:before="20"/>
    </w:pPr>
    <w:rPr>
      <w:sz w:val="17"/>
      <w:szCs w:val="17"/>
    </w:rPr>
  </w:style>
  <w:style xmlns:w15="http://schemas.microsoft.com/office/word/2012/wordml" w:type="paragraph" w:customStyle="1" w:styleId="ACWAanhef">
    <w:name w:val="ACW Aanhef"/>
    <w:basedOn w:val="Normal"/>
    <w:next w:val="Normal"/>
    <w:pPr>
      <w:spacing w:before="240" w:after="240" w:line="280" w:lineRule="exact"/>
    </w:pPr>
    <w:rPr>
      <w:sz w:val="17"/>
      <w:szCs w:val="17"/>
    </w:rPr>
  </w:style>
  <w:style xmlns:w15="http://schemas.microsoft.com/office/word/2012/wordml" w:type="paragraph" w:customStyle="1" w:styleId="ACWDocumentnaam">
    <w:name w:val="ACW Documentnaam"/>
    <w:basedOn w:val="Normal"/>
    <w:next w:val="Normal"/>
    <w:rPr>
      <w:sz w:val="25"/>
      <w:szCs w:val="25"/>
    </w:rPr>
  </w:style>
  <w:style xmlns:w15="http://schemas.microsoft.com/office/word/2012/wordml" w:type="paragraph" w:customStyle="1" w:styleId="ACWKopjesVerdana7">
    <w:name w:val="ACW Kopjes Verdana 7"/>
    <w:basedOn w:val="Normal"/>
    <w:next w:val="Normal"/>
    <w:pPr>
      <w:spacing w:before="60" w:line="220" w:lineRule="exact"/>
    </w:pPr>
    <w:rPr>
      <w:sz w:val="14"/>
      <w:szCs w:val="14"/>
    </w:rPr>
  </w:style>
  <w:style xmlns:w15="http://schemas.microsoft.com/office/word/2012/wordml" w:type="paragraph" w:customStyle="1" w:styleId="ACWOndertekening85">
    <w:name w:val="ACW Ondertekening 8.5"/>
    <w:basedOn w:val="Normal"/>
    <w:next w:val="Normal"/>
    <w:rPr>
      <w:sz w:val="17"/>
      <w:szCs w:val="17"/>
    </w:rPr>
  </w:style>
  <w:style xmlns:w15="http://schemas.microsoft.com/office/word/2012/wordml" w:type="paragraph" w:customStyle="1" w:styleId="ACWOndertekening85cursief">
    <w:name w:val="ACW Ondertekening 8.5 cursief"/>
    <w:basedOn w:val="Normal"/>
    <w:next w:val="Normal"/>
    <w:rPr>
      <w:i/>
      <w:sz w:val="17"/>
      <w:szCs w:val="17"/>
    </w:rPr>
  </w:style>
  <w:style xmlns:w15="http://schemas.microsoft.com/office/word/2012/wordml" w:type="paragraph" w:customStyle="1" w:styleId="ACWSlotzin">
    <w:name w:val="ACW Slotzin"/>
    <w:basedOn w:val="Normal"/>
    <w:next w:val="Normal"/>
    <w:pPr>
      <w:spacing w:before="240" w:line="280" w:lineRule="exact"/>
    </w:pPr>
    <w:rPr>
      <w:sz w:val="17"/>
      <w:szCs w:val="17"/>
    </w:rPr>
  </w:style>
  <w:style xmlns:w15="http://schemas.microsoft.com/office/word/2012/wordml" w:type="paragraph" w:customStyle="1" w:styleId="ACWStandaardVerdana85">
    <w:name w:val="ACW Standaard Verdana 8.5"/>
    <w:basedOn w:val="Normal"/>
    <w:next w:val="Normal"/>
    <w:pPr>
      <w:spacing w:line="280" w:lineRule="exact"/>
    </w:pPr>
    <w:rPr>
      <w:sz w:val="17"/>
      <w:szCs w:val="17"/>
    </w:rPr>
  </w:style>
  <w:style xmlns:w15="http://schemas.microsoft.com/office/word/2012/wordml" w:type="paragraph" w:customStyle="1" w:styleId="Afzendgegevens">
    <w:name w:val="Afzendgegevens"/>
    <w:basedOn w:val="Normal"/>
    <w:next w:val="Normal"/>
    <w:pPr>
      <w:tabs>
        <w:tab w:val="left" w:pos="2267"/>
      </w:tabs>
      <w:spacing w:line="180" w:lineRule="exact"/>
    </w:pPr>
    <w:rPr>
      <w:sz w:val="13"/>
      <w:szCs w:val="13"/>
    </w:rPr>
  </w:style>
  <w:style xmlns:w15="http://schemas.microsoft.com/office/word/2012/wordml"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xmlns:w15="http://schemas.microsoft.com/office/word/2012/wordml" w:type="paragraph" w:customStyle="1" w:styleId="Afzendgegevenskop">
    <w:name w:val="Afzendgegevens kop"/>
    <w:basedOn w:val="Normal"/>
    <w:next w:val="Normal"/>
    <w:pPr>
      <w:spacing w:line="180" w:lineRule="exact"/>
    </w:pPr>
    <w:rPr>
      <w:sz w:val="13"/>
      <w:szCs w:val="13"/>
    </w:rPr>
  </w:style>
  <w:style xmlns:w15="http://schemas.microsoft.com/office/word/2012/wordml" w:type="paragraph" w:customStyle="1" w:styleId="AfzendgegevensKop0">
    <w:name w:val="Afzendgegevens_Kop"/>
    <w:basedOn w:val="Afzendgegevens"/>
    <w:next w:val="Normal"/>
    <w:rPr>
      <w:b/>
    </w:rPr>
  </w:style>
  <w:style xmlns:w15="http://schemas.microsoft.com/office/word/2012/wordml" w:type="paragraph" w:customStyle="1" w:styleId="Algemenevoorwaarden">
    <w:name w:val="Algemene voorwaarden"/>
    <w:next w:val="Normal"/>
    <w:pPr>
      <w:spacing w:line="180" w:lineRule="exact"/>
    </w:pPr>
    <w:rPr>
      <w:rFonts w:ascii="Verdana" w:hAnsi="Verdana"/>
      <w:i/>
      <w:color w:val="000000"/>
      <w:sz w:val="13"/>
      <w:szCs w:val="13"/>
    </w:rPr>
  </w:style>
  <w:style xmlns:w15="http://schemas.microsoft.com/office/word/2012/wordml" w:type="paragraph" w:customStyle="1" w:styleId="ANVSeindblad1">
    <w:name w:val="ANVS eindblad 1"/>
    <w:basedOn w:val="Normal"/>
    <w:next w:val="Normal"/>
    <w:pPr>
      <w:spacing w:before="220"/>
    </w:pPr>
  </w:style>
  <w:style xmlns:w15="http://schemas.microsoft.com/office/word/2012/wordml" w:type="paragraph" w:customStyle="1" w:styleId="ANVSeindblad2">
    <w:name w:val="ANVS eindblad 2"/>
    <w:basedOn w:val="Normal"/>
    <w:next w:val="Normal"/>
    <w:pPr>
      <w:spacing w:before="250"/>
    </w:pPr>
  </w:style>
  <w:style xmlns:w15="http://schemas.microsoft.com/office/word/2012/wordml" w:type="paragraph" w:customStyle="1" w:styleId="ANVSeindblad3">
    <w:name w:val="ANVS eindblad 3"/>
    <w:basedOn w:val="Normal"/>
    <w:next w:val="Normal"/>
    <w:pPr>
      <w:spacing w:before="280"/>
    </w:pPr>
  </w:style>
  <w:style xmlns:w15="http://schemas.microsoft.com/office/word/2012/wordml" w:type="paragraph" w:customStyle="1" w:styleId="ANVSInhoudn36r15">
    <w:name w:val="ANVS Inhoud n36 r15"/>
    <w:basedOn w:val="Normal"/>
    <w:next w:val="Normal"/>
    <w:pPr>
      <w:spacing w:after="720" w:line="300" w:lineRule="exact"/>
    </w:pPr>
    <w:rPr>
      <w:sz w:val="24"/>
      <w:szCs w:val="24"/>
    </w:rPr>
  </w:style>
  <w:style xmlns:w15="http://schemas.microsoft.com/office/word/2012/wordml" w:type="paragraph" w:customStyle="1" w:styleId="ANVSInspectierapportstandaardna6">
    <w:name w:val="ANVS Inspectierapport standaard na 6"/>
    <w:basedOn w:val="Normal"/>
    <w:next w:val="Normal"/>
    <w:pPr>
      <w:spacing w:after="120"/>
    </w:pPr>
  </w:style>
  <w:style xmlns:w15="http://schemas.microsoft.com/office/word/2012/wordml" w:type="paragraph" w:customStyle="1" w:styleId="ANVSInspectierapportTitel">
    <w:name w:val="ANVS Inspectierapport Titel"/>
    <w:basedOn w:val="Normal"/>
    <w:next w:val="Normal"/>
    <w:pPr>
      <w:spacing w:before="60" w:after="320"/>
    </w:pPr>
    <w:rPr>
      <w:b/>
      <w:sz w:val="24"/>
      <w:szCs w:val="24"/>
    </w:rPr>
  </w:style>
  <w:style xmlns:w15="http://schemas.microsoft.com/office/word/2012/wordml" w:type="paragraph" w:customStyle="1" w:styleId="ANVSInspectierapporttussenruimte">
    <w:name w:val="ANVS Inspectierapport tussenruimte"/>
    <w:basedOn w:val="Normal"/>
    <w:next w:val="Normal"/>
    <w:pPr>
      <w:spacing w:after="840"/>
    </w:pPr>
  </w:style>
  <w:style xmlns:w15="http://schemas.microsoft.com/office/word/2012/wordml" w:type="paragraph" w:customStyle="1" w:styleId="ANVSstandaard15">
    <w:name w:val="ANVS standaard 1.5"/>
    <w:basedOn w:val="Normal"/>
    <w:next w:val="Normal"/>
    <w:pPr>
      <w:spacing w:line="320" w:lineRule="exact"/>
    </w:pPr>
  </w:style>
  <w:style xmlns:w15="http://schemas.microsoft.com/office/word/2012/wordml" w:type="paragraph" w:customStyle="1" w:styleId="ANVSStandaardVerdana8">
    <w:name w:val="ANVS Standaard Verdana 8"/>
    <w:basedOn w:val="Normal"/>
    <w:next w:val="Normal"/>
    <w:rPr>
      <w:sz w:val="16"/>
      <w:szCs w:val="16"/>
    </w:rPr>
  </w:style>
  <w:style xmlns:w15="http://schemas.microsoft.com/office/word/2012/wordml" w:type="paragraph" w:customStyle="1" w:styleId="ANVSV12R12">
    <w:name w:val="ANVS V12 R12"/>
    <w:basedOn w:val="Normal"/>
    <w:next w:val="Normal"/>
    <w:rPr>
      <w:sz w:val="24"/>
      <w:szCs w:val="24"/>
    </w:rPr>
  </w:style>
  <w:style xmlns:w15="http://schemas.microsoft.com/office/word/2012/wordml" w:type="paragraph" w:customStyle="1" w:styleId="ANVSV9v0n6r12bold">
    <w:name w:val="ANVS V9 v0 n6 r12 bold"/>
    <w:basedOn w:val="Normal"/>
    <w:next w:val="Normal"/>
    <w:pPr>
      <w:spacing w:after="120"/>
    </w:pPr>
    <w:rPr>
      <w:b/>
    </w:rPr>
  </w:style>
  <w:style xmlns:w15="http://schemas.microsoft.com/office/word/2012/wordml" w:type="paragraph" w:customStyle="1" w:styleId="DPopsomming">
    <w:name w:val="DP opsomming"/>
    <w:basedOn w:val="Normal"/>
    <w:next w:val="Normal"/>
  </w:style>
  <w:style xmlns:w15="http://schemas.microsoft.com/office/word/2012/wordml" w:type="paragraph" w:customStyle="1" w:styleId="DPstandaardopsomming">
    <w:name w:val="DP standaard opsomming"/>
    <w:basedOn w:val="Normal"/>
    <w:next w:val="Normal"/>
    <w:pPr>
      <w:numPr>
        <w:numId w:val="1"/>
      </w:numPr>
    </w:pPr>
  </w:style>
  <w:style xmlns:w15="http://schemas.microsoft.com/office/word/2012/wordml" w:type="paragraph" w:customStyle="1" w:styleId="DPstandaardopsomming2">
    <w:name w:val="DP standaard opsomming 2"/>
    <w:basedOn w:val="Normal"/>
    <w:next w:val="Normal"/>
    <w:pPr>
      <w:numPr>
        <w:ilvl w:val="1"/>
        <w:numId w:val="1"/>
      </w:numPr>
    </w:pPr>
  </w:style>
  <w:style xmlns:w15="http://schemas.microsoft.com/office/word/2012/wordml" w:type="table" w:customStyle="1" w:styleId="DPTabel">
    <w:name w:val="DP Tabel"/>
    <w:rPr>
      <w:rFonts w:ascii="Verdana" w:hAnsi="Verdana"/>
      <w:color w:val="000000"/>
      <w:sz w:val="18"/>
      <w:szCs w:val="18"/>
      <w:lang w:val="es-ES" w:eastAsia="es-E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xmlns:w15="http://schemas.microsoft.com/office/word/2012/wordml"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xmlns:w15="http://schemas.microsoft.com/office/word/2012/wordml" w:type="paragraph" w:customStyle="1" w:styleId="HBJZ-AandeKoning">
    <w:name w:val="HBJZ - Aan de Koning"/>
    <w:basedOn w:val="Normal"/>
    <w:next w:val="Normal"/>
    <w:pPr>
      <w:spacing w:line="320" w:lineRule="exact"/>
    </w:pPr>
    <w:rPr>
      <w:b/>
      <w:sz w:val="32"/>
      <w:szCs w:val="32"/>
    </w:rPr>
  </w:style>
  <w:style xmlns:w15="http://schemas.microsoft.com/office/word/2012/wordml" w:type="paragraph" w:customStyle="1" w:styleId="HBJZ-BegeleidendMemon10">
    <w:name w:val="HBJZ - Begeleidend Memo n10"/>
    <w:basedOn w:val="Normal"/>
    <w:next w:val="Normal"/>
    <w:pPr>
      <w:spacing w:after="200" w:line="276" w:lineRule="exact"/>
    </w:pPr>
  </w:style>
  <w:style xmlns:w15="http://schemas.microsoft.com/office/word/2012/wordml" w:type="paragraph" w:customStyle="1" w:styleId="HBJZ-BegeleidendMemoWitruimte1">
    <w:name w:val="HBJZ - Begeleidend Memo Witruimte 1"/>
    <w:basedOn w:val="Normal"/>
    <w:next w:val="Normal"/>
    <w:pPr>
      <w:spacing w:line="932" w:lineRule="exact"/>
    </w:pPr>
  </w:style>
  <w:style xmlns:w15="http://schemas.microsoft.com/office/word/2012/wordml" w:type="paragraph" w:customStyle="1" w:styleId="HBJZ-Kamerstukken-Kamerstuk">
    <w:name w:val="HBJZ - Kamerstukken - Kamerstuk"/>
    <w:basedOn w:val="Normal"/>
    <w:next w:val="Normal"/>
    <w:pPr>
      <w:spacing w:after="780" w:line="276" w:lineRule="exact"/>
    </w:pPr>
    <w:rPr>
      <w:b/>
    </w:rPr>
  </w:style>
  <w:style xmlns:w15="http://schemas.microsoft.com/office/word/2012/wordml" w:type="paragraph" w:customStyle="1" w:styleId="HBJZ-Kamerstukken-na39ra138">
    <w:name w:val="HBJZ - Kamerstukken - na 39 ra 13.8"/>
    <w:basedOn w:val="Normal"/>
    <w:next w:val="Normal"/>
    <w:pPr>
      <w:spacing w:after="780" w:line="276" w:lineRule="exact"/>
    </w:pPr>
  </w:style>
  <w:style xmlns:w15="http://schemas.microsoft.com/office/word/2012/wordml" w:type="paragraph" w:customStyle="1" w:styleId="HBJZ-Kamerstukken-regelafstand138">
    <w:name w:val="HBJZ - Kamerstukken - regelafstand 13.8"/>
    <w:basedOn w:val="Normal"/>
    <w:next w:val="Normal"/>
    <w:pPr>
      <w:spacing w:line="276" w:lineRule="exact"/>
    </w:pPr>
  </w:style>
  <w:style xmlns:w15="http://schemas.microsoft.com/office/word/2012/wordml" w:type="paragraph" w:customStyle="1" w:styleId="HBJZ-NahangbriefaanParlement">
    <w:name w:val="HBJZ - Nahang (brief aan Parlement)"/>
    <w:basedOn w:val="Normal"/>
    <w:next w:val="Normal"/>
    <w:pPr>
      <w:spacing w:before="100" w:after="240"/>
    </w:pPr>
  </w:style>
  <w:style xmlns:w15="http://schemas.microsoft.com/office/word/2012/wordml" w:type="paragraph" w:customStyle="1" w:styleId="HBJZ-Voordrachtv12n0r12">
    <w:name w:val="HBJZ - Voordracht v12 n0 r12"/>
    <w:basedOn w:val="Normal"/>
    <w:next w:val="Normal"/>
    <w:pPr>
      <w:spacing w:before="240"/>
    </w:pPr>
  </w:style>
  <w:style xmlns:w15="http://schemas.microsoft.com/office/word/2012/wordml"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xmlns:w15="http://schemas.microsoft.com/office/word/2012/wordml" w:type="paragraph" w:customStyle="1" w:styleId="Huisstijl-BijlageA">
    <w:name w:val="Huisstijl - Bijlage A"/>
    <w:basedOn w:val="Normal"/>
    <w:next w:val="Normal"/>
  </w:style>
  <w:style xmlns:w15="http://schemas.microsoft.com/office/word/2012/wordml"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xmlns:w15="http://schemas.microsoft.com/office/word/2012/wordml" w:type="paragraph" w:customStyle="1" w:styleId="Huisstijl-Bijschrift">
    <w:name w:val="Huisstijl - Bijschrift"/>
    <w:basedOn w:val="Normal"/>
    <w:next w:val="Normal"/>
    <w:pPr>
      <w:spacing w:after="720" w:line="300" w:lineRule="exact"/>
    </w:pPr>
    <w:rPr>
      <w:sz w:val="14"/>
      <w:szCs w:val="14"/>
    </w:rPr>
  </w:style>
  <w:style xmlns:w15="http://schemas.microsoft.com/office/word/2012/wordml"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xmlns:w15="http://schemas.microsoft.com/office/word/2012/wordml" w:type="paragraph" w:customStyle="1" w:styleId="Huisstijl-Extrasubtitel">
    <w:name w:val="Huisstijl - Extra subtitel"/>
    <w:basedOn w:val="Normal"/>
    <w:next w:val="Normal"/>
    <w:pPr>
      <w:spacing w:before="60" w:after="300"/>
    </w:pPr>
    <w:rPr>
      <w:sz w:val="20"/>
      <w:szCs w:val="20"/>
    </w:rPr>
  </w:style>
  <w:style xmlns:w15="http://schemas.microsoft.com/office/word/2012/wordml" w:type="paragraph" w:customStyle="1" w:styleId="Huisstijl-Kader">
    <w:name w:val="Huisstijl - Kader"/>
    <w:basedOn w:val="Normal"/>
    <w:next w:val="Normal"/>
  </w:style>
  <w:style xmlns:w15="http://schemas.microsoft.com/office/word/2012/wordml" w:type="paragraph" w:customStyle="1" w:styleId="Huisstijl-KaderTussenkop">
    <w:name w:val="Huisstijl - Kader Tussenkop"/>
    <w:basedOn w:val="Normal"/>
    <w:next w:val="Normal"/>
    <w:rPr>
      <w:i/>
    </w:rPr>
  </w:style>
  <w:style xmlns:w15="http://schemas.microsoft.com/office/word/2012/wordml"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xmlns:w15="http://schemas.microsoft.com/office/word/2012/wordml" w:type="paragraph" w:customStyle="1" w:styleId="Huisstijl-Kop2">
    <w:name w:val="Huisstijl - Kop 2"/>
    <w:basedOn w:val="Normal"/>
    <w:next w:val="Normal"/>
    <w:pPr>
      <w:numPr>
        <w:ilvl w:val="1"/>
        <w:numId w:val="3"/>
      </w:numPr>
      <w:tabs>
        <w:tab w:val="left" w:pos="0"/>
      </w:tabs>
      <w:spacing w:before="240"/>
      <w:ind w:left="-1120"/>
    </w:pPr>
    <w:rPr>
      <w:b/>
    </w:rPr>
  </w:style>
  <w:style xmlns:w15="http://schemas.microsoft.com/office/word/2012/wordml" w:type="paragraph" w:customStyle="1" w:styleId="Huisstijl-Kop3">
    <w:name w:val="Huisstijl - Kop 3"/>
    <w:basedOn w:val="Normal"/>
    <w:next w:val="Normal"/>
    <w:pPr>
      <w:numPr>
        <w:ilvl w:val="2"/>
        <w:numId w:val="3"/>
      </w:numPr>
      <w:tabs>
        <w:tab w:val="left" w:pos="0"/>
      </w:tabs>
      <w:spacing w:before="240"/>
      <w:ind w:left="-1120"/>
    </w:pPr>
    <w:rPr>
      <w:i/>
    </w:rPr>
  </w:style>
  <w:style xmlns:w15="http://schemas.microsoft.com/office/word/2012/wordml" w:type="paragraph" w:customStyle="1" w:styleId="Huisstijl-Kop4">
    <w:name w:val="Huisstijl - Kop 4"/>
    <w:basedOn w:val="Normal"/>
    <w:next w:val="Normal"/>
    <w:pPr>
      <w:numPr>
        <w:ilvl w:val="3"/>
        <w:numId w:val="3"/>
      </w:numPr>
      <w:tabs>
        <w:tab w:val="left" w:pos="0"/>
      </w:tabs>
      <w:spacing w:before="240"/>
      <w:ind w:left="-1120"/>
    </w:pPr>
  </w:style>
  <w:style xmlns:w15="http://schemas.microsoft.com/office/word/2012/wordml"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xmlns:w15="http://schemas.microsoft.com/office/word/2012/wordml" w:type="paragraph" w:customStyle="1" w:styleId="Huisstijl-Kopznr2">
    <w:name w:val="Huisstijl - Kop z.nr 2"/>
    <w:basedOn w:val="Normal"/>
    <w:next w:val="Normal"/>
    <w:pPr>
      <w:numPr>
        <w:ilvl w:val="1"/>
        <w:numId w:val="4"/>
      </w:numPr>
      <w:tabs>
        <w:tab w:val="left" w:pos="0"/>
      </w:tabs>
      <w:spacing w:before="240"/>
      <w:ind w:left="-1120"/>
    </w:pPr>
    <w:rPr>
      <w:b/>
    </w:rPr>
  </w:style>
  <w:style xmlns:w15="http://schemas.microsoft.com/office/word/2012/wordml" w:type="paragraph" w:customStyle="1" w:styleId="Huisstijl-Kopznr3">
    <w:name w:val="Huisstijl - Kop z.nr 3"/>
    <w:basedOn w:val="Normal"/>
    <w:next w:val="Normal"/>
    <w:pPr>
      <w:numPr>
        <w:ilvl w:val="2"/>
        <w:numId w:val="4"/>
      </w:numPr>
      <w:tabs>
        <w:tab w:val="left" w:pos="0"/>
      </w:tabs>
      <w:spacing w:before="240"/>
      <w:ind w:left="-1120"/>
    </w:pPr>
    <w:rPr>
      <w:i/>
    </w:rPr>
  </w:style>
  <w:style xmlns:w15="http://schemas.microsoft.com/office/word/2012/wordml" w:type="paragraph" w:customStyle="1" w:styleId="Huisstijl-Kopznr4">
    <w:name w:val="Huisstijl - Kop z.nr 4"/>
    <w:basedOn w:val="Normal"/>
    <w:next w:val="Normal"/>
    <w:pPr>
      <w:numPr>
        <w:ilvl w:val="3"/>
        <w:numId w:val="4"/>
      </w:numPr>
      <w:tabs>
        <w:tab w:val="left" w:pos="0"/>
      </w:tabs>
      <w:spacing w:before="240"/>
      <w:ind w:left="-1120"/>
    </w:pPr>
  </w:style>
  <w:style xmlns:w15="http://schemas.microsoft.com/office/word/2012/wordml" w:type="paragraph" w:customStyle="1" w:styleId="Huisstijl-Opsommingzinspringing">
    <w:name w:val="Huisstijl - Opsomming z.inspringing"/>
    <w:basedOn w:val="Normal"/>
    <w:next w:val="Normal"/>
  </w:style>
  <w:style xmlns:w15="http://schemas.microsoft.com/office/word/2012/wordml" w:type="paragraph" w:customStyle="1" w:styleId="Huisstijl-Subtitel">
    <w:name w:val="Huisstijl - Subtitel"/>
    <w:basedOn w:val="Normal"/>
    <w:next w:val="Normal"/>
    <w:pPr>
      <w:spacing w:before="240" w:after="360"/>
    </w:pPr>
    <w:rPr>
      <w:sz w:val="20"/>
      <w:szCs w:val="20"/>
    </w:rPr>
  </w:style>
  <w:style xmlns:w15="http://schemas.microsoft.com/office/word/2012/wordml" w:type="paragraph" w:customStyle="1" w:styleId="Huisstijl-Tabeltekst">
    <w:name w:val="Huisstijl - Tabeltekst"/>
    <w:basedOn w:val="Normal"/>
    <w:next w:val="Normal"/>
    <w:pPr>
      <w:spacing w:line="200" w:lineRule="exact"/>
    </w:pPr>
    <w:rPr>
      <w:sz w:val="16"/>
      <w:szCs w:val="16"/>
    </w:rPr>
  </w:style>
  <w:style xmlns:w15="http://schemas.microsoft.com/office/word/2012/wordml" w:type="paragraph" w:customStyle="1" w:styleId="Huisstijl-TitelDocumentnaam">
    <w:name w:val="Huisstijl - Titel/Documentnaam"/>
    <w:basedOn w:val="Normal"/>
    <w:next w:val="Normal"/>
    <w:pPr>
      <w:spacing w:before="60" w:after="320"/>
    </w:pPr>
    <w:rPr>
      <w:b/>
      <w:sz w:val="24"/>
      <w:szCs w:val="24"/>
    </w:rPr>
  </w:style>
  <w:style xmlns:w15="http://schemas.microsoft.com/office/word/2012/wordml" w:type="paragraph" w:customStyle="1" w:styleId="Huisstijl-Tussenkop">
    <w:name w:val="Huisstijl - Tussenkop"/>
    <w:basedOn w:val="Normal"/>
    <w:next w:val="Normal"/>
    <w:rPr>
      <w:i/>
    </w:rPr>
  </w:style>
  <w:style xmlns:w15="http://schemas.microsoft.com/office/word/2012/wordml" w:type="paragraph" w:customStyle="1" w:styleId="Huisstijl-Versie">
    <w:name w:val="Huisstijl - Versie"/>
    <w:basedOn w:val="Normal"/>
    <w:next w:val="Normal"/>
    <w:pPr>
      <w:spacing w:before="60" w:after="360"/>
    </w:pPr>
  </w:style>
  <w:style xmlns:w15="http://schemas.microsoft.com/office/word/2012/wordml" w:type="paragraph" w:customStyle="1" w:styleId="Huisstijlnummeringmetnummer">
    <w:name w:val="Huisstijl nummering met nummer"/>
    <w:basedOn w:val="Normal"/>
    <w:next w:val="Normal"/>
  </w:style>
  <w:style xmlns:w15="http://schemas.microsoft.com/office/word/2012/wordml" w:type="paragraph" w:customStyle="1" w:styleId="Huisstijlnummeringzondernummer">
    <w:name w:val="Huisstijl nummering zonder nummer"/>
    <w:basedOn w:val="Normal"/>
    <w:next w:val="Normal"/>
    <w:pPr>
      <w:spacing w:before="100" w:after="240"/>
    </w:pPr>
  </w:style>
  <w:style xmlns:w15="http://schemas.microsoft.com/office/word/2012/wordml" w:type="paragraph" w:customStyle="1" w:styleId="Huisstijlopsommingcolofoneninleiding">
    <w:name w:val="Huisstijl opsomming colofon en inleiding"/>
    <w:basedOn w:val="Normal"/>
    <w:next w:val="Normal"/>
  </w:style>
  <w:style xmlns:w15="http://schemas.microsoft.com/office/word/2012/wordml" w:type="paragraph" w:customStyle="1" w:styleId="ILT-50standaardmetwitruimte">
    <w:name w:val="ILT - 50 standaard met witruimte"/>
    <w:basedOn w:val="Normal"/>
    <w:next w:val="Normal"/>
    <w:pPr>
      <w:spacing w:after="20" w:line="260" w:lineRule="exact"/>
    </w:pPr>
  </w:style>
  <w:style xmlns:w15="http://schemas.microsoft.com/office/word/2012/wordml" w:type="paragraph" w:customStyle="1" w:styleId="ILT102">
    <w:name w:val="ILT 102"/>
    <w:basedOn w:val="Normal"/>
    <w:next w:val="Normal"/>
    <w:pPr>
      <w:spacing w:before="20" w:after="80" w:line="280" w:lineRule="exact"/>
    </w:pPr>
  </w:style>
  <w:style xmlns:w15="http://schemas.microsoft.com/office/word/2012/wordml" w:type="paragraph" w:customStyle="1" w:styleId="ILT103DwangbevelKop">
    <w:name w:val="ILT 103 Dwangbevel Kop"/>
    <w:basedOn w:val="Normal"/>
    <w:next w:val="Normal"/>
    <w:pPr>
      <w:spacing w:line="360" w:lineRule="exact"/>
    </w:pPr>
    <w:rPr>
      <w:sz w:val="36"/>
      <w:szCs w:val="36"/>
    </w:rPr>
  </w:style>
  <w:style xmlns:w15="http://schemas.microsoft.com/office/word/2012/wordml" w:type="paragraph" w:customStyle="1" w:styleId="ILTBoeterapportondertekening">
    <w:name w:val="ILT Boeterapport ondertekening"/>
    <w:basedOn w:val="Normal"/>
    <w:next w:val="Normal"/>
    <w:pPr>
      <w:spacing w:before="960"/>
    </w:pPr>
  </w:style>
  <w:style xmlns:w15="http://schemas.microsoft.com/office/word/2012/wordml" w:type="paragraph" w:customStyle="1" w:styleId="ILTOpsomming">
    <w:name w:val="ILT Opsomming"/>
    <w:basedOn w:val="Normal"/>
    <w:next w:val="Normal"/>
    <w:pPr>
      <w:numPr>
        <w:numId w:val="6"/>
      </w:numPr>
    </w:pPr>
  </w:style>
  <w:style xmlns:w15="http://schemas.microsoft.com/office/word/2012/wordml" w:type="paragraph" w:customStyle="1" w:styleId="ILTOpsomming15">
    <w:name w:val="ILT Opsomming 1.5"/>
    <w:basedOn w:val="Normal"/>
    <w:next w:val="Normal"/>
    <w:pPr>
      <w:numPr>
        <w:ilvl w:val="1"/>
        <w:numId w:val="6"/>
      </w:numPr>
      <w:spacing w:line="300" w:lineRule="exact"/>
    </w:pPr>
  </w:style>
  <w:style xmlns:w15="http://schemas.microsoft.com/office/word/2012/wordml" w:type="paragraph" w:customStyle="1" w:styleId="ILTOpsommingbullet">
    <w:name w:val="ILT Opsomming bullet"/>
    <w:basedOn w:val="Normal"/>
    <w:next w:val="Normal"/>
    <w:pPr>
      <w:numPr>
        <w:ilvl w:val="2"/>
        <w:numId w:val="6"/>
      </w:numPr>
      <w:spacing w:line="300" w:lineRule="exact"/>
    </w:pPr>
  </w:style>
  <w:style xmlns:w15="http://schemas.microsoft.com/office/word/2012/wordml" w:type="paragraph" w:customStyle="1" w:styleId="ILTOpsomminglijst">
    <w:name w:val="ILT Opsomming lijst"/>
    <w:basedOn w:val="Normal"/>
    <w:next w:val="Normal"/>
    <w:pPr>
      <w:spacing w:before="20" w:after="80" w:line="300" w:lineRule="exact"/>
    </w:pPr>
  </w:style>
  <w:style xmlns:w15="http://schemas.microsoft.com/office/word/2012/wordml" w:type="paragraph" w:customStyle="1" w:styleId="ILTRapport-je">
    <w:name w:val="ILT Rapport - je"/>
    <w:basedOn w:val="Normal"/>
    <w:next w:val="Normal"/>
    <w:pPr>
      <w:numPr>
        <w:ilvl w:val="1"/>
        <w:numId w:val="7"/>
      </w:numPr>
      <w:spacing w:after="120"/>
    </w:pPr>
  </w:style>
  <w:style xmlns:w15="http://schemas.microsoft.com/office/word/2012/wordml" w:type="paragraph" w:customStyle="1" w:styleId="ILTRapport16a">
    <w:name w:val="ILT Rapport 16a"/>
    <w:basedOn w:val="Normal"/>
    <w:next w:val="Normal"/>
    <w:pPr>
      <w:spacing w:before="60" w:after="60"/>
    </w:pPr>
  </w:style>
  <w:style xmlns:w15="http://schemas.microsoft.com/office/word/2012/wordml" w:type="paragraph" w:customStyle="1" w:styleId="ILTRapport16aIV9V12N0">
    <w:name w:val="ILT Rapport 16a I V9 V12 N0"/>
    <w:basedOn w:val="Normal"/>
    <w:next w:val="Normal"/>
    <w:pPr>
      <w:spacing w:before="240"/>
    </w:pPr>
    <w:rPr>
      <w:i/>
    </w:rPr>
  </w:style>
  <w:style xmlns:w15="http://schemas.microsoft.com/office/word/2012/wordml" w:type="paragraph" w:customStyle="1" w:styleId="ILTRapport16aKopV12V0n18">
    <w:name w:val="ILT Rapport 16a Kop V12 V0 n18"/>
    <w:basedOn w:val="Normal"/>
    <w:next w:val="Normal"/>
    <w:pPr>
      <w:spacing w:after="360" w:line="300" w:lineRule="exact"/>
    </w:pPr>
    <w:rPr>
      <w:sz w:val="24"/>
      <w:szCs w:val="24"/>
    </w:rPr>
  </w:style>
  <w:style xmlns:w15="http://schemas.microsoft.com/office/word/2012/wordml" w:type="paragraph" w:customStyle="1" w:styleId="ILTRapport16anummering">
    <w:name w:val="ILT Rapport 16a nummering"/>
    <w:basedOn w:val="Normal"/>
    <w:next w:val="Normal"/>
    <w:pPr>
      <w:spacing w:after="120"/>
    </w:pPr>
  </w:style>
  <w:style xmlns:w15="http://schemas.microsoft.com/office/word/2012/wordml" w:type="paragraph" w:customStyle="1" w:styleId="ILTRapport16aStandaard">
    <w:name w:val="ILT Rapport 16a Standaard"/>
    <w:basedOn w:val="Normal"/>
    <w:next w:val="Normal"/>
    <w:pPr>
      <w:spacing w:after="120"/>
    </w:pPr>
  </w:style>
  <w:style xmlns:w15="http://schemas.microsoft.com/office/word/2012/wordml"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xmlns:w15="http://schemas.microsoft.com/office/word/2012/wordml" w:type="table" w:customStyle="1" w:styleId="ILTRapport16aTabelstijl">
    <w:name w:val="ILT Rapport 16a Tabelstijl"/>
    <w:rPr>
      <w:sz w:val="16"/>
      <w:szCs w:val="16"/>
    </w:rPr>
    <w:tblPr>
      <w:tblCellMar>
        <w:top w:w="20" w:type="dxa"/>
        <w:left w:w="0" w:type="dxa"/>
        <w:bottom w:w="20" w:type="dxa"/>
        <w:right w:w="0" w:type="dxa"/>
      </w:tblCellMar>
    </w:tblPr>
  </w:style>
  <w:style xmlns:w15="http://schemas.microsoft.com/office/word/2012/wordml" w:type="paragraph" w:customStyle="1" w:styleId="ILTRapport16aV103v15n">
    <w:name w:val="ILT Rapport 16a V10 3v 15n"/>
    <w:basedOn w:val="Normal"/>
    <w:next w:val="Normal"/>
    <w:pPr>
      <w:spacing w:before="60" w:after="300"/>
    </w:pPr>
    <w:rPr>
      <w:sz w:val="20"/>
      <w:szCs w:val="20"/>
    </w:rPr>
  </w:style>
  <w:style xmlns:w15="http://schemas.microsoft.com/office/word/2012/wordml" w:type="paragraph" w:customStyle="1" w:styleId="ILTRapport16aV9V12n0">
    <w:name w:val="ILT Rapport 16a V9 V12 n0"/>
    <w:basedOn w:val="Normal"/>
    <w:next w:val="Normal"/>
    <w:pPr>
      <w:spacing w:before="240"/>
    </w:pPr>
    <w:rPr>
      <w:b/>
    </w:rPr>
  </w:style>
  <w:style xmlns:w15="http://schemas.microsoft.com/office/word/2012/wordml" w:type="paragraph" w:customStyle="1" w:styleId="ILTRapportnummerniv1">
    <w:name w:val="ILT Rapport nummer niv 1"/>
    <w:basedOn w:val="Normal"/>
    <w:next w:val="Normal"/>
    <w:pPr>
      <w:numPr>
        <w:numId w:val="7"/>
      </w:numPr>
      <w:spacing w:after="720" w:line="300" w:lineRule="exact"/>
    </w:pPr>
    <w:rPr>
      <w:sz w:val="24"/>
      <w:szCs w:val="24"/>
    </w:rPr>
  </w:style>
  <w:style xmlns:w15="http://schemas.microsoft.com/office/word/2012/wordml" w:type="paragraph" w:customStyle="1" w:styleId="ILTRapportTitelV12B3v16n">
    <w:name w:val="ILT Rapport Titel V12 B 3v 16n"/>
    <w:basedOn w:val="Normal"/>
    <w:next w:val="Normal"/>
    <w:pPr>
      <w:spacing w:before="60" w:after="320"/>
    </w:pPr>
    <w:rPr>
      <w:b/>
      <w:sz w:val="24"/>
      <w:szCs w:val="24"/>
    </w:rPr>
  </w:style>
  <w:style xmlns:w15="http://schemas.microsoft.com/office/word/2012/wordml" w:type="paragraph" w:customStyle="1" w:styleId="ILTStandaard6voor">
    <w:name w:val="ILT Standaard 6 voor"/>
    <w:basedOn w:val="Normal"/>
    <w:next w:val="Normal"/>
    <w:pPr>
      <w:spacing w:before="120"/>
    </w:pPr>
  </w:style>
  <w:style xmlns:w15="http://schemas.microsoft.com/office/word/2012/wordml" w:type="paragraph" w:customStyle="1" w:styleId="ILTStandaardVerdana9Regel15">
    <w:name w:val="ILT Standaard Verdana 9 Regel 1.5"/>
    <w:basedOn w:val="Normal"/>
    <w:next w:val="Normal"/>
    <w:pPr>
      <w:spacing w:before="20" w:after="80" w:line="300" w:lineRule="exact"/>
    </w:pPr>
  </w:style>
  <w:style xmlns:w15="http://schemas.microsoft.com/office/word/2012/wordml" w:type="paragraph" w:customStyle="1" w:styleId="ILTStandaardVerdana9Regel15cursief">
    <w:name w:val="ILT Standaard Verdana 9 Regel 1.5 cursief"/>
    <w:basedOn w:val="Normal"/>
    <w:next w:val="Normal"/>
    <w:pPr>
      <w:spacing w:before="20" w:after="80" w:line="300" w:lineRule="exact"/>
    </w:pPr>
    <w:rPr>
      <w:i/>
    </w:rPr>
  </w:style>
  <w:style xmlns:w15="http://schemas.microsoft.com/office/word/2012/wordml" w:type="paragraph" w:customStyle="1" w:styleId="ILTStandaardVerdana9Regel15vet">
    <w:name w:val="ILT Standaard Verdana 9 Regel 1.5 vet"/>
    <w:basedOn w:val="ILTStandaardVerdana9Regel15"/>
    <w:next w:val="Normal"/>
    <w:rPr>
      <w:b/>
    </w:rPr>
  </w:style>
  <w:style xmlns:w15="http://schemas.microsoft.com/office/word/2012/wordml" w:type="paragraph" w:styleId="TOC1">
    <w:name w:val="toc 1"/>
    <w:basedOn w:val="Normal"/>
    <w:next w:val="Normal"/>
    <w:pPr>
      <w:tabs>
        <w:tab w:val="left" w:pos="0"/>
      </w:tabs>
      <w:spacing w:before="240"/>
      <w:ind w:left="-1120"/>
    </w:pPr>
    <w:rPr>
      <w:b/>
    </w:rPr>
  </w:style>
  <w:style xmlns:w15="http://schemas.microsoft.com/office/word/2012/wordml" w:type="paragraph" w:styleId="TOC2">
    <w:name w:val="toc 2"/>
    <w:basedOn w:val="TOC1"/>
    <w:next w:val="Normal"/>
    <w:pPr>
      <w:spacing w:before="0"/>
    </w:pPr>
    <w:rPr>
      <w:b w:val="0"/>
    </w:rPr>
  </w:style>
  <w:style xmlns:w15="http://schemas.microsoft.com/office/word/2012/wordml" w:type="paragraph" w:styleId="TOC3">
    <w:name w:val="toc 3"/>
    <w:basedOn w:val="TOC2"/>
    <w:next w:val="Normal"/>
  </w:style>
  <w:style xmlns:w15="http://schemas.microsoft.com/office/word/2012/wordml" w:type="paragraph" w:styleId="TOC4">
    <w:name w:val="toc 4"/>
    <w:basedOn w:val="TOC3"/>
    <w:next w:val="Normal"/>
  </w:style>
  <w:style xmlns:w15="http://schemas.microsoft.com/office/word/2012/wordml" w:type="paragraph" w:styleId="TOC5">
    <w:name w:val="toc 5"/>
    <w:basedOn w:val="TOC4"/>
    <w:next w:val="Normal"/>
    <w:pPr>
      <w:ind w:left="-1133"/>
    </w:pPr>
    <w:rPr>
      <w:sz w:val="20"/>
      <w:szCs w:val="20"/>
    </w:rPr>
  </w:style>
  <w:style xmlns:w15="http://schemas.microsoft.com/office/word/2012/wordml" w:type="paragraph" w:styleId="TOC6">
    <w:name w:val="toc 6"/>
    <w:basedOn w:val="TOC5"/>
    <w:next w:val="Normal"/>
  </w:style>
  <w:style xmlns:w15="http://schemas.microsoft.com/office/word/2012/wordml" w:type="paragraph" w:styleId="TOC7">
    <w:name w:val="toc 7"/>
    <w:basedOn w:val="TOC6"/>
    <w:next w:val="Normal"/>
  </w:style>
  <w:style xmlns:w15="http://schemas.microsoft.com/office/word/2012/wordml" w:type="paragraph" w:styleId="TOC8">
    <w:name w:val="toc 8"/>
    <w:basedOn w:val="TOC7"/>
    <w:next w:val="Normal"/>
  </w:style>
  <w:style xmlns:w15="http://schemas.microsoft.com/office/word/2012/wordml" w:type="paragraph" w:styleId="TOC9">
    <w:name w:val="toc 9"/>
    <w:basedOn w:val="TOC8"/>
    <w:next w:val="Normal"/>
  </w:style>
  <w:style xmlns:w15="http://schemas.microsoft.com/office/word/2012/wordml" w:type="paragraph" w:customStyle="1" w:styleId="Merking">
    <w:name w:val="Merking"/>
    <w:basedOn w:val="Normal"/>
    <w:next w:val="Normal"/>
    <w:rPr>
      <w:b/>
      <w:caps/>
      <w:sz w:val="13"/>
      <w:szCs w:val="13"/>
      <w:u w:val="single"/>
    </w:rPr>
  </w:style>
  <w:style xmlns:w15="http://schemas.microsoft.com/office/word/2012/wordml" w:type="paragraph" w:customStyle="1" w:styleId="NEaAanhef">
    <w:name w:val="NEa Aanhef"/>
    <w:basedOn w:val="NEaStandaard"/>
    <w:pPr>
      <w:spacing w:after="240"/>
    </w:pPr>
  </w:style>
  <w:style xmlns:w15="http://schemas.microsoft.com/office/word/2012/wordml" w:type="paragraph" w:customStyle="1" w:styleId="NEaAfzendgegevens">
    <w:name w:val="NEa Afzendgegevens"/>
    <w:basedOn w:val="NEaStandaard"/>
    <w:pPr>
      <w:spacing w:line="248" w:lineRule="exact"/>
      <w:jc w:val="right"/>
    </w:pPr>
    <w:rPr>
      <w:sz w:val="13"/>
      <w:szCs w:val="13"/>
    </w:rPr>
  </w:style>
  <w:style xmlns:w15="http://schemas.microsoft.com/office/word/2012/wordml" w:type="paragraph" w:customStyle="1" w:styleId="NEaAfzendgegevensVet">
    <w:name w:val="NEa Afzendgegevens Vet"/>
    <w:basedOn w:val="NEaStandaard"/>
    <w:pPr>
      <w:spacing w:line="248" w:lineRule="exact"/>
      <w:jc w:val="right"/>
    </w:pPr>
    <w:rPr>
      <w:b/>
      <w:sz w:val="13"/>
      <w:szCs w:val="13"/>
    </w:rPr>
  </w:style>
  <w:style xmlns:w15="http://schemas.microsoft.com/office/word/2012/wordml" w:type="paragraph" w:customStyle="1" w:styleId="NEaDocumentnaam">
    <w:name w:val="NEa Documentnaam"/>
    <w:pPr>
      <w:spacing w:line="1066" w:lineRule="exact"/>
      <w:jc w:val="right"/>
    </w:pPr>
    <w:rPr>
      <w:rFonts w:ascii="Verdana" w:hAnsi="Verdana"/>
      <w:color w:val="000000"/>
      <w:sz w:val="80"/>
      <w:szCs w:val="80"/>
    </w:rPr>
  </w:style>
  <w:style xmlns:w15="http://schemas.microsoft.com/office/word/2012/wordml" w:type="paragraph" w:customStyle="1" w:styleId="NEaDocumentnaamArchiefkopie">
    <w:name w:val="NEa Documentnaam Archiefkopie"/>
    <w:basedOn w:val="NEaDocumentnaam"/>
    <w:rPr>
      <w:color w:val="BFBFBF"/>
    </w:rPr>
  </w:style>
  <w:style xmlns:w15="http://schemas.microsoft.com/office/word/2012/wordml" w:type="paragraph" w:customStyle="1" w:styleId="NEaDocumentnaamsub">
    <w:name w:val="NEa Documentnaam sub"/>
    <w:pPr>
      <w:spacing w:line="360" w:lineRule="exact"/>
      <w:jc w:val="right"/>
    </w:pPr>
    <w:rPr>
      <w:rFonts w:ascii="Verdana" w:hAnsi="Verdana"/>
      <w:color w:val="000000"/>
      <w:sz w:val="36"/>
      <w:szCs w:val="36"/>
    </w:rPr>
  </w:style>
  <w:style xmlns:w15="http://schemas.microsoft.com/office/word/2012/wordml" w:type="paragraph" w:customStyle="1" w:styleId="NEamemobestuur">
    <w:name w:val="NEa memo bestuur"/>
    <w:basedOn w:val="Normal"/>
    <w:next w:val="Normal"/>
    <w:pPr>
      <w:numPr>
        <w:numId w:val="8"/>
      </w:numPr>
    </w:pPr>
  </w:style>
  <w:style xmlns:w15="http://schemas.microsoft.com/office/word/2012/wordml" w:type="paragraph" w:customStyle="1" w:styleId="NEaMemobestuurDocumentnaam">
    <w:name w:val="NEa Memo bestuur Documentnaam"/>
    <w:basedOn w:val="Normal"/>
    <w:next w:val="Normal"/>
    <w:pPr>
      <w:spacing w:before="360" w:line="640" w:lineRule="exact"/>
    </w:pPr>
    <w:rPr>
      <w:sz w:val="64"/>
      <w:szCs w:val="64"/>
    </w:rPr>
  </w:style>
  <w:style xmlns:w15="http://schemas.microsoft.com/office/word/2012/wordml" w:type="paragraph" w:customStyle="1" w:styleId="NEamemobestuuropsomming">
    <w:name w:val="NEa memo bestuur opsomming"/>
    <w:basedOn w:val="Normal"/>
    <w:next w:val="Normal"/>
  </w:style>
  <w:style xmlns:w15="http://schemas.microsoft.com/office/word/2012/wordml" w:type="paragraph" w:customStyle="1" w:styleId="NEaMemoDocumentnaam">
    <w:name w:val="NEa Memo Documentnaam"/>
    <w:pPr>
      <w:spacing w:line="853" w:lineRule="exact"/>
    </w:pPr>
    <w:rPr>
      <w:rFonts w:ascii="Verdana" w:hAnsi="Verdana"/>
      <w:color w:val="000000"/>
      <w:sz w:val="64"/>
      <w:szCs w:val="64"/>
    </w:rPr>
  </w:style>
  <w:style xmlns:w15="http://schemas.microsoft.com/office/word/2012/wordml" w:type="paragraph" w:customStyle="1" w:styleId="NEamemoMT6vbold">
    <w:name w:val="NEa memo MT 6v bold"/>
    <w:basedOn w:val="Normal"/>
    <w:next w:val="Normal"/>
    <w:pPr>
      <w:spacing w:before="120"/>
    </w:pPr>
    <w:rPr>
      <w:b/>
    </w:rPr>
  </w:style>
  <w:style xmlns:w15="http://schemas.microsoft.com/office/word/2012/wordml" w:type="paragraph" w:customStyle="1" w:styleId="NEamemoMT6vstandaard">
    <w:name w:val="NEa memo MT 6v standaard"/>
    <w:basedOn w:val="Normal"/>
    <w:next w:val="Normal"/>
    <w:pPr>
      <w:spacing w:before="120"/>
    </w:pPr>
  </w:style>
  <w:style xmlns:w15="http://schemas.microsoft.com/office/word/2012/wordml"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xmlns:w15="http://schemas.microsoft.com/office/word/2012/wordml" w:type="paragraph" w:customStyle="1" w:styleId="NEaOpsommingstekenkortestreep">
    <w:name w:val="NEa Opsommingsteken korte streep"/>
    <w:basedOn w:val="Normal"/>
    <w:next w:val="Normal"/>
    <w:pPr>
      <w:spacing w:before="240" w:after="240"/>
    </w:pPr>
  </w:style>
  <w:style xmlns:w15="http://schemas.microsoft.com/office/word/2012/wordml" w:type="paragraph" w:customStyle="1" w:styleId="NEaOpsommingstekst">
    <w:name w:val="NEa Opsommingstekst"/>
    <w:basedOn w:val="NEaStandaard"/>
    <w:pPr>
      <w:numPr>
        <w:numId w:val="9"/>
      </w:numPr>
    </w:pPr>
  </w:style>
  <w:style xmlns:w15="http://schemas.microsoft.com/office/word/2012/wordml" w:type="paragraph" w:customStyle="1" w:styleId="NEaPaginanummering">
    <w:name w:val="NEa Paginanummering"/>
    <w:basedOn w:val="NEaStandaard"/>
    <w:pPr>
      <w:jc w:val="right"/>
    </w:pPr>
  </w:style>
  <w:style xmlns:w15="http://schemas.microsoft.com/office/word/2012/wordml" w:type="paragraph" w:customStyle="1" w:styleId="NEaPaginanummeringhuidig">
    <w:name w:val="NEa Paginanummering huidig"/>
    <w:basedOn w:val="NEaVerdana65"/>
    <w:pPr>
      <w:spacing w:line="240" w:lineRule="exact"/>
      <w:jc w:val="right"/>
    </w:pPr>
    <w:rPr>
      <w:sz w:val="18"/>
      <w:szCs w:val="18"/>
    </w:rPr>
  </w:style>
  <w:style xmlns:w15="http://schemas.microsoft.com/office/word/2012/wordml" w:type="paragraph" w:customStyle="1" w:styleId="NEARapportkoppen">
    <w:name w:val="NEA Rapport koppen"/>
    <w:basedOn w:val="Normal"/>
    <w:next w:val="Normal"/>
    <w:pPr>
      <w:spacing w:after="720" w:line="300" w:lineRule="exact"/>
    </w:pPr>
    <w:rPr>
      <w:sz w:val="24"/>
      <w:szCs w:val="24"/>
    </w:rPr>
  </w:style>
  <w:style xmlns:w15="http://schemas.microsoft.com/office/word/2012/wordml" w:type="paragraph" w:customStyle="1" w:styleId="NEaSlotzin">
    <w:name w:val="NEa Slotzin"/>
    <w:basedOn w:val="NEaStandaard"/>
    <w:pPr>
      <w:spacing w:before="240"/>
    </w:pPr>
  </w:style>
  <w:style xmlns:w15="http://schemas.microsoft.com/office/word/2012/wordml" w:type="paragraph" w:customStyle="1" w:styleId="NEaStandaard">
    <w:name w:val="NEa Standaard"/>
    <w:pPr>
      <w:spacing w:line="240" w:lineRule="exact"/>
    </w:pPr>
    <w:rPr>
      <w:rFonts w:ascii="Verdana" w:hAnsi="Verdana"/>
      <w:color w:val="000000"/>
      <w:sz w:val="18"/>
      <w:szCs w:val="18"/>
    </w:rPr>
  </w:style>
  <w:style xmlns:w15="http://schemas.microsoft.com/office/word/2012/wordml" w:type="paragraph" w:customStyle="1" w:styleId="NEaStandaardonderlijnd">
    <w:name w:val="NEa Standaard onderlijnd"/>
    <w:basedOn w:val="NEaStandaard"/>
    <w:rPr>
      <w:u w:val="single"/>
    </w:rPr>
  </w:style>
  <w:style xmlns:w15="http://schemas.microsoft.com/office/word/2012/wordml" w:type="paragraph" w:customStyle="1" w:styleId="NEaStandaardVet">
    <w:name w:val="NEa Standaard Vet"/>
    <w:basedOn w:val="NEaStandaard"/>
    <w:rPr>
      <w:b/>
    </w:rPr>
  </w:style>
  <w:style xmlns:w15="http://schemas.microsoft.com/office/word/2012/wordml" w:type="paragraph" w:customStyle="1" w:styleId="NEaSubtitel">
    <w:name w:val="NEa Subtitel"/>
    <w:pPr>
      <w:spacing w:line="560" w:lineRule="exact"/>
    </w:pPr>
    <w:rPr>
      <w:rFonts w:ascii="Verdana" w:hAnsi="Verdana"/>
      <w:color w:val="000000"/>
      <w:sz w:val="36"/>
      <w:szCs w:val="36"/>
    </w:rPr>
  </w:style>
  <w:style xmlns:w15="http://schemas.microsoft.com/office/word/2012/wordml" w:type="paragraph" w:customStyle="1" w:styleId="NEaTabelcel">
    <w:name w:val="NEa Tabelcel"/>
    <w:pPr>
      <w:spacing w:line="230" w:lineRule="exact"/>
    </w:pPr>
    <w:rPr>
      <w:rFonts w:ascii="Verdana" w:hAnsi="Verdana"/>
      <w:color w:val="000000"/>
      <w:sz w:val="18"/>
      <w:szCs w:val="18"/>
    </w:rPr>
  </w:style>
  <w:style xmlns:w15="http://schemas.microsoft.com/office/word/2012/wordml" w:type="paragraph" w:customStyle="1" w:styleId="NEaTabelcelkop">
    <w:name w:val="NEa Tabelcel kop"/>
    <w:pPr>
      <w:spacing w:line="240" w:lineRule="exact"/>
    </w:pPr>
    <w:rPr>
      <w:rFonts w:ascii="Verdana" w:hAnsi="Verdana"/>
      <w:color w:val="000000"/>
      <w:sz w:val="13"/>
      <w:szCs w:val="13"/>
    </w:rPr>
  </w:style>
  <w:style xmlns:w15="http://schemas.microsoft.com/office/word/2012/wordml" w:type="paragraph" w:customStyle="1" w:styleId="NEaTitel">
    <w:name w:val="NEa Titel"/>
    <w:pPr>
      <w:spacing w:line="560" w:lineRule="exact"/>
    </w:pPr>
    <w:rPr>
      <w:rFonts w:ascii="Verdana" w:hAnsi="Verdana"/>
      <w:b/>
      <w:color w:val="000000"/>
      <w:sz w:val="36"/>
      <w:szCs w:val="36"/>
    </w:rPr>
  </w:style>
  <w:style xmlns:w15="http://schemas.microsoft.com/office/word/2012/wordml" w:type="paragraph" w:customStyle="1" w:styleId="NeaToezendgegevens">
    <w:name w:val="Nea Toezendgegevens"/>
    <w:pPr>
      <w:spacing w:line="240" w:lineRule="exact"/>
    </w:pPr>
    <w:rPr>
      <w:rFonts w:ascii="Verdana" w:hAnsi="Verdana"/>
      <w:color w:val="000000"/>
      <w:sz w:val="18"/>
      <w:szCs w:val="18"/>
    </w:rPr>
  </w:style>
  <w:style xmlns:w15="http://schemas.microsoft.com/office/word/2012/wordml" w:type="paragraph" w:customStyle="1" w:styleId="NEaVerdana65">
    <w:name w:val="NEa Verdana 6.5"/>
    <w:pPr>
      <w:spacing w:line="173" w:lineRule="exact"/>
    </w:pPr>
    <w:rPr>
      <w:rFonts w:ascii="Verdana" w:hAnsi="Verdana"/>
      <w:color w:val="000000"/>
      <w:sz w:val="13"/>
      <w:szCs w:val="13"/>
    </w:rPr>
  </w:style>
  <w:style xmlns:w15="http://schemas.microsoft.com/office/word/2012/wordml" w:type="paragraph" w:customStyle="1" w:styleId="NotaParaaf">
    <w:name w:val="Nota_Paraaf"/>
    <w:basedOn w:val="Normal"/>
    <w:rPr>
      <w:sz w:val="13"/>
      <w:szCs w:val="13"/>
    </w:rPr>
  </w:style>
  <w:style xmlns:w15="http://schemas.microsoft.com/office/word/2012/wordml" w:type="paragraph" w:customStyle="1" w:styleId="OIMRapportAlineakop">
    <w:name w:val="OIM Rapport Alineakop"/>
    <w:basedOn w:val="Normal"/>
    <w:next w:val="Normal"/>
    <w:pPr>
      <w:numPr>
        <w:ilvl w:val="2"/>
        <w:numId w:val="10"/>
      </w:numPr>
    </w:pPr>
    <w:rPr>
      <w:color w:val="42145F"/>
      <w:sz w:val="24"/>
      <w:szCs w:val="24"/>
    </w:rPr>
  </w:style>
  <w:style xmlns:w15="http://schemas.microsoft.com/office/word/2012/wordml" w:type="paragraph" w:customStyle="1" w:styleId="OIMRapportDocumentnaam">
    <w:name w:val="OIM Rapport Documentnaam"/>
    <w:basedOn w:val="Normal"/>
    <w:next w:val="Normal"/>
    <w:pPr>
      <w:spacing w:line="800" w:lineRule="exact"/>
    </w:pPr>
    <w:rPr>
      <w:color w:val="76D2B6"/>
      <w:sz w:val="76"/>
      <w:szCs w:val="76"/>
    </w:rPr>
  </w:style>
  <w:style xmlns:w15="http://schemas.microsoft.com/office/word/2012/wordml" w:type="paragraph" w:customStyle="1" w:styleId="OIMRapportFiguurkop">
    <w:name w:val="OIM Rapport Figuurkop"/>
    <w:basedOn w:val="Normal"/>
    <w:next w:val="Normal"/>
    <w:pPr>
      <w:spacing w:before="80" w:after="120"/>
    </w:pPr>
    <w:rPr>
      <w:sz w:val="16"/>
      <w:szCs w:val="16"/>
    </w:rPr>
  </w:style>
  <w:style xmlns:w15="http://schemas.microsoft.com/office/word/2012/wordml" w:type="paragraph" w:customStyle="1" w:styleId="OIMRapporthfstenparagraafnummering">
    <w:name w:val="OIM Rapport hfst en paragraafnummering"/>
    <w:basedOn w:val="Normal"/>
    <w:next w:val="Normal"/>
  </w:style>
  <w:style xmlns:w15="http://schemas.microsoft.com/office/word/2012/wordml" w:type="paragraph" w:customStyle="1" w:styleId="OIMRapportHoofdstuk">
    <w:name w:val="OIM Rapport Hoofdstuk"/>
    <w:basedOn w:val="Normal"/>
    <w:next w:val="Normal"/>
    <w:pPr>
      <w:numPr>
        <w:numId w:val="10"/>
      </w:numPr>
      <w:spacing w:after="720" w:line="920" w:lineRule="exact"/>
    </w:pPr>
    <w:rPr>
      <w:b/>
      <w:color w:val="76D2B6"/>
      <w:sz w:val="76"/>
      <w:szCs w:val="76"/>
    </w:rPr>
  </w:style>
  <w:style xmlns:w15="http://schemas.microsoft.com/office/word/2012/wordml" w:type="paragraph" w:customStyle="1" w:styleId="OIMRapportinhoudkop">
    <w:name w:val="OIM Rapport inhoud kop"/>
    <w:basedOn w:val="Normal"/>
    <w:next w:val="Normal"/>
    <w:pPr>
      <w:spacing w:after="720" w:line="960" w:lineRule="exact"/>
    </w:pPr>
    <w:rPr>
      <w:b/>
      <w:color w:val="76D2B6"/>
      <w:sz w:val="80"/>
      <w:szCs w:val="80"/>
    </w:rPr>
  </w:style>
  <w:style xmlns:w15="http://schemas.microsoft.com/office/word/2012/wordml" w:type="paragraph" w:customStyle="1" w:styleId="OIMRapportInleiding">
    <w:name w:val="OIM Rapport Inleiding"/>
    <w:basedOn w:val="Normal"/>
    <w:next w:val="Normal"/>
    <w:pPr>
      <w:spacing w:line="380" w:lineRule="exact"/>
    </w:pPr>
    <w:rPr>
      <w:color w:val="42145F"/>
      <w:sz w:val="24"/>
      <w:szCs w:val="24"/>
    </w:rPr>
  </w:style>
  <w:style xmlns:w15="http://schemas.microsoft.com/office/word/2012/wordml" w:type="paragraph" w:customStyle="1" w:styleId="OIMRapportKadertekst">
    <w:name w:val="OIM Rapport Kadertekst"/>
    <w:basedOn w:val="Normal"/>
    <w:next w:val="Normal"/>
    <w:rPr>
      <w:color w:val="42145F"/>
      <w:sz w:val="16"/>
      <w:szCs w:val="16"/>
    </w:rPr>
  </w:style>
  <w:style xmlns:w15="http://schemas.microsoft.com/office/word/2012/wordml" w:type="paragraph" w:customStyle="1" w:styleId="OIMRapportNummering">
    <w:name w:val="OIM Rapport Nummering"/>
    <w:basedOn w:val="Normal"/>
    <w:next w:val="Normal"/>
    <w:pPr>
      <w:numPr>
        <w:numId w:val="12"/>
      </w:numPr>
    </w:pPr>
  </w:style>
  <w:style xmlns:w15="http://schemas.microsoft.com/office/word/2012/wordml" w:type="paragraph" w:customStyle="1" w:styleId="OIMRapportNummerlijst">
    <w:name w:val="OIM Rapport Nummerlijst"/>
    <w:basedOn w:val="Normal"/>
    <w:next w:val="Normal"/>
  </w:style>
  <w:style xmlns:w15="http://schemas.microsoft.com/office/word/2012/wordml" w:type="paragraph" w:customStyle="1" w:styleId="OIMRapportOpsomminglijst">
    <w:name w:val="OIM Rapport Opsomminglijst"/>
    <w:basedOn w:val="Normal"/>
    <w:next w:val="Normal"/>
  </w:style>
  <w:style xmlns:w15="http://schemas.microsoft.com/office/word/2012/wordml" w:type="paragraph" w:customStyle="1" w:styleId="OIMRapportpaginanummer">
    <w:name w:val="OIM Rapport paginanummer"/>
    <w:basedOn w:val="Normal"/>
    <w:next w:val="Normal"/>
    <w:pPr>
      <w:spacing w:line="140" w:lineRule="exact"/>
      <w:jc w:val="right"/>
    </w:pPr>
    <w:rPr>
      <w:sz w:val="12"/>
      <w:szCs w:val="12"/>
    </w:rPr>
  </w:style>
  <w:style xmlns:w15="http://schemas.microsoft.com/office/word/2012/wordml" w:type="paragraph" w:customStyle="1" w:styleId="OIMRapportParagraaf">
    <w:name w:val="OIM Rapport Paragraaf"/>
    <w:basedOn w:val="Normal"/>
    <w:next w:val="Normal"/>
    <w:pPr>
      <w:numPr>
        <w:ilvl w:val="1"/>
        <w:numId w:val="10"/>
      </w:numPr>
    </w:pPr>
    <w:rPr>
      <w:b/>
      <w:color w:val="42145F"/>
      <w:sz w:val="24"/>
      <w:szCs w:val="24"/>
    </w:rPr>
  </w:style>
  <w:style xmlns:w15="http://schemas.microsoft.com/office/word/2012/wordml" w:type="paragraph" w:customStyle="1" w:styleId="OIMRapportSubalineakop">
    <w:name w:val="OIM Rapport Subalineakop"/>
    <w:basedOn w:val="Normal"/>
    <w:next w:val="Normal"/>
    <w:rPr>
      <w:i/>
      <w:color w:val="42145F"/>
    </w:rPr>
  </w:style>
  <w:style xmlns:w15="http://schemas.microsoft.com/office/word/2012/wordml" w:type="paragraph" w:customStyle="1" w:styleId="OIMRapportSubtitel">
    <w:name w:val="OIM Rapport Subtitel"/>
    <w:basedOn w:val="Normal"/>
    <w:next w:val="Normal"/>
    <w:pPr>
      <w:spacing w:line="560" w:lineRule="exact"/>
    </w:pPr>
    <w:rPr>
      <w:color w:val="FFFFFF"/>
      <w:sz w:val="40"/>
      <w:szCs w:val="40"/>
    </w:rPr>
  </w:style>
  <w:style xmlns:w15="http://schemas.microsoft.com/office/word/2012/wordml" w:type="paragraph" w:customStyle="1" w:styleId="OIMRapportTitel">
    <w:name w:val="OIM Rapport Titel"/>
    <w:basedOn w:val="Normal"/>
    <w:next w:val="Normal"/>
    <w:pPr>
      <w:spacing w:line="1060" w:lineRule="exact"/>
    </w:pPr>
    <w:rPr>
      <w:b/>
      <w:color w:val="42145F"/>
      <w:sz w:val="86"/>
      <w:szCs w:val="86"/>
    </w:rPr>
  </w:style>
  <w:style xmlns:w15="http://schemas.microsoft.com/office/word/2012/wordml" w:type="paragraph" w:customStyle="1" w:styleId="OIMRapportvoettekst">
    <w:name w:val="OIM Rapport voettekst"/>
    <w:basedOn w:val="Normal"/>
    <w:next w:val="Normal"/>
    <w:pPr>
      <w:spacing w:line="140" w:lineRule="exact"/>
      <w:jc w:val="right"/>
    </w:pPr>
    <w:rPr>
      <w:sz w:val="12"/>
      <w:szCs w:val="12"/>
    </w:rPr>
  </w:style>
  <w:style xmlns:w15="http://schemas.microsoft.com/office/word/2012/wordml" w:type="table" w:customStyle="1" w:styleId="OIMStandaardtabel">
    <w:name w:val="OIM Standaard tabel"/>
    <w:rPr>
      <w:rFonts w:ascii="Verdana" w:hAnsi="Verdana"/>
      <w:color w:val="000000"/>
      <w:sz w:val="16"/>
      <w:szCs w:val="16"/>
      <w:lang w:val="es-ES" w:eastAsia="es-E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xmlns:w15="http://schemas.microsoft.com/office/word/2012/wordml" w:type="paragraph" w:customStyle="1" w:styleId="OIMTabeltekststandaard">
    <w:name w:val="OIM Tabeltekst standaard"/>
    <w:basedOn w:val="Normal"/>
    <w:next w:val="Normal"/>
    <w:pPr>
      <w:spacing w:line="160" w:lineRule="exact"/>
    </w:pPr>
    <w:rPr>
      <w:sz w:val="16"/>
      <w:szCs w:val="16"/>
    </w:rPr>
  </w:style>
  <w:style xmlns:w15="http://schemas.microsoft.com/office/word/2012/wordml" w:type="paragraph" w:customStyle="1" w:styleId="OndertekeningArea1">
    <w:name w:val="Ondertekening_Area1"/>
    <w:basedOn w:val="Normal"/>
    <w:next w:val="Normal"/>
    <w:pPr>
      <w:spacing w:before="240"/>
    </w:pPr>
  </w:style>
  <w:style xmlns:w15="http://schemas.microsoft.com/office/word/2012/wordml" w:type="paragraph" w:customStyle="1" w:styleId="Paginaeinde">
    <w:name w:val="Paginaeinde"/>
    <w:basedOn w:val="Normal"/>
    <w:next w:val="Normal"/>
    <w:pPr>
      <w:pageBreakBefore/>
    </w:pPr>
    <w:rPr>
      <w:sz w:val="2"/>
      <w:szCs w:val="2"/>
    </w:rPr>
  </w:style>
  <w:style xmlns:w15="http://schemas.microsoft.com/office/word/2012/wordml" w:type="paragraph" w:customStyle="1" w:styleId="Persbericht-Subtitel">
    <w:name w:val="Persbericht - Subtitel"/>
    <w:basedOn w:val="Normal"/>
    <w:next w:val="Normal"/>
    <w:pPr>
      <w:spacing w:after="220" w:line="320" w:lineRule="exact"/>
    </w:pPr>
    <w:rPr>
      <w:sz w:val="24"/>
      <w:szCs w:val="24"/>
    </w:rPr>
  </w:style>
  <w:style xmlns:w15="http://schemas.microsoft.com/office/word/2012/wordml" w:type="paragraph" w:customStyle="1" w:styleId="Persbericht-Titel">
    <w:name w:val="Persbericht - Titel"/>
    <w:basedOn w:val="Normal"/>
    <w:next w:val="Normal"/>
    <w:pPr>
      <w:spacing w:before="460" w:line="320" w:lineRule="exact"/>
    </w:pPr>
    <w:rPr>
      <w:b/>
      <w:sz w:val="24"/>
      <w:szCs w:val="24"/>
    </w:rPr>
  </w:style>
  <w:style xmlns:w15="http://schemas.microsoft.com/office/word/2012/wordml" w:type="paragraph" w:customStyle="1" w:styleId="Raad">
    <w:name w:val="Raad"/>
    <w:next w:val="Normal"/>
    <w:pPr>
      <w:spacing w:line="240" w:lineRule="exact"/>
    </w:pPr>
    <w:rPr>
      <w:rFonts w:ascii="Verdana" w:hAnsi="Verdana"/>
      <w:b/>
      <w:color w:val="000000"/>
      <w:sz w:val="24"/>
      <w:szCs w:val="24"/>
    </w:rPr>
  </w:style>
  <w:style xmlns:w15="http://schemas.microsoft.com/office/word/2012/wordml" w:type="paragraph" w:customStyle="1" w:styleId="RapportSubtitel">
    <w:name w:val="Rapport Subtitel"/>
    <w:basedOn w:val="Normal"/>
    <w:next w:val="Normal"/>
    <w:pPr>
      <w:spacing w:line="300" w:lineRule="exact"/>
    </w:pPr>
    <w:rPr>
      <w:sz w:val="28"/>
      <w:szCs w:val="28"/>
    </w:rPr>
  </w:style>
  <w:style xmlns:w15="http://schemas.microsoft.com/office/word/2012/wordml" w:type="paragraph" w:customStyle="1" w:styleId="RapportTitel">
    <w:name w:val="Rapport Titel"/>
    <w:basedOn w:val="Normal"/>
    <w:next w:val="Normal"/>
    <w:pPr>
      <w:spacing w:line="800" w:lineRule="exact"/>
    </w:pPr>
    <w:rPr>
      <w:color w:val="007BC7"/>
      <w:sz w:val="72"/>
      <w:szCs w:val="72"/>
    </w:rPr>
  </w:style>
  <w:style xmlns:w15="http://schemas.microsoft.com/office/word/2012/wordml" w:type="paragraph" w:customStyle="1" w:styleId="RapportNiveau1">
    <w:name w:val="Rapport_Niveau_1"/>
    <w:basedOn w:val="Normal"/>
    <w:next w:val="Normal"/>
    <w:pPr>
      <w:spacing w:after="700" w:line="300" w:lineRule="exact"/>
    </w:pPr>
    <w:rPr>
      <w:sz w:val="24"/>
      <w:szCs w:val="24"/>
    </w:rPr>
  </w:style>
  <w:style xmlns:w15="http://schemas.microsoft.com/office/word/2012/wordml" w:type="paragraph" w:customStyle="1" w:styleId="RapportNiveau2">
    <w:name w:val="Rapport_Niveau_2"/>
    <w:basedOn w:val="Normal"/>
    <w:next w:val="Normal"/>
    <w:rPr>
      <w:b/>
    </w:rPr>
  </w:style>
  <w:style xmlns:w15="http://schemas.microsoft.com/office/word/2012/wordml" w:type="paragraph" w:customStyle="1" w:styleId="RapportNiveau3">
    <w:name w:val="Rapport_Niveau_3"/>
    <w:basedOn w:val="Normal"/>
    <w:next w:val="Normal"/>
    <w:rPr>
      <w:i/>
    </w:rPr>
  </w:style>
  <w:style xmlns:w15="http://schemas.microsoft.com/office/word/2012/wordml" w:type="paragraph" w:customStyle="1" w:styleId="RapportNiveau4">
    <w:name w:val="Rapport_Niveau_4"/>
    <w:basedOn w:val="Normal"/>
    <w:next w:val="Normal"/>
  </w:style>
  <w:style xmlns:w15="http://schemas.microsoft.com/office/word/2012/wordml" w:type="paragraph" w:customStyle="1" w:styleId="RapportNiveau5">
    <w:name w:val="Rapport_Niveau_5"/>
    <w:basedOn w:val="Normal"/>
    <w:next w:val="Normal"/>
  </w:style>
  <w:style xmlns:w15="http://schemas.microsoft.com/office/word/2012/wordml" w:type="paragraph" w:customStyle="1" w:styleId="RapportNiveau6">
    <w:name w:val="Rapport_Niveau_6"/>
    <w:basedOn w:val="Normal"/>
    <w:next w:val="Normal"/>
    <w:pPr>
      <w:spacing w:before="240" w:after="60" w:line="380" w:lineRule="exact"/>
    </w:pPr>
    <w:rPr>
      <w:b/>
      <w:sz w:val="32"/>
      <w:szCs w:val="32"/>
    </w:rPr>
  </w:style>
  <w:style xmlns:w15="http://schemas.microsoft.com/office/word/2012/wordml"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xmlns:w15="http://schemas.microsoft.com/office/word/2012/wordml"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xmlns:w15="http://schemas.microsoft.com/office/word/2012/wordml" w:type="paragraph" w:customStyle="1" w:styleId="Referentiegegevenskop">
    <w:name w:val="Referentiegegevens_kop"/>
    <w:basedOn w:val="Normal"/>
    <w:next w:val="Normal"/>
    <w:pPr>
      <w:spacing w:line="180" w:lineRule="exact"/>
    </w:pPr>
    <w:rPr>
      <w:b/>
      <w:sz w:val="13"/>
      <w:szCs w:val="13"/>
    </w:rPr>
  </w:style>
  <w:style xmlns:w15="http://schemas.microsoft.com/office/word/2012/wordml" w:type="paragraph" w:customStyle="1" w:styleId="Retouradres">
    <w:name w:val="Retouradres"/>
    <w:pPr>
      <w:spacing w:line="180" w:lineRule="exact"/>
    </w:pPr>
    <w:rPr>
      <w:rFonts w:ascii="Verdana" w:hAnsi="Verdana"/>
      <w:color w:val="000000"/>
      <w:sz w:val="13"/>
      <w:szCs w:val="13"/>
    </w:rPr>
  </w:style>
  <w:style xmlns:w15="http://schemas.microsoft.com/office/word/2012/wordml" w:type="paragraph" w:customStyle="1" w:styleId="RliAanhef">
    <w:name w:val="Rli Aanhef"/>
    <w:pPr>
      <w:spacing w:after="240" w:line="240" w:lineRule="exact"/>
    </w:pPr>
    <w:rPr>
      <w:rFonts w:ascii="Verdana" w:hAnsi="Verdana"/>
      <w:color w:val="000000"/>
      <w:sz w:val="18"/>
      <w:szCs w:val="18"/>
    </w:rPr>
  </w:style>
  <w:style xmlns:w15="http://schemas.microsoft.com/office/word/2012/wordml" w:type="paragraph" w:customStyle="1" w:styleId="RliAgenda-Standaard">
    <w:name w:val="Rli Agenda - Standaard"/>
    <w:basedOn w:val="Normal"/>
    <w:rPr>
      <w:sz w:val="16"/>
      <w:szCs w:val="16"/>
    </w:rPr>
  </w:style>
  <w:style xmlns:w15="http://schemas.microsoft.com/office/word/2012/wordml" w:type="paragraph" w:customStyle="1" w:styleId="RliDocumentnaam">
    <w:name w:val="Rli Documentnaam"/>
    <w:pPr>
      <w:spacing w:line="320" w:lineRule="exact"/>
      <w:jc w:val="right"/>
    </w:pPr>
    <w:rPr>
      <w:rFonts w:ascii="Verdana" w:hAnsi="Verdana"/>
      <w:b/>
      <w:color w:val="000000"/>
      <w:sz w:val="28"/>
      <w:szCs w:val="28"/>
    </w:rPr>
  </w:style>
  <w:style xmlns:w15="http://schemas.microsoft.com/office/word/2012/wordml" w:type="paragraph" w:customStyle="1" w:styleId="RliInleiding">
    <w:name w:val="Rli Inleiding"/>
    <w:pPr>
      <w:spacing w:after="730" w:line="240" w:lineRule="exact"/>
    </w:pPr>
    <w:rPr>
      <w:rFonts w:ascii="Verdana" w:hAnsi="Verdana"/>
      <w:color w:val="000000"/>
      <w:sz w:val="18"/>
      <w:szCs w:val="18"/>
    </w:rPr>
  </w:style>
  <w:style xmlns:w15="http://schemas.microsoft.com/office/word/2012/wordml" w:type="paragraph" w:customStyle="1" w:styleId="RliInleidingVet">
    <w:name w:val="Rli Inleiding Vet"/>
    <w:pPr>
      <w:spacing w:after="240" w:line="240" w:lineRule="exact"/>
    </w:pPr>
    <w:rPr>
      <w:rFonts w:ascii="Verdana" w:hAnsi="Verdana"/>
      <w:b/>
      <w:color w:val="000000"/>
      <w:sz w:val="18"/>
      <w:szCs w:val="18"/>
    </w:rPr>
  </w:style>
  <w:style xmlns:w15="http://schemas.microsoft.com/office/word/2012/wordml" w:type="paragraph" w:customStyle="1" w:styleId="RliKenmerkHoofd">
    <w:name w:val="Rli Kenmerk Hoofd"/>
    <w:pPr>
      <w:spacing w:line="200" w:lineRule="exact"/>
      <w:jc w:val="right"/>
    </w:pPr>
    <w:rPr>
      <w:rFonts w:ascii="Verdana" w:hAnsi="Verdana"/>
      <w:color w:val="000000"/>
      <w:sz w:val="15"/>
      <w:szCs w:val="15"/>
    </w:rPr>
  </w:style>
  <w:style xmlns:w15="http://schemas.microsoft.com/office/word/2012/wordml" w:type="paragraph" w:customStyle="1" w:styleId="RLIKenmerkRubricering">
    <w:name w:val="RLI Kenmerk Rubricering"/>
    <w:basedOn w:val="Normal"/>
    <w:next w:val="Normal"/>
    <w:rPr>
      <w:b/>
      <w:caps/>
      <w:sz w:val="14"/>
      <w:szCs w:val="14"/>
    </w:rPr>
  </w:style>
  <w:style xmlns:w15="http://schemas.microsoft.com/office/word/2012/wordml" w:type="paragraph" w:customStyle="1" w:styleId="RliKoptekstKenmerk">
    <w:name w:val="Rli Koptekst Kenmerk"/>
    <w:pPr>
      <w:spacing w:line="240" w:lineRule="exact"/>
    </w:pPr>
    <w:rPr>
      <w:rFonts w:ascii="Verdana" w:hAnsi="Verdana"/>
      <w:b/>
      <w:color w:val="000000"/>
      <w:sz w:val="18"/>
      <w:szCs w:val="18"/>
    </w:rPr>
  </w:style>
  <w:style xmlns:w15="http://schemas.microsoft.com/office/word/2012/wordml" w:type="paragraph" w:customStyle="1" w:styleId="RliOpsommingnummerKenmerk">
    <w:name w:val="Rli Opsommingnummer Kenmerk"/>
    <w:pPr>
      <w:spacing w:before="480" w:line="240" w:lineRule="exact"/>
    </w:pPr>
    <w:rPr>
      <w:rFonts w:ascii="Verdana" w:hAnsi="Verdana"/>
      <w:b/>
      <w:color w:val="000000"/>
      <w:sz w:val="22"/>
      <w:szCs w:val="22"/>
    </w:rPr>
  </w:style>
  <w:style xmlns:w15="http://schemas.microsoft.com/office/word/2012/wordml" w:type="paragraph" w:customStyle="1" w:styleId="RliOpsommingtitelOnderwerpInhoud">
    <w:name w:val="Rli Opsommingtitel Onderwerp/Inhoud"/>
    <w:pPr>
      <w:spacing w:before="480" w:line="240" w:lineRule="exact"/>
    </w:pPr>
    <w:rPr>
      <w:rFonts w:ascii="Verdana" w:hAnsi="Verdana"/>
      <w:b/>
      <w:color w:val="000000"/>
    </w:rPr>
  </w:style>
  <w:style xmlns:w15="http://schemas.microsoft.com/office/word/2012/wordml" w:type="paragraph" w:customStyle="1" w:styleId="RliPaginanummering">
    <w:name w:val="Rli Paginanummering"/>
    <w:pPr>
      <w:spacing w:line="200" w:lineRule="exact"/>
    </w:pPr>
    <w:rPr>
      <w:rFonts w:ascii="Verdana" w:hAnsi="Verdana"/>
      <w:color w:val="000000"/>
      <w:sz w:val="14"/>
      <w:szCs w:val="14"/>
    </w:rPr>
  </w:style>
  <w:style xmlns:w15="http://schemas.microsoft.com/office/word/2012/wordml" w:type="paragraph" w:customStyle="1" w:styleId="RliParagraafkop">
    <w:name w:val="Rli Paragraafkop"/>
    <w:next w:val="Normal"/>
    <w:pPr>
      <w:spacing w:before="480" w:after="240" w:line="240" w:lineRule="exact"/>
    </w:pPr>
    <w:rPr>
      <w:rFonts w:ascii="Verdana" w:hAnsi="Verdana"/>
      <w:b/>
      <w:color w:val="000000"/>
      <w:sz w:val="22"/>
      <w:szCs w:val="22"/>
    </w:rPr>
  </w:style>
  <w:style xmlns:w15="http://schemas.microsoft.com/office/word/2012/wordml" w:type="paragraph" w:customStyle="1" w:styleId="RliPersbericht-AlgemeneInformatiekop">
    <w:name w:val="Rli Persbericht - Algemene Informatie kop"/>
    <w:basedOn w:val="RliStandaardVerdana7"/>
    <w:next w:val="Normal"/>
    <w:pPr>
      <w:spacing w:before="964"/>
    </w:pPr>
    <w:rPr>
      <w:b/>
    </w:rPr>
  </w:style>
  <w:style xmlns:w15="http://schemas.microsoft.com/office/word/2012/wordml" w:type="paragraph" w:customStyle="1" w:styleId="RliPersbericht-Titel">
    <w:name w:val="Rli Persbericht - Titel"/>
    <w:pPr>
      <w:spacing w:line="320" w:lineRule="exact"/>
    </w:pPr>
    <w:rPr>
      <w:rFonts w:ascii="Verdana" w:hAnsi="Verdana"/>
      <w:b/>
      <w:color w:val="000000"/>
      <w:sz w:val="22"/>
      <w:szCs w:val="22"/>
    </w:rPr>
  </w:style>
  <w:style xmlns:w15="http://schemas.microsoft.com/office/word/2012/wordml" w:type="paragraph" w:customStyle="1" w:styleId="RliSlotzin">
    <w:name w:val="Rli Slotzin"/>
    <w:basedOn w:val="RliStandaard"/>
    <w:pPr>
      <w:spacing w:before="720"/>
    </w:pPr>
  </w:style>
  <w:style xmlns:w15="http://schemas.microsoft.com/office/word/2012/wordml" w:type="paragraph" w:customStyle="1" w:styleId="RliStandaard">
    <w:name w:val="Rli Standaard"/>
    <w:pPr>
      <w:spacing w:line="240" w:lineRule="exact"/>
    </w:pPr>
    <w:rPr>
      <w:rFonts w:ascii="Verdana" w:hAnsi="Verdana"/>
      <w:color w:val="000000"/>
      <w:sz w:val="18"/>
      <w:szCs w:val="18"/>
    </w:rPr>
  </w:style>
  <w:style xmlns:w15="http://schemas.microsoft.com/office/word/2012/wordml" w:type="paragraph" w:customStyle="1" w:styleId="Rlistandaard9ptvoor">
    <w:name w:val="Rli standaard 9 pt voor"/>
    <w:basedOn w:val="Normal"/>
    <w:next w:val="Normal"/>
    <w:pPr>
      <w:spacing w:before="180"/>
    </w:pPr>
  </w:style>
  <w:style xmlns:w15="http://schemas.microsoft.com/office/word/2012/wordml" w:type="paragraph" w:customStyle="1" w:styleId="RliStandaardVerdana7">
    <w:name w:val="Rli Standaard Verdana 7"/>
    <w:pPr>
      <w:spacing w:line="240" w:lineRule="exact"/>
    </w:pPr>
    <w:rPr>
      <w:rFonts w:ascii="Verdana" w:hAnsi="Verdana"/>
      <w:color w:val="000000"/>
      <w:sz w:val="14"/>
      <w:szCs w:val="14"/>
    </w:rPr>
  </w:style>
  <w:style xmlns:w15="http://schemas.microsoft.com/office/word/2012/wordml" w:type="paragraph" w:customStyle="1" w:styleId="RliStandaardVerdana8">
    <w:name w:val="Rli Standaard Verdana 8"/>
    <w:pPr>
      <w:spacing w:line="240" w:lineRule="exact"/>
    </w:pPr>
    <w:rPr>
      <w:rFonts w:ascii="Verdana" w:hAnsi="Verdana"/>
      <w:color w:val="000000"/>
      <w:sz w:val="16"/>
      <w:szCs w:val="16"/>
    </w:rPr>
  </w:style>
  <w:style xmlns:w15="http://schemas.microsoft.com/office/word/2012/wordml" w:type="paragraph" w:customStyle="1" w:styleId="RliStandaardVet">
    <w:name w:val="Rli Standaard Vet"/>
    <w:basedOn w:val="Normal"/>
    <w:next w:val="StandaardVet"/>
    <w:rPr>
      <w:b/>
    </w:rPr>
  </w:style>
  <w:style xmlns:w15="http://schemas.microsoft.com/office/word/2012/wordml" w:type="paragraph" w:customStyle="1" w:styleId="RliTabelcel">
    <w:name w:val="Rli Tabelcel"/>
    <w:pPr>
      <w:spacing w:line="200" w:lineRule="exact"/>
    </w:pPr>
    <w:rPr>
      <w:rFonts w:ascii="Verdana" w:hAnsi="Verdana"/>
      <w:color w:val="000000"/>
      <w:sz w:val="15"/>
      <w:szCs w:val="15"/>
    </w:rPr>
  </w:style>
  <w:style xmlns:w15="http://schemas.microsoft.com/office/word/2012/wordml" w:type="paragraph" w:customStyle="1" w:styleId="RliTabelcelKop">
    <w:name w:val="Rli Tabelcel Kop"/>
    <w:pPr>
      <w:spacing w:line="200" w:lineRule="exact"/>
    </w:pPr>
    <w:rPr>
      <w:rFonts w:ascii="Verdana" w:hAnsi="Verdana"/>
      <w:b/>
      <w:color w:val="000000"/>
      <w:sz w:val="15"/>
      <w:szCs w:val="15"/>
    </w:rPr>
  </w:style>
  <w:style xmlns:w15="http://schemas.microsoft.com/office/word/2012/wordml"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xmlns:w15="http://schemas.microsoft.com/office/word/2012/wordml" w:type="paragraph" w:customStyle="1" w:styleId="RliVerslaginleiding">
    <w:name w:val="Rli Verslag inleiding"/>
    <w:basedOn w:val="Normal"/>
    <w:next w:val="Normal"/>
  </w:style>
  <w:style xmlns:w15="http://schemas.microsoft.com/office/word/2012/wordml" w:type="paragraph" w:customStyle="1" w:styleId="Rubricering">
    <w:name w:val="Rubricering"/>
    <w:next w:val="Normal"/>
    <w:pPr>
      <w:spacing w:line="180" w:lineRule="exact"/>
    </w:pPr>
    <w:rPr>
      <w:rFonts w:ascii="Verdana" w:hAnsi="Verdana"/>
      <w:b/>
      <w:caps/>
      <w:color w:val="000000"/>
      <w:sz w:val="13"/>
      <w:szCs w:val="13"/>
    </w:rPr>
  </w:style>
  <w:style xmlns:w15="http://schemas.microsoft.com/office/word/2012/wordml" w:type="paragraph" w:customStyle="1" w:styleId="Ruimtetussentabellen">
    <w:name w:val="Ruimte tussen tabellen"/>
    <w:basedOn w:val="Normal"/>
    <w:next w:val="Normal"/>
    <w:pPr>
      <w:spacing w:line="20" w:lineRule="exact"/>
    </w:pPr>
    <w:rPr>
      <w:sz w:val="2"/>
      <w:szCs w:val="2"/>
    </w:rPr>
  </w:style>
  <w:style xmlns:w15="http://schemas.microsoft.com/office/word/2012/wordml" w:type="paragraph" w:customStyle="1" w:styleId="SjablonenIenM-Speech-onderwerp">
    <w:name w:val="Sjablonen IenM - Speech - onderwerp"/>
    <w:basedOn w:val="Normal"/>
    <w:next w:val="Normal"/>
    <w:pPr>
      <w:spacing w:before="460" w:line="320" w:lineRule="exact"/>
    </w:pPr>
    <w:rPr>
      <w:b/>
      <w:sz w:val="24"/>
      <w:szCs w:val="24"/>
    </w:rPr>
  </w:style>
  <w:style xmlns:w15="http://schemas.microsoft.com/office/word/2012/wordml" w:type="paragraph" w:customStyle="1" w:styleId="SjablonenIenM-Speech-subtitel">
    <w:name w:val="Sjablonen IenM - Speech - subtitel"/>
    <w:basedOn w:val="Normal"/>
    <w:next w:val="Normal"/>
    <w:pPr>
      <w:spacing w:after="220" w:line="320" w:lineRule="exact"/>
    </w:pPr>
    <w:rPr>
      <w:sz w:val="24"/>
      <w:szCs w:val="24"/>
    </w:rPr>
  </w:style>
  <w:style xmlns:w15="http://schemas.microsoft.com/office/word/2012/wordml" w:type="paragraph" w:customStyle="1" w:styleId="Slotzin">
    <w:name w:val="Slotzin"/>
    <w:basedOn w:val="Normal"/>
    <w:next w:val="Normal"/>
    <w:pPr>
      <w:spacing w:before="240"/>
    </w:pPr>
  </w:style>
  <w:style xmlns:w15="http://schemas.microsoft.com/office/word/2012/wordml" w:type="table" w:customStyle="1" w:styleId="SSC-ICTTabellijnen">
    <w:name w:val="SSC-ICT Tabel lijnen"/>
    <w:rPr>
      <w:rFonts w:ascii="Verdana" w:hAnsi="Verdana"/>
      <w:sz w:val="18"/>
      <w:szCs w:val="18"/>
      <w:lang w:val="es-ES" w:eastAsia="es-E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xmlns:w15="http://schemas.microsoft.com/office/word/2012/wordml" w:type="table" w:customStyle="1" w:styleId="SSC-ICTTabelzonderachtergondkleur">
    <w:name w:val="SSC-ICT Tabel zonder achtergondkleur"/>
    <w:rPr>
      <w:rFonts w:ascii="Verdana" w:hAnsi="Verdana"/>
      <w:color w:val="000000"/>
      <w:sz w:val="18"/>
      <w:szCs w:val="18"/>
      <w:lang w:val="es-ES" w:eastAsia="es-E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xmlns:w15="http://schemas.microsoft.com/office/word/2012/wordml" w:type="paragraph" w:customStyle="1" w:styleId="SSC-ICTTabelkop">
    <w:name w:val="SSC-ICT Tabelkop"/>
    <w:basedOn w:val="Normal"/>
    <w:next w:val="Normal"/>
    <w:pPr>
      <w:spacing w:before="40" w:after="40"/>
      <w:ind w:left="40"/>
    </w:pPr>
  </w:style>
  <w:style xmlns:w15="http://schemas.microsoft.com/office/word/2012/wordml" w:type="paragraph" w:customStyle="1" w:styleId="SSFAanhef">
    <w:name w:val="SSF Aanhef"/>
    <w:basedOn w:val="SSFStandaard"/>
    <w:next w:val="Normal"/>
    <w:pPr>
      <w:spacing w:after="360"/>
    </w:pPr>
  </w:style>
  <w:style xmlns:w15="http://schemas.microsoft.com/office/word/2012/wordml" w:type="paragraph" w:customStyle="1" w:styleId="SSFGroetregel">
    <w:name w:val="SSF Groetregel"/>
    <w:basedOn w:val="SSFStandaard"/>
    <w:next w:val="Normal"/>
    <w:pPr>
      <w:spacing w:before="180"/>
    </w:pPr>
  </w:style>
  <w:style xmlns:w15="http://schemas.microsoft.com/office/word/2012/wordml" w:type="paragraph" w:customStyle="1" w:styleId="SSFInstructietekstVoorlopigvoorschot">
    <w:name w:val="SSF Instructietekst Voorlopig voorschot"/>
    <w:basedOn w:val="SSFStandaard"/>
    <w:pPr>
      <w:spacing w:line="260" w:lineRule="exact"/>
    </w:pPr>
    <w:rPr>
      <w:sz w:val="24"/>
      <w:szCs w:val="24"/>
    </w:rPr>
  </w:style>
  <w:style xmlns:w15="http://schemas.microsoft.com/office/word/2012/wordml" w:type="paragraph" w:customStyle="1" w:styleId="SSFKopjeZegge">
    <w:name w:val="SSF Kopje Zegge"/>
    <w:basedOn w:val="SSFStandaard"/>
    <w:pPr>
      <w:spacing w:line="220" w:lineRule="exact"/>
    </w:pPr>
  </w:style>
  <w:style xmlns:w15="http://schemas.microsoft.com/office/word/2012/wordml" w:type="paragraph" w:customStyle="1" w:styleId="SSFKopjes">
    <w:name w:val="SSF Kopjes"/>
    <w:basedOn w:val="SSFStandaard"/>
    <w:rPr>
      <w:sz w:val="13"/>
      <w:szCs w:val="13"/>
    </w:rPr>
  </w:style>
  <w:style xmlns:w15="http://schemas.microsoft.com/office/word/2012/wordml" w:type="paragraph" w:customStyle="1" w:styleId="SSFNummeringKredietovereenkomst">
    <w:name w:val="SSF Nummering Kredietovereenkomst"/>
    <w:basedOn w:val="SSFStandaard"/>
    <w:next w:val="SSFStandaard"/>
    <w:pPr>
      <w:numPr>
        <w:numId w:val="13"/>
      </w:numPr>
      <w:spacing w:after="180"/>
    </w:pPr>
  </w:style>
  <w:style xmlns:w15="http://schemas.microsoft.com/office/word/2012/wordml" w:type="paragraph" w:customStyle="1" w:styleId="SSFNummeringKredietovereenkomstA">
    <w:name w:val="SSF Nummering Kredietovereenkomst (A)"/>
    <w:basedOn w:val="SSFPaginanummering"/>
    <w:next w:val="SSFStandaard"/>
    <w:pPr>
      <w:numPr>
        <w:numId w:val="14"/>
      </w:numPr>
      <w:jc w:val="left"/>
    </w:pPr>
  </w:style>
  <w:style xmlns:w15="http://schemas.microsoft.com/office/word/2012/wordml" w:type="paragraph" w:customStyle="1" w:styleId="SSFnummeringovereenkomst">
    <w:name w:val="SSF nummering overeenkomst"/>
    <w:basedOn w:val="SSFStandaard"/>
    <w:next w:val="SSFStandaard"/>
    <w:pPr>
      <w:spacing w:after="180"/>
    </w:pPr>
  </w:style>
  <w:style xmlns:w15="http://schemas.microsoft.com/office/word/2012/wordml" w:type="paragraph" w:customStyle="1" w:styleId="SSFnummeringovereenkomstletters">
    <w:name w:val="SSF nummering overeenkomst (letters)"/>
    <w:basedOn w:val="SSFPaginanummering"/>
    <w:next w:val="SSFStandaard"/>
    <w:pPr>
      <w:jc w:val="left"/>
    </w:pPr>
  </w:style>
  <w:style xmlns:w15="http://schemas.microsoft.com/office/word/2012/wordml" w:type="paragraph" w:customStyle="1" w:styleId="SSFOndertekeningKredietnemer">
    <w:name w:val="SSF Ondertekening Kredietnemer"/>
    <w:basedOn w:val="SSFStandaard"/>
    <w:next w:val="SSFStandaard"/>
    <w:pPr>
      <w:ind w:left="720"/>
    </w:pPr>
  </w:style>
  <w:style xmlns:w15="http://schemas.microsoft.com/office/word/2012/wordml" w:type="paragraph" w:customStyle="1" w:styleId="SSFOndertekeningStichting">
    <w:name w:val="SSF Ondertekening Stichting"/>
    <w:basedOn w:val="SSFStandaard"/>
    <w:next w:val="SSFStandaard"/>
    <w:pPr>
      <w:ind w:left="4320"/>
    </w:pPr>
  </w:style>
  <w:style xmlns:w15="http://schemas.microsoft.com/office/word/2012/wordml" w:type="paragraph" w:customStyle="1" w:styleId="SSFPaginanummering">
    <w:name w:val="SSF Paginanummering"/>
    <w:basedOn w:val="SSFStandaard"/>
    <w:pPr>
      <w:jc w:val="center"/>
    </w:pPr>
  </w:style>
  <w:style xmlns:w15="http://schemas.microsoft.com/office/word/2012/wordml" w:type="paragraph" w:customStyle="1" w:styleId="SSFStandaard">
    <w:name w:val="SSF Standaard"/>
    <w:basedOn w:val="Normal"/>
    <w:next w:val="Normal"/>
  </w:style>
  <w:style xmlns:w15="http://schemas.microsoft.com/office/word/2012/wordml" w:type="paragraph" w:customStyle="1" w:styleId="SSFTabeltekstrechtsuitgelijnd">
    <w:name w:val="SSF Tabeltekst rechts uitgelijnd"/>
    <w:basedOn w:val="SSFStandaard"/>
    <w:pPr>
      <w:spacing w:line="180" w:lineRule="exact"/>
      <w:jc w:val="right"/>
    </w:pPr>
  </w:style>
  <w:style xmlns:w15="http://schemas.microsoft.com/office/word/2012/wordml" w:type="paragraph" w:customStyle="1" w:styleId="SSFTabeltekststandaard">
    <w:name w:val="SSF Tabeltekst standaard"/>
    <w:basedOn w:val="SSFStandaard"/>
    <w:pPr>
      <w:spacing w:line="180" w:lineRule="exact"/>
    </w:pPr>
  </w:style>
  <w:style xmlns:w15="http://schemas.microsoft.com/office/word/2012/wordml" w:type="paragraph" w:customStyle="1" w:styleId="SSFTitelKwitantie">
    <w:name w:val="SSF Titel Kwitantie"/>
    <w:basedOn w:val="SSFStandaard"/>
    <w:rPr>
      <w:b/>
      <w:sz w:val="24"/>
      <w:szCs w:val="24"/>
    </w:rPr>
  </w:style>
  <w:style xmlns:w15="http://schemas.microsoft.com/office/word/2012/wordml" w:type="paragraph" w:customStyle="1" w:styleId="SSFWoordmerk-Departement">
    <w:name w:val="SSF Woordmerk - Departement"/>
    <w:basedOn w:val="Normal"/>
    <w:next w:val="Normal"/>
    <w:pPr>
      <w:spacing w:before="320" w:line="220" w:lineRule="exact"/>
    </w:pPr>
    <w:rPr>
      <w:sz w:val="22"/>
      <w:szCs w:val="22"/>
    </w:rPr>
  </w:style>
  <w:style xmlns:w15="http://schemas.microsoft.com/office/word/2012/wordml" w:type="paragraph" w:customStyle="1" w:styleId="SSFWoordmerk-Organisatie">
    <w:name w:val="SSF Woordmerk - Organisatie"/>
    <w:basedOn w:val="Normal"/>
    <w:next w:val="Normal"/>
    <w:pPr>
      <w:spacing w:line="320" w:lineRule="exact"/>
    </w:pPr>
    <w:rPr>
      <w:sz w:val="32"/>
      <w:szCs w:val="32"/>
    </w:rPr>
  </w:style>
  <w:style xmlns:w15="http://schemas.microsoft.com/office/word/2012/wordml" w:type="paragraph" w:customStyle="1" w:styleId="SSFZegge">
    <w:name w:val="SSF Zegge"/>
    <w:basedOn w:val="SSFStandaard"/>
    <w:pPr>
      <w:spacing w:line="220" w:lineRule="exact"/>
    </w:pPr>
    <w:rPr>
      <w:caps/>
    </w:rPr>
  </w:style>
  <w:style xmlns:w15="http://schemas.microsoft.com/office/word/2012/wordml" w:type="paragraph" w:customStyle="1" w:styleId="Standaardboldcenter">
    <w:name w:val="Standaard bold center"/>
    <w:basedOn w:val="Normal"/>
    <w:next w:val="Normal"/>
    <w:pPr>
      <w:jc w:val="center"/>
    </w:pPr>
    <w:rPr>
      <w:b/>
    </w:rPr>
  </w:style>
  <w:style xmlns:w15="http://schemas.microsoft.com/office/word/2012/wordml" w:type="paragraph" w:customStyle="1" w:styleId="Standaardboldrechts">
    <w:name w:val="Standaard bold rechts"/>
    <w:basedOn w:val="Normal"/>
    <w:next w:val="Normal"/>
    <w:pPr>
      <w:jc w:val="right"/>
    </w:pPr>
    <w:rPr>
      <w:b/>
    </w:rPr>
  </w:style>
  <w:style xmlns:w15="http://schemas.microsoft.com/office/word/2012/wordml" w:type="paragraph" w:customStyle="1" w:styleId="StandaardCursief">
    <w:name w:val="Standaard Cursief"/>
    <w:basedOn w:val="Normal"/>
    <w:next w:val="Normal"/>
    <w:rPr>
      <w:i/>
    </w:rPr>
  </w:style>
  <w:style xmlns:w15="http://schemas.microsoft.com/office/word/2012/wordml" w:type="paragraph" w:customStyle="1" w:styleId="StandaardKleinKapitaal">
    <w:name w:val="Standaard Klein Kapitaal"/>
    <w:basedOn w:val="Normal"/>
    <w:next w:val="Normal"/>
    <w:rPr>
      <w:smallCaps/>
    </w:rPr>
  </w:style>
  <w:style xmlns:w15="http://schemas.microsoft.com/office/word/2012/wordml" w:type="paragraph" w:customStyle="1" w:styleId="Standaardopsomming">
    <w:name w:val="Standaard opsomming"/>
    <w:basedOn w:val="Normal"/>
    <w:next w:val="Normal"/>
    <w:pPr>
      <w:numPr>
        <w:numId w:val="15"/>
      </w:numPr>
    </w:pPr>
  </w:style>
  <w:style xmlns:w15="http://schemas.microsoft.com/office/word/2012/wordml" w:type="paragraph" w:customStyle="1" w:styleId="Standaardopsomminglijst">
    <w:name w:val="Standaard opsomming lijst"/>
    <w:basedOn w:val="Normal"/>
    <w:next w:val="Normal"/>
  </w:style>
  <w:style xmlns:w15="http://schemas.microsoft.com/office/word/2012/wordml" w:type="paragraph" w:customStyle="1" w:styleId="Standaardrechts">
    <w:name w:val="Standaard rechts"/>
    <w:basedOn w:val="Normal"/>
    <w:next w:val="Normal"/>
    <w:pPr>
      <w:jc w:val="right"/>
    </w:pPr>
  </w:style>
  <w:style xmlns:w15="http://schemas.microsoft.com/office/word/2012/wordml"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xmlns:w15="http://schemas.microsoft.com/office/word/2012/wordml" w:type="paragraph" w:customStyle="1" w:styleId="StandaardVerdana12">
    <w:name w:val="Standaard Verdana 12"/>
    <w:basedOn w:val="Normal"/>
    <w:next w:val="Normal"/>
    <w:rPr>
      <w:sz w:val="24"/>
      <w:szCs w:val="24"/>
    </w:rPr>
  </w:style>
  <w:style xmlns:w15="http://schemas.microsoft.com/office/word/2012/wordml" w:type="paragraph" w:customStyle="1" w:styleId="StandaardVerdana12bold">
    <w:name w:val="Standaard Verdana 12 bold"/>
    <w:basedOn w:val="Normal"/>
    <w:next w:val="Normal"/>
    <w:rPr>
      <w:b/>
      <w:sz w:val="24"/>
      <w:szCs w:val="24"/>
    </w:rPr>
  </w:style>
  <w:style xmlns:w15="http://schemas.microsoft.com/office/word/2012/wordml" w:type="paragraph" w:customStyle="1" w:styleId="StandaardVerdana14">
    <w:name w:val="Standaard Verdana 14"/>
    <w:basedOn w:val="Normal"/>
    <w:next w:val="Normal"/>
    <w:pPr>
      <w:spacing w:line="340" w:lineRule="exact"/>
    </w:pPr>
    <w:rPr>
      <w:sz w:val="28"/>
      <w:szCs w:val="28"/>
    </w:rPr>
  </w:style>
  <w:style xmlns:w15="http://schemas.microsoft.com/office/word/2012/wordml" w:type="paragraph" w:customStyle="1" w:styleId="StandaardVet">
    <w:name w:val="Standaard Vet"/>
    <w:basedOn w:val="Normal"/>
    <w:next w:val="Normal"/>
    <w:rPr>
      <w:b/>
    </w:rPr>
  </w:style>
  <w:style xmlns:w15="http://schemas.microsoft.com/office/word/2012/wordml" w:type="paragraph" w:customStyle="1" w:styleId="StandaardVetenRood">
    <w:name w:val="Standaard Vet en Rood"/>
    <w:basedOn w:val="Normal"/>
    <w:next w:val="Normal"/>
    <w:rPr>
      <w:b/>
      <w:color w:val="FF0000"/>
    </w:rPr>
  </w:style>
  <w:style xmlns:w15="http://schemas.microsoft.com/office/word/2012/wordml" w:type="paragraph" w:customStyle="1" w:styleId="StandaardRapportExtraVermelding">
    <w:name w:val="Standaard_Rapport_Extra_Vermelding"/>
    <w:basedOn w:val="Normal"/>
    <w:next w:val="Normal"/>
    <w:pPr>
      <w:spacing w:before="60" w:after="300"/>
    </w:pPr>
    <w:rPr>
      <w:sz w:val="20"/>
      <w:szCs w:val="20"/>
    </w:rPr>
  </w:style>
  <w:style xmlns:w15="http://schemas.microsoft.com/office/word/2012/wordml"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xmlns:w15="http://schemas.microsoft.com/office/word/2012/wordml" w:type="paragraph" w:customStyle="1" w:styleId="StandaardRapportSubtitel">
    <w:name w:val="Standaard_Rapport_Subtitel"/>
    <w:basedOn w:val="Normal"/>
    <w:next w:val="Normal"/>
    <w:pPr>
      <w:spacing w:before="240" w:after="360"/>
    </w:pPr>
    <w:rPr>
      <w:sz w:val="20"/>
      <w:szCs w:val="20"/>
    </w:rPr>
  </w:style>
  <w:style xmlns:w15="http://schemas.microsoft.com/office/word/2012/wordml" w:type="paragraph" w:customStyle="1" w:styleId="StandaardRapportTitel">
    <w:name w:val="Standaard_Rapport_Titel"/>
    <w:basedOn w:val="Normal"/>
    <w:next w:val="Normal"/>
    <w:pPr>
      <w:spacing w:before="60" w:after="320"/>
    </w:pPr>
    <w:rPr>
      <w:b/>
      <w:sz w:val="24"/>
      <w:szCs w:val="24"/>
    </w:rPr>
  </w:style>
  <w:style xmlns:w15="http://schemas.microsoft.com/office/word/2012/wordml" w:type="paragraph" w:customStyle="1" w:styleId="StandaardRapportVersie">
    <w:name w:val="Standaard_Rapport_Versie"/>
    <w:basedOn w:val="Normal"/>
    <w:next w:val="Normal"/>
    <w:pPr>
      <w:spacing w:before="60" w:after="360"/>
    </w:pPr>
  </w:style>
  <w:style xmlns:w15="http://schemas.microsoft.com/office/word/2012/wordml" w:type="paragraph" w:customStyle="1" w:styleId="Toezendgegevens">
    <w:name w:val="Toezendgegevens"/>
    <w:pPr>
      <w:spacing w:line="240" w:lineRule="exact"/>
    </w:pPr>
    <w:rPr>
      <w:rFonts w:ascii="Verdana" w:hAnsi="Verdana"/>
      <w:color w:val="000000"/>
      <w:sz w:val="18"/>
      <w:szCs w:val="18"/>
    </w:rPr>
  </w:style>
  <w:style xmlns:w15="http://schemas.microsoft.com/office/word/2012/wordml" w:type="paragraph" w:customStyle="1" w:styleId="Verdana">
    <w:name w:val="Verdana"/>
    <w:basedOn w:val="Normal"/>
    <w:next w:val="Normal"/>
    <w:rPr>
      <w:sz w:val="14"/>
      <w:szCs w:val="14"/>
    </w:rPr>
  </w:style>
  <w:style xmlns:w15="http://schemas.microsoft.com/office/word/2012/wordml" w:type="paragraph" w:customStyle="1" w:styleId="Verdana65">
    <w:name w:val="Verdana 6.5"/>
    <w:basedOn w:val="Normal"/>
    <w:next w:val="Normal"/>
    <w:rPr>
      <w:sz w:val="13"/>
      <w:szCs w:val="13"/>
    </w:rPr>
  </w:style>
  <w:style xmlns:w15="http://schemas.microsoft.com/office/word/2012/wordml" w:type="paragraph" w:customStyle="1" w:styleId="Verdana65bold">
    <w:name w:val="Verdana 6.5 bold"/>
    <w:basedOn w:val="Normal"/>
    <w:next w:val="Normal"/>
    <w:pPr>
      <w:spacing w:line="180" w:lineRule="exact"/>
    </w:pPr>
    <w:rPr>
      <w:b/>
      <w:sz w:val="13"/>
      <w:szCs w:val="13"/>
    </w:rPr>
  </w:style>
  <w:style xmlns:w15="http://schemas.microsoft.com/office/word/2012/wordml" w:type="paragraph" w:customStyle="1" w:styleId="Verdana8">
    <w:name w:val="Verdana 8"/>
    <w:next w:val="Normal"/>
    <w:pPr>
      <w:spacing w:line="180" w:lineRule="exact"/>
    </w:pPr>
    <w:rPr>
      <w:rFonts w:ascii="Verdana" w:hAnsi="Verdana"/>
      <w:color w:val="000000"/>
      <w:sz w:val="16"/>
      <w:szCs w:val="16"/>
    </w:rPr>
  </w:style>
  <w:style xmlns:w15="http://schemas.microsoft.com/office/word/2012/wordml" w:type="paragraph" w:customStyle="1" w:styleId="Verdana8rechts">
    <w:name w:val="Verdana 8 rechts"/>
    <w:basedOn w:val="Normal"/>
    <w:next w:val="Normal"/>
    <w:pPr>
      <w:jc w:val="right"/>
    </w:pPr>
    <w:rPr>
      <w:sz w:val="16"/>
      <w:szCs w:val="16"/>
    </w:rPr>
  </w:style>
  <w:style xmlns:w15="http://schemas.microsoft.com/office/word/2012/wordml" w:type="paragraph" w:customStyle="1" w:styleId="WitregelW1">
    <w:name w:val="Witregel W1"/>
    <w:next w:val="Normal"/>
    <w:pPr>
      <w:spacing w:line="90" w:lineRule="exact"/>
    </w:pPr>
    <w:rPr>
      <w:rFonts w:ascii="Verdana" w:hAnsi="Verdana"/>
      <w:color w:val="000000"/>
      <w:sz w:val="9"/>
      <w:szCs w:val="9"/>
    </w:rPr>
  </w:style>
  <w:style xmlns:w15="http://schemas.microsoft.com/office/word/2012/wordml" w:type="paragraph" w:customStyle="1" w:styleId="WitregelW1bodytekst">
    <w:name w:val="Witregel W1 (bodytekst)"/>
    <w:next w:val="Normal"/>
    <w:pPr>
      <w:spacing w:line="240" w:lineRule="exact"/>
    </w:pPr>
    <w:rPr>
      <w:rFonts w:ascii="Verdana" w:hAnsi="Verdana"/>
      <w:color w:val="000000"/>
      <w:sz w:val="18"/>
      <w:szCs w:val="18"/>
    </w:rPr>
  </w:style>
  <w:style xmlns:w15="http://schemas.microsoft.com/office/word/2012/wordml" w:type="paragraph" w:customStyle="1" w:styleId="WitregelW2">
    <w:name w:val="Witregel W2"/>
    <w:next w:val="Normal"/>
    <w:pPr>
      <w:spacing w:line="270" w:lineRule="exact"/>
    </w:pPr>
    <w:rPr>
      <w:rFonts w:ascii="Verdana" w:hAnsi="Verdana"/>
      <w:color w:val="000000"/>
      <w:sz w:val="27"/>
      <w:szCs w:val="27"/>
    </w:rPr>
  </w:style>
  <w:style xmlns:w15="http://schemas.microsoft.com/office/word/2012/wordml" w:type="paragraph" w:customStyle="1" w:styleId="Witregel1pt">
    <w:name w:val="Witregel_1pt"/>
    <w:basedOn w:val="Normal"/>
    <w:next w:val="Normal"/>
    <w:rPr>
      <w:sz w:val="2"/>
      <w:szCs w:val="2"/>
    </w:rPr>
  </w:style>
  <w:style xmlns:w15="http://schemas.microsoft.com/office/word/2012/wordml" w:type="paragraph" w:customStyle="1" w:styleId="Zendbriefstandaard">
    <w:name w:val="Zendbrief standaard"/>
    <w:basedOn w:val="Normal"/>
    <w:next w:val="Normal"/>
    <w:pPr>
      <w:spacing w:before="100" w:after="240"/>
    </w:pPr>
  </w:style>
  <w:style xmlns:w15="http://schemas.microsoft.com/office/word/2012/wordml" w:type="paragraph" w:styleId="Header">
    <w:name w:val="header"/>
    <w:basedOn w:val="Normal"/>
    <w:link w:val="HeaderChar"/>
    <w:uiPriority w:val="99"/>
    <w:unhideWhenUsed/>
    <w:rsid w:val="00111E11"/>
    <w:pPr>
      <w:tabs>
        <w:tab w:val="center" w:pos="4536"/>
        <w:tab w:val="right" w:pos="9072"/>
      </w:tabs>
      <w:spacing w:line="240" w:lineRule="auto"/>
    </w:pPr>
  </w:style>
  <w:style xmlns:w15="http://schemas.microsoft.com/office/word/2012/wordml" w:type="character" w:customStyle="1" w:styleId="HeaderChar">
    <w:name w:val="Header Char"/>
    <w:basedOn w:val="DefaultParagraphFont"/>
    <w:link w:val="Header"/>
    <w:uiPriority w:val="99"/>
    <w:rsid w:val="00111E11"/>
    <w:rPr>
      <w:rFonts w:ascii="Verdana" w:hAnsi="Verdana"/>
      <w:color w:val="000000"/>
      <w:sz w:val="18"/>
      <w:szCs w:val="18"/>
    </w:rPr>
  </w:style>
  <w:style xmlns:w15="http://schemas.microsoft.com/office/word/2012/wordml" w:type="paragraph" w:styleId="Footer">
    <w:name w:val="footer"/>
    <w:basedOn w:val="Normal"/>
    <w:link w:val="FooterChar"/>
    <w:uiPriority w:val="99"/>
    <w:unhideWhenUsed/>
    <w:rsid w:val="00111E11"/>
    <w:pPr>
      <w:tabs>
        <w:tab w:val="center" w:pos="4536"/>
        <w:tab w:val="right" w:pos="9072"/>
      </w:tabs>
      <w:spacing w:line="240" w:lineRule="auto"/>
    </w:pPr>
  </w:style>
  <w:style xmlns:w15="http://schemas.microsoft.com/office/word/2012/wordml" w:type="character" w:customStyle="1" w:styleId="FooterChar">
    <w:name w:val="Footer Char"/>
    <w:basedOn w:val="DefaultParagraphFont"/>
    <w:link w:val="Footer"/>
    <w:uiPriority w:val="99"/>
    <w:rsid w:val="00111E11"/>
    <w:rPr>
      <w:rFonts w:ascii="Verdana" w:hAnsi="Verdana"/>
      <w:color w:val="000000"/>
      <w:sz w:val="18"/>
      <w:szCs w:val="18"/>
    </w:rPr>
  </w:style>
  <w:style xmlns:w15="http://schemas.microsoft.com/office/word/2012/wordml" w:type="character" w:styleId="CommentReference">
    <w:name w:val="annotation reference"/>
    <w:basedOn w:val="DefaultParagraphFont"/>
    <w:uiPriority w:val="99"/>
    <w:semiHidden/>
    <w:unhideWhenUsed/>
    <w:rsid w:val="0082596A"/>
    <w:rPr>
      <w:sz w:val="16"/>
      <w:szCs w:val="16"/>
    </w:rPr>
  </w:style>
  <w:style xmlns:w15="http://schemas.microsoft.com/office/word/2012/wordml" w:type="paragraph" w:styleId="CommentText">
    <w:name w:val="annotation text"/>
    <w:basedOn w:val="Normal"/>
    <w:link w:val="CommentTextChar"/>
    <w:uiPriority w:val="99"/>
    <w:semiHidden/>
    <w:unhideWhenUsed/>
    <w:rsid w:val="0082596A"/>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82596A"/>
    <w:rPr>
      <w:rFonts w:ascii="Verdana" w:hAnsi="Verdana"/>
      <w:color w:val="000000"/>
    </w:rPr>
  </w:style>
  <w:style xmlns:w15="http://schemas.microsoft.com/office/word/2012/wordml" w:type="paragraph" w:styleId="CommentSubject">
    <w:name w:val="annotation subject"/>
    <w:basedOn w:val="CommentText"/>
    <w:next w:val="CommentText"/>
    <w:link w:val="CommentSubjectChar"/>
    <w:uiPriority w:val="99"/>
    <w:semiHidden/>
    <w:unhideWhenUsed/>
    <w:rsid w:val="0082596A"/>
    <w:rPr>
      <w:b/>
      <w:bCs/>
    </w:rPr>
  </w:style>
  <w:style xmlns:w15="http://schemas.microsoft.com/office/word/2012/wordml" w:type="character" w:customStyle="1" w:styleId="CommentSubjectChar">
    <w:name w:val="Comment Subject Char"/>
    <w:basedOn w:val="CommentTextChar"/>
    <w:link w:val="CommentSubject"/>
    <w:uiPriority w:val="99"/>
    <w:semiHidden/>
    <w:rsid w:val="0082596A"/>
    <w:rPr>
      <w:rFonts w:ascii="Verdana" w:hAnsi="Verdana"/>
      <w:b/>
      <w:bCs/>
      <w:color w:val="000000"/>
    </w:rPr>
  </w:style>
  <w:style xmlns:w15="http://schemas.microsoft.com/office/word/2012/wordml" w:type="paragraph" w:styleId="BalloonText">
    <w:name w:val="Balloon Text"/>
    <w:basedOn w:val="Normal"/>
    <w:link w:val="BalloonTextChar"/>
    <w:uiPriority w:val="99"/>
    <w:semiHidden/>
    <w:unhideWhenUsed/>
    <w:rsid w:val="0082596A"/>
    <w:pPr>
      <w:spacing w:line="240" w:lineRule="auto"/>
    </w:pPr>
    <w:rPr>
      <w:rFonts w:ascii="Segoe UI" w:hAnsi="Segoe UI" w:cs="Segoe UI"/>
    </w:rPr>
  </w:style>
  <w:style xmlns:w15="http://schemas.microsoft.com/office/word/2012/wordml" w:type="character" w:customStyle="1" w:styleId="BalloonTextChar">
    <w:name w:val="Balloon Text Char"/>
    <w:basedOn w:val="DefaultParagraphFont"/>
    <w:link w:val="BalloonText"/>
    <w:uiPriority w:val="99"/>
    <w:semiHidden/>
    <w:rsid w:val="0082596A"/>
    <w:rPr>
      <w:rFonts w:ascii="Segoe UI" w:hAnsi="Segoe UI" w:cs="Segoe UI"/>
      <w:color w:val="000000"/>
      <w:sz w:val="18"/>
      <w:szCs w:val="18"/>
    </w:rPr>
  </w:style>
  <w:style xmlns:w15="http://schemas.microsoft.com/office/word/2012/wordml" w:type="table" w:customStyle="1" w:styleId="Tabelraster1">
    <w:name w:val="Tabelraster1"/>
    <w:basedOn w:val="TableNormal"/>
    <w:next w:val="TableGrid"/>
    <w:uiPriority w:val="59"/>
    <w:rsid w:val="005B7AD2"/>
    <w:pPr>
      <w:autoSpaceDN/>
      <w:textAlignment w:val="auto"/>
    </w:pPr>
    <w:rPr>
      <w:rFonts w:ascii="Calibri" w:eastAsia="Calibri" w:hAnsi="Calibri" w:cs="Arial"/>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table" w:styleId="TableGrid">
    <w:name w:val="Table Grid"/>
    <w:basedOn w:val="TableNormal"/>
    <w:uiPriority w:val="39"/>
    <w:rsid w:val="005B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character" w:styleId="Hyperlink">
    <w:name w:val="Hyperlink"/>
    <w:basedOn w:val="DefaultParagraphFont"/>
    <w:uiPriority w:val="99"/>
    <w:unhideWhenUsed/>
    <w:rsid w:val="00A91470"/>
    <w:rPr>
      <w:color w:val="0563C1" w:themeColor="hyperlink"/>
      <w:u w:val="single"/>
    </w:rPr>
  </w:style>
  <w:style xmlns:w15="http://schemas.microsoft.com/office/word/2012/wordml" w:type="character" w:styleId="PlaceholderText">
    <w:name w:val="Placeholder Text"/>
    <w:basedOn w:val="DefaultParagraphFont"/>
    <w:uiPriority w:val="99"/>
    <w:semiHidden/>
    <w:rsid w:val="005750F6"/>
    <w:rPr>
      <w:color w:val="808080"/>
    </w:rPr>
  </w:style>
  <w:style xmlns:w15="http://schemas.microsoft.com/office/word/2012/wordml" w:type="paragraph" w:styleId="ListParagraph">
    <w:name w:val="List Paragraph"/>
    <w:basedOn w:val="Normal"/>
    <w:uiPriority w:val="34"/>
    <w:qFormat/>
    <w:rsid w:val="00095F89"/>
    <w:pPr>
      <w:autoSpaceDN/>
      <w:spacing w:line="240" w:lineRule="auto"/>
      <w:ind w:left="720"/>
      <w:textAlignment w:val="auto"/>
    </w:pPr>
    <w:rPr>
      <w:rFonts w:ascii="Calibri" w:eastAsiaTheme="minorHAnsi" w:hAnsi="Calibri" w:cs="Calibri"/>
      <w:color w:val="auto"/>
      <w:sz w:val="22"/>
      <w:szCs w:val="22"/>
      <w:lang w:eastAsia="es-ES"/>
    </w:rPr>
  </w:style>
  <w:style xmlns:w15="http://schemas.microsoft.com/office/word/2012/wordml" w:type="paragraph" w:styleId="HTMLPreformatted">
    <w:name w:val="HTML Preformatted"/>
    <w:basedOn w:val="Normal"/>
    <w:link w:val="HTMLPreformattedChar"/>
    <w:uiPriority w:val="99"/>
    <w:semiHidden/>
    <w:unhideWhenUsed/>
    <w:rsid w:val="002D711E"/>
    <w:pPr>
      <w:spacing w:line="240" w:lineRule="auto"/>
    </w:pPr>
    <w:rPr>
      <w:rFonts w:ascii="Consolas" w:hAnsi="Consolas"/>
      <w:sz w:val="20"/>
      <w:szCs w:val="20"/>
    </w:rPr>
  </w:style>
  <w:style xmlns:w15="http://schemas.microsoft.com/office/word/2012/wordml" w:type="character" w:customStyle="1" w:styleId="HTMLPreformattedChar">
    <w:name w:val="HTML Preformatted Char"/>
    <w:basedOn w:val="DefaultParagraphFont"/>
    <w:link w:val="HTMLPreformatted"/>
    <w:uiPriority w:val="99"/>
    <w:semiHidden/>
    <w:rsid w:val="002D711E"/>
    <w:rPr>
      <w:rFonts w:ascii="Consolas" w:hAnsi="Consolas"/>
      <w:color w:val="000000"/>
    </w:rPr>
  </w:style>
  <w:style xmlns:w15="http://schemas.microsoft.com/office/word/2012/wordml" w:type="paragraph" w:customStyle="1" w:styleId="Default">
    <w:name w:val="Default"/>
    <w:rsid w:val="0073698C"/>
    <w:pPr>
      <w:autoSpaceDE w:val="0"/>
      <w:adjustRightInd w:val="0"/>
      <w:textAlignment w:val="auto"/>
    </w:pPr>
    <w:rPr>
      <w:rFonts w:cs="Times New Roman"/>
      <w:color w:val="000000"/>
      <w:sz w:val="24"/>
      <w:szCs w:val="24"/>
    </w:rPr>
  </w:style>
  <w:style xmlns:w15="http://schemas.microsoft.com/office/word/2012/wordml" w:type="paragraph" w:styleId="FootnoteText">
    <w:name w:val="footnote text"/>
    <w:basedOn w:val="Normal"/>
    <w:link w:val="FootnoteTextChar"/>
    <w:uiPriority w:val="99"/>
    <w:semiHidden/>
    <w:unhideWhenUsed/>
    <w:rsid w:val="00E43FB2"/>
    <w:pPr>
      <w:spacing w:line="240" w:lineRule="auto"/>
    </w:pPr>
    <w:rPr>
      <w:sz w:val="20"/>
      <w:szCs w:val="20"/>
    </w:rPr>
  </w:style>
  <w:style xmlns:w15="http://schemas.microsoft.com/office/word/2012/wordml" w:type="character" w:customStyle="1" w:styleId="FootnoteTextChar">
    <w:name w:val="Footnote Text Char"/>
    <w:basedOn w:val="DefaultParagraphFont"/>
    <w:link w:val="FootnoteText"/>
    <w:uiPriority w:val="99"/>
    <w:semiHidden/>
    <w:rsid w:val="00E43FB2"/>
    <w:rPr>
      <w:rFonts w:ascii="Verdana" w:hAnsi="Verdana"/>
      <w:color w:val="000000"/>
    </w:rPr>
  </w:style>
  <w:style xmlns:w15="http://schemas.microsoft.com/office/word/2012/wordml" w:type="character" w:styleId="FootnoteReference">
    <w:name w:val="footnote reference"/>
    <w:basedOn w:val="DefaultParagraphFont"/>
    <w:uiPriority w:val="99"/>
    <w:semiHidden/>
    <w:unhideWhenUsed/>
    <w:rsid w:val="00E43FB2"/>
    <w:rPr>
      <w:vertAlign w:val="superscript"/>
    </w:rPr>
  </w:style>
  <w:style xmlns:w15="http://schemas.microsoft.com/office/word/2012/wordml" w:type="paragraph" w:customStyle="1" w:styleId="12PromKlEinlSatz">
    <w:name w:val="12_PromKl_EinlSatz"/>
    <w:basedOn w:val="Normal"/>
    <w:next w:val="Normal"/>
    <w:rsid w:val="00EF6AB5"/>
    <w:pPr>
      <w:keepNext/>
      <w:autoSpaceDN/>
      <w:spacing w:before="160" w:line="220" w:lineRule="exact"/>
      <w:ind w:firstLine="397"/>
      <w:jc w:val="both"/>
      <w:textAlignment w:val="auto"/>
    </w:pPr>
    <w:rPr>
      <w:rFonts w:ascii="Times New Roman" w:eastAsia="Times New Roman" w:hAnsi="Times New Roman"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6535">
      <w:bodyDiv w:val="1"/>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sChild>
            <w:div w:id="1544977871">
              <w:marLeft w:val="0"/>
              <w:marRight w:val="0"/>
              <w:marTop w:val="0"/>
              <w:marBottom w:val="0"/>
              <w:divBdr>
                <w:top w:val="none" w:sz="0" w:space="0" w:color="auto"/>
                <w:left w:val="none" w:sz="0" w:space="0" w:color="auto"/>
                <w:bottom w:val="none" w:sz="0" w:space="0" w:color="auto"/>
                <w:right w:val="none" w:sz="0" w:space="0" w:color="auto"/>
              </w:divBdr>
              <w:divsChild>
                <w:div w:id="1828014868">
                  <w:marLeft w:val="0"/>
                  <w:marRight w:val="0"/>
                  <w:marTop w:val="0"/>
                  <w:marBottom w:val="0"/>
                  <w:divBdr>
                    <w:top w:val="none" w:sz="0" w:space="0" w:color="auto"/>
                    <w:left w:val="none" w:sz="0" w:space="0" w:color="auto"/>
                    <w:bottom w:val="none" w:sz="0" w:space="0" w:color="auto"/>
                    <w:right w:val="none" w:sz="0" w:space="0" w:color="auto"/>
                  </w:divBdr>
                  <w:divsChild>
                    <w:div w:id="1812943287">
                      <w:marLeft w:val="0"/>
                      <w:marRight w:val="0"/>
                      <w:marTop w:val="0"/>
                      <w:marBottom w:val="0"/>
                      <w:divBdr>
                        <w:top w:val="none" w:sz="0" w:space="0" w:color="auto"/>
                        <w:left w:val="none" w:sz="0" w:space="0" w:color="auto"/>
                        <w:bottom w:val="none" w:sz="0" w:space="0" w:color="auto"/>
                        <w:right w:val="none" w:sz="0" w:space="0" w:color="auto"/>
                      </w:divBdr>
                      <w:divsChild>
                        <w:div w:id="2087611402">
                          <w:marLeft w:val="0"/>
                          <w:marRight w:val="0"/>
                          <w:marTop w:val="0"/>
                          <w:marBottom w:val="0"/>
                          <w:divBdr>
                            <w:top w:val="none" w:sz="0" w:space="0" w:color="auto"/>
                            <w:left w:val="none" w:sz="0" w:space="0" w:color="auto"/>
                            <w:bottom w:val="none" w:sz="0" w:space="0" w:color="auto"/>
                            <w:right w:val="none" w:sz="0" w:space="0" w:color="auto"/>
                          </w:divBdr>
                          <w:divsChild>
                            <w:div w:id="1497376867">
                              <w:marLeft w:val="2070"/>
                              <w:marRight w:val="3960"/>
                              <w:marTop w:val="0"/>
                              <w:marBottom w:val="0"/>
                              <w:divBdr>
                                <w:top w:val="none" w:sz="0" w:space="0" w:color="auto"/>
                                <w:left w:val="none" w:sz="0" w:space="0" w:color="auto"/>
                                <w:bottom w:val="none" w:sz="0" w:space="0" w:color="auto"/>
                                <w:right w:val="none" w:sz="0" w:space="0" w:color="auto"/>
                              </w:divBdr>
                              <w:divsChild>
                                <w:div w:id="70128166">
                                  <w:marLeft w:val="0"/>
                                  <w:marRight w:val="0"/>
                                  <w:marTop w:val="0"/>
                                  <w:marBottom w:val="0"/>
                                  <w:divBdr>
                                    <w:top w:val="none" w:sz="0" w:space="0" w:color="auto"/>
                                    <w:left w:val="none" w:sz="0" w:space="0" w:color="auto"/>
                                    <w:bottom w:val="none" w:sz="0" w:space="0" w:color="auto"/>
                                    <w:right w:val="none" w:sz="0" w:space="0" w:color="auto"/>
                                  </w:divBdr>
                                  <w:divsChild>
                                    <w:div w:id="439182687">
                                      <w:marLeft w:val="0"/>
                                      <w:marRight w:val="0"/>
                                      <w:marTop w:val="0"/>
                                      <w:marBottom w:val="0"/>
                                      <w:divBdr>
                                        <w:top w:val="none" w:sz="0" w:space="0" w:color="auto"/>
                                        <w:left w:val="none" w:sz="0" w:space="0" w:color="auto"/>
                                        <w:bottom w:val="none" w:sz="0" w:space="0" w:color="auto"/>
                                        <w:right w:val="none" w:sz="0" w:space="0" w:color="auto"/>
                                      </w:divBdr>
                                      <w:divsChild>
                                        <w:div w:id="1203328620">
                                          <w:marLeft w:val="0"/>
                                          <w:marRight w:val="0"/>
                                          <w:marTop w:val="0"/>
                                          <w:marBottom w:val="0"/>
                                          <w:divBdr>
                                            <w:top w:val="none" w:sz="0" w:space="0" w:color="auto"/>
                                            <w:left w:val="none" w:sz="0" w:space="0" w:color="auto"/>
                                            <w:bottom w:val="none" w:sz="0" w:space="0" w:color="auto"/>
                                            <w:right w:val="none" w:sz="0" w:space="0" w:color="auto"/>
                                          </w:divBdr>
                                          <w:divsChild>
                                            <w:div w:id="68620314">
                                              <w:marLeft w:val="0"/>
                                              <w:marRight w:val="0"/>
                                              <w:marTop w:val="90"/>
                                              <w:marBottom w:val="0"/>
                                              <w:divBdr>
                                                <w:top w:val="none" w:sz="0" w:space="0" w:color="auto"/>
                                                <w:left w:val="none" w:sz="0" w:space="0" w:color="auto"/>
                                                <w:bottom w:val="none" w:sz="0" w:space="0" w:color="auto"/>
                                                <w:right w:val="none" w:sz="0" w:space="0" w:color="auto"/>
                                              </w:divBdr>
                                              <w:divsChild>
                                                <w:div w:id="1904171408">
                                                  <w:marLeft w:val="0"/>
                                                  <w:marRight w:val="0"/>
                                                  <w:marTop w:val="0"/>
                                                  <w:marBottom w:val="0"/>
                                                  <w:divBdr>
                                                    <w:top w:val="none" w:sz="0" w:space="0" w:color="auto"/>
                                                    <w:left w:val="none" w:sz="0" w:space="0" w:color="auto"/>
                                                    <w:bottom w:val="none" w:sz="0" w:space="0" w:color="auto"/>
                                                    <w:right w:val="none" w:sz="0" w:space="0" w:color="auto"/>
                                                  </w:divBdr>
                                                  <w:divsChild>
                                                    <w:div w:id="1349797165">
                                                      <w:marLeft w:val="0"/>
                                                      <w:marRight w:val="0"/>
                                                      <w:marTop w:val="0"/>
                                                      <w:marBottom w:val="0"/>
                                                      <w:divBdr>
                                                        <w:top w:val="none" w:sz="0" w:space="0" w:color="auto"/>
                                                        <w:left w:val="none" w:sz="0" w:space="0" w:color="auto"/>
                                                        <w:bottom w:val="none" w:sz="0" w:space="0" w:color="auto"/>
                                                        <w:right w:val="none" w:sz="0" w:space="0" w:color="auto"/>
                                                      </w:divBdr>
                                                      <w:divsChild>
                                                        <w:div w:id="818302777">
                                                          <w:marLeft w:val="0"/>
                                                          <w:marRight w:val="0"/>
                                                          <w:marTop w:val="0"/>
                                                          <w:marBottom w:val="390"/>
                                                          <w:divBdr>
                                                            <w:top w:val="none" w:sz="0" w:space="0" w:color="auto"/>
                                                            <w:left w:val="none" w:sz="0" w:space="0" w:color="auto"/>
                                                            <w:bottom w:val="none" w:sz="0" w:space="0" w:color="auto"/>
                                                            <w:right w:val="none" w:sz="0" w:space="0" w:color="auto"/>
                                                          </w:divBdr>
                                                          <w:divsChild>
                                                            <w:div w:id="918978010">
                                                              <w:marLeft w:val="0"/>
                                                              <w:marRight w:val="0"/>
                                                              <w:marTop w:val="0"/>
                                                              <w:marBottom w:val="0"/>
                                                              <w:divBdr>
                                                                <w:top w:val="none" w:sz="0" w:space="0" w:color="auto"/>
                                                                <w:left w:val="none" w:sz="0" w:space="0" w:color="auto"/>
                                                                <w:bottom w:val="none" w:sz="0" w:space="0" w:color="auto"/>
                                                                <w:right w:val="none" w:sz="0" w:space="0" w:color="auto"/>
                                                              </w:divBdr>
                                                              <w:divsChild>
                                                                <w:div w:id="146212205">
                                                                  <w:marLeft w:val="0"/>
                                                                  <w:marRight w:val="0"/>
                                                                  <w:marTop w:val="0"/>
                                                                  <w:marBottom w:val="0"/>
                                                                  <w:divBdr>
                                                                    <w:top w:val="none" w:sz="0" w:space="0" w:color="auto"/>
                                                                    <w:left w:val="none" w:sz="0" w:space="0" w:color="auto"/>
                                                                    <w:bottom w:val="none" w:sz="0" w:space="0" w:color="auto"/>
                                                                    <w:right w:val="none" w:sz="0" w:space="0" w:color="auto"/>
                                                                  </w:divBdr>
                                                                  <w:divsChild>
                                                                    <w:div w:id="196823349">
                                                                      <w:marLeft w:val="0"/>
                                                                      <w:marRight w:val="0"/>
                                                                      <w:marTop w:val="0"/>
                                                                      <w:marBottom w:val="0"/>
                                                                      <w:divBdr>
                                                                        <w:top w:val="none" w:sz="0" w:space="0" w:color="auto"/>
                                                                        <w:left w:val="none" w:sz="0" w:space="0" w:color="auto"/>
                                                                        <w:bottom w:val="none" w:sz="0" w:space="0" w:color="auto"/>
                                                                        <w:right w:val="none" w:sz="0" w:space="0" w:color="auto"/>
                                                                      </w:divBdr>
                                                                      <w:divsChild>
                                                                        <w:div w:id="502087935">
                                                                          <w:marLeft w:val="0"/>
                                                                          <w:marRight w:val="0"/>
                                                                          <w:marTop w:val="0"/>
                                                                          <w:marBottom w:val="0"/>
                                                                          <w:divBdr>
                                                                            <w:top w:val="none" w:sz="0" w:space="0" w:color="auto"/>
                                                                            <w:left w:val="none" w:sz="0" w:space="0" w:color="auto"/>
                                                                            <w:bottom w:val="none" w:sz="0" w:space="0" w:color="auto"/>
                                                                            <w:right w:val="none" w:sz="0" w:space="0" w:color="auto"/>
                                                                          </w:divBdr>
                                                                          <w:divsChild>
                                                                            <w:div w:id="1194005266">
                                                                              <w:marLeft w:val="0"/>
                                                                              <w:marRight w:val="0"/>
                                                                              <w:marTop w:val="0"/>
                                                                              <w:marBottom w:val="0"/>
                                                                              <w:divBdr>
                                                                                <w:top w:val="none" w:sz="0" w:space="0" w:color="auto"/>
                                                                                <w:left w:val="none" w:sz="0" w:space="0" w:color="auto"/>
                                                                                <w:bottom w:val="none" w:sz="0" w:space="0" w:color="auto"/>
                                                                                <w:right w:val="none" w:sz="0" w:space="0" w:color="auto"/>
                                                                              </w:divBdr>
                                                                              <w:divsChild>
                                                                                <w:div w:id="944922893">
                                                                                  <w:marLeft w:val="0"/>
                                                                                  <w:marRight w:val="0"/>
                                                                                  <w:marTop w:val="0"/>
                                                                                  <w:marBottom w:val="0"/>
                                                                                  <w:divBdr>
                                                                                    <w:top w:val="none" w:sz="0" w:space="0" w:color="auto"/>
                                                                                    <w:left w:val="none" w:sz="0" w:space="0" w:color="auto"/>
                                                                                    <w:bottom w:val="none" w:sz="0" w:space="0" w:color="auto"/>
                                                                                    <w:right w:val="none" w:sz="0" w:space="0" w:color="auto"/>
                                                                                  </w:divBdr>
                                                                                  <w:divsChild>
                                                                                    <w:div w:id="997684273">
                                                                                      <w:marLeft w:val="0"/>
                                                                                      <w:marRight w:val="0"/>
                                                                                      <w:marTop w:val="0"/>
                                                                                      <w:marBottom w:val="0"/>
                                                                                      <w:divBdr>
                                                                                        <w:top w:val="none" w:sz="0" w:space="0" w:color="auto"/>
                                                                                        <w:left w:val="none" w:sz="0" w:space="0" w:color="auto"/>
                                                                                        <w:bottom w:val="none" w:sz="0" w:space="0" w:color="auto"/>
                                                                                        <w:right w:val="none" w:sz="0" w:space="0" w:color="auto"/>
                                                                                      </w:divBdr>
                                                                                      <w:divsChild>
                                                                                        <w:div w:id="9298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70161">
      <w:bodyDiv w:val="1"/>
      <w:marLeft w:val="0"/>
      <w:marRight w:val="0"/>
      <w:marTop w:val="0"/>
      <w:marBottom w:val="0"/>
      <w:divBdr>
        <w:top w:val="none" w:sz="0" w:space="0" w:color="auto"/>
        <w:left w:val="none" w:sz="0" w:space="0" w:color="auto"/>
        <w:bottom w:val="none" w:sz="0" w:space="0" w:color="auto"/>
        <w:right w:val="none" w:sz="0" w:space="0" w:color="auto"/>
      </w:divBdr>
    </w:div>
    <w:div w:id="1942641122">
      <w:bodyDiv w:val="1"/>
      <w:marLeft w:val="0"/>
      <w:marRight w:val="0"/>
      <w:marTop w:val="0"/>
      <w:marBottom w:val="0"/>
      <w:divBdr>
        <w:top w:val="none" w:sz="0" w:space="0" w:color="auto"/>
        <w:left w:val="none" w:sz="0" w:space="0" w:color="auto"/>
        <w:bottom w:val="none" w:sz="0" w:space="0" w:color="auto"/>
        <w:right w:val="none" w:sz="0" w:space="0" w:color="auto"/>
      </w:divBdr>
      <w:divsChild>
        <w:div w:id="365066475">
          <w:marLeft w:val="0"/>
          <w:marRight w:val="0"/>
          <w:marTop w:val="0"/>
          <w:marBottom w:val="0"/>
          <w:divBdr>
            <w:top w:val="none" w:sz="0" w:space="0" w:color="auto"/>
            <w:left w:val="none" w:sz="0" w:space="0" w:color="auto"/>
            <w:bottom w:val="none" w:sz="0" w:space="0" w:color="auto"/>
            <w:right w:val="none" w:sz="0" w:space="0" w:color="auto"/>
          </w:divBdr>
          <w:divsChild>
            <w:div w:id="9911574">
              <w:marLeft w:val="0"/>
              <w:marRight w:val="0"/>
              <w:marTop w:val="0"/>
              <w:marBottom w:val="0"/>
              <w:divBdr>
                <w:top w:val="none" w:sz="0" w:space="0" w:color="auto"/>
                <w:left w:val="none" w:sz="0" w:space="0" w:color="auto"/>
                <w:bottom w:val="none" w:sz="0" w:space="0" w:color="auto"/>
                <w:right w:val="none" w:sz="0" w:space="0" w:color="auto"/>
              </w:divBdr>
              <w:divsChild>
                <w:div w:id="980892059">
                  <w:marLeft w:val="0"/>
                  <w:marRight w:val="0"/>
                  <w:marTop w:val="0"/>
                  <w:marBottom w:val="0"/>
                  <w:divBdr>
                    <w:top w:val="none" w:sz="0" w:space="0" w:color="auto"/>
                    <w:left w:val="none" w:sz="0" w:space="0" w:color="auto"/>
                    <w:bottom w:val="none" w:sz="0" w:space="0" w:color="auto"/>
                    <w:right w:val="none" w:sz="0" w:space="0" w:color="auto"/>
                  </w:divBdr>
                  <w:divsChild>
                    <w:div w:id="201673494">
                      <w:marLeft w:val="0"/>
                      <w:marRight w:val="0"/>
                      <w:marTop w:val="0"/>
                      <w:marBottom w:val="0"/>
                      <w:divBdr>
                        <w:top w:val="none" w:sz="0" w:space="0" w:color="auto"/>
                        <w:left w:val="none" w:sz="0" w:space="0" w:color="auto"/>
                        <w:bottom w:val="none" w:sz="0" w:space="0" w:color="auto"/>
                        <w:right w:val="none" w:sz="0" w:space="0" w:color="auto"/>
                      </w:divBdr>
                      <w:divsChild>
                        <w:div w:id="768281234">
                          <w:marLeft w:val="0"/>
                          <w:marRight w:val="0"/>
                          <w:marTop w:val="0"/>
                          <w:marBottom w:val="0"/>
                          <w:divBdr>
                            <w:top w:val="none" w:sz="0" w:space="0" w:color="auto"/>
                            <w:left w:val="none" w:sz="0" w:space="0" w:color="auto"/>
                            <w:bottom w:val="none" w:sz="0" w:space="0" w:color="auto"/>
                            <w:right w:val="none" w:sz="0" w:space="0" w:color="auto"/>
                          </w:divBdr>
                          <w:divsChild>
                            <w:div w:id="210385648">
                              <w:marLeft w:val="2070"/>
                              <w:marRight w:val="3960"/>
                              <w:marTop w:val="0"/>
                              <w:marBottom w:val="0"/>
                              <w:divBdr>
                                <w:top w:val="none" w:sz="0" w:space="0" w:color="auto"/>
                                <w:left w:val="none" w:sz="0" w:space="0" w:color="auto"/>
                                <w:bottom w:val="none" w:sz="0" w:space="0" w:color="auto"/>
                                <w:right w:val="none" w:sz="0" w:space="0" w:color="auto"/>
                              </w:divBdr>
                              <w:divsChild>
                                <w:div w:id="709916647">
                                  <w:marLeft w:val="0"/>
                                  <w:marRight w:val="0"/>
                                  <w:marTop w:val="0"/>
                                  <w:marBottom w:val="0"/>
                                  <w:divBdr>
                                    <w:top w:val="none" w:sz="0" w:space="0" w:color="auto"/>
                                    <w:left w:val="none" w:sz="0" w:space="0" w:color="auto"/>
                                    <w:bottom w:val="none" w:sz="0" w:space="0" w:color="auto"/>
                                    <w:right w:val="none" w:sz="0" w:space="0" w:color="auto"/>
                                  </w:divBdr>
                                  <w:divsChild>
                                    <w:div w:id="1929608565">
                                      <w:marLeft w:val="0"/>
                                      <w:marRight w:val="0"/>
                                      <w:marTop w:val="0"/>
                                      <w:marBottom w:val="0"/>
                                      <w:divBdr>
                                        <w:top w:val="none" w:sz="0" w:space="0" w:color="auto"/>
                                        <w:left w:val="none" w:sz="0" w:space="0" w:color="auto"/>
                                        <w:bottom w:val="none" w:sz="0" w:space="0" w:color="auto"/>
                                        <w:right w:val="none" w:sz="0" w:space="0" w:color="auto"/>
                                      </w:divBdr>
                                      <w:divsChild>
                                        <w:div w:id="184634960">
                                          <w:marLeft w:val="0"/>
                                          <w:marRight w:val="0"/>
                                          <w:marTop w:val="0"/>
                                          <w:marBottom w:val="0"/>
                                          <w:divBdr>
                                            <w:top w:val="none" w:sz="0" w:space="0" w:color="auto"/>
                                            <w:left w:val="none" w:sz="0" w:space="0" w:color="auto"/>
                                            <w:bottom w:val="none" w:sz="0" w:space="0" w:color="auto"/>
                                            <w:right w:val="none" w:sz="0" w:space="0" w:color="auto"/>
                                          </w:divBdr>
                                          <w:divsChild>
                                            <w:div w:id="1350568157">
                                              <w:marLeft w:val="0"/>
                                              <w:marRight w:val="0"/>
                                              <w:marTop w:val="90"/>
                                              <w:marBottom w:val="0"/>
                                              <w:divBdr>
                                                <w:top w:val="none" w:sz="0" w:space="0" w:color="auto"/>
                                                <w:left w:val="none" w:sz="0" w:space="0" w:color="auto"/>
                                                <w:bottom w:val="none" w:sz="0" w:space="0" w:color="auto"/>
                                                <w:right w:val="none" w:sz="0" w:space="0" w:color="auto"/>
                                              </w:divBdr>
                                              <w:divsChild>
                                                <w:div w:id="1378123030">
                                                  <w:marLeft w:val="0"/>
                                                  <w:marRight w:val="0"/>
                                                  <w:marTop w:val="0"/>
                                                  <w:marBottom w:val="0"/>
                                                  <w:divBdr>
                                                    <w:top w:val="none" w:sz="0" w:space="0" w:color="auto"/>
                                                    <w:left w:val="none" w:sz="0" w:space="0" w:color="auto"/>
                                                    <w:bottom w:val="none" w:sz="0" w:space="0" w:color="auto"/>
                                                    <w:right w:val="none" w:sz="0" w:space="0" w:color="auto"/>
                                                  </w:divBdr>
                                                  <w:divsChild>
                                                    <w:div w:id="831142104">
                                                      <w:marLeft w:val="0"/>
                                                      <w:marRight w:val="0"/>
                                                      <w:marTop w:val="0"/>
                                                      <w:marBottom w:val="0"/>
                                                      <w:divBdr>
                                                        <w:top w:val="none" w:sz="0" w:space="0" w:color="auto"/>
                                                        <w:left w:val="none" w:sz="0" w:space="0" w:color="auto"/>
                                                        <w:bottom w:val="none" w:sz="0" w:space="0" w:color="auto"/>
                                                        <w:right w:val="none" w:sz="0" w:space="0" w:color="auto"/>
                                                      </w:divBdr>
                                                      <w:divsChild>
                                                        <w:div w:id="1066604710">
                                                          <w:marLeft w:val="0"/>
                                                          <w:marRight w:val="0"/>
                                                          <w:marTop w:val="0"/>
                                                          <w:marBottom w:val="390"/>
                                                          <w:divBdr>
                                                            <w:top w:val="none" w:sz="0" w:space="0" w:color="auto"/>
                                                            <w:left w:val="none" w:sz="0" w:space="0" w:color="auto"/>
                                                            <w:bottom w:val="none" w:sz="0" w:space="0" w:color="auto"/>
                                                            <w:right w:val="none" w:sz="0" w:space="0" w:color="auto"/>
                                                          </w:divBdr>
                                                          <w:divsChild>
                                                            <w:div w:id="980309587">
                                                              <w:marLeft w:val="0"/>
                                                              <w:marRight w:val="0"/>
                                                              <w:marTop w:val="0"/>
                                                              <w:marBottom w:val="0"/>
                                                              <w:divBdr>
                                                                <w:top w:val="none" w:sz="0" w:space="0" w:color="auto"/>
                                                                <w:left w:val="none" w:sz="0" w:space="0" w:color="auto"/>
                                                                <w:bottom w:val="none" w:sz="0" w:space="0" w:color="auto"/>
                                                                <w:right w:val="none" w:sz="0" w:space="0" w:color="auto"/>
                                                              </w:divBdr>
                                                              <w:divsChild>
                                                                <w:div w:id="1275555486">
                                                                  <w:marLeft w:val="0"/>
                                                                  <w:marRight w:val="0"/>
                                                                  <w:marTop w:val="0"/>
                                                                  <w:marBottom w:val="0"/>
                                                                  <w:divBdr>
                                                                    <w:top w:val="none" w:sz="0" w:space="0" w:color="auto"/>
                                                                    <w:left w:val="none" w:sz="0" w:space="0" w:color="auto"/>
                                                                    <w:bottom w:val="none" w:sz="0" w:space="0" w:color="auto"/>
                                                                    <w:right w:val="none" w:sz="0" w:space="0" w:color="auto"/>
                                                                  </w:divBdr>
                                                                  <w:divsChild>
                                                                    <w:div w:id="236088903">
                                                                      <w:marLeft w:val="0"/>
                                                                      <w:marRight w:val="0"/>
                                                                      <w:marTop w:val="0"/>
                                                                      <w:marBottom w:val="0"/>
                                                                      <w:divBdr>
                                                                        <w:top w:val="none" w:sz="0" w:space="0" w:color="auto"/>
                                                                        <w:left w:val="none" w:sz="0" w:space="0" w:color="auto"/>
                                                                        <w:bottom w:val="none" w:sz="0" w:space="0" w:color="auto"/>
                                                                        <w:right w:val="none" w:sz="0" w:space="0" w:color="auto"/>
                                                                      </w:divBdr>
                                                                      <w:divsChild>
                                                                        <w:div w:id="606624254">
                                                                          <w:marLeft w:val="0"/>
                                                                          <w:marRight w:val="0"/>
                                                                          <w:marTop w:val="0"/>
                                                                          <w:marBottom w:val="0"/>
                                                                          <w:divBdr>
                                                                            <w:top w:val="none" w:sz="0" w:space="0" w:color="auto"/>
                                                                            <w:left w:val="none" w:sz="0" w:space="0" w:color="auto"/>
                                                                            <w:bottom w:val="none" w:sz="0" w:space="0" w:color="auto"/>
                                                                            <w:right w:val="none" w:sz="0" w:space="0" w:color="auto"/>
                                                                          </w:divBdr>
                                                                          <w:divsChild>
                                                                            <w:div w:id="2023891361">
                                                                              <w:marLeft w:val="0"/>
                                                                              <w:marRight w:val="0"/>
                                                                              <w:marTop w:val="0"/>
                                                                              <w:marBottom w:val="0"/>
                                                                              <w:divBdr>
                                                                                <w:top w:val="none" w:sz="0" w:space="0" w:color="auto"/>
                                                                                <w:left w:val="none" w:sz="0" w:space="0" w:color="auto"/>
                                                                                <w:bottom w:val="none" w:sz="0" w:space="0" w:color="auto"/>
                                                                                <w:right w:val="none" w:sz="0" w:space="0" w:color="auto"/>
                                                                              </w:divBdr>
                                                                              <w:divsChild>
                                                                                <w:div w:id="1782337685">
                                                                                  <w:marLeft w:val="0"/>
                                                                                  <w:marRight w:val="0"/>
                                                                                  <w:marTop w:val="0"/>
                                                                                  <w:marBottom w:val="0"/>
                                                                                  <w:divBdr>
                                                                                    <w:top w:val="none" w:sz="0" w:space="0" w:color="auto"/>
                                                                                    <w:left w:val="none" w:sz="0" w:space="0" w:color="auto"/>
                                                                                    <w:bottom w:val="none" w:sz="0" w:space="0" w:color="auto"/>
                                                                                    <w:right w:val="none" w:sz="0" w:space="0" w:color="auto"/>
                                                                                  </w:divBdr>
                                                                                  <w:divsChild>
                                                                                    <w:div w:id="2095972668">
                                                                                      <w:marLeft w:val="0"/>
                                                                                      <w:marRight w:val="0"/>
                                                                                      <w:marTop w:val="0"/>
                                                                                      <w:marBottom w:val="0"/>
                                                                                      <w:divBdr>
                                                                                        <w:top w:val="none" w:sz="0" w:space="0" w:color="auto"/>
                                                                                        <w:left w:val="none" w:sz="0" w:space="0" w:color="auto"/>
                                                                                        <w:bottom w:val="none" w:sz="0" w:space="0" w:color="auto"/>
                                                                                        <w:right w:val="none" w:sz="0" w:space="0" w:color="auto"/>
                                                                                      </w:divBdr>
                                                                                      <w:divsChild>
                                                                                        <w:div w:id="1350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213378">
      <w:bodyDiv w:val="1"/>
      <w:marLeft w:val="0"/>
      <w:marRight w:val="0"/>
      <w:marTop w:val="0"/>
      <w:marBottom w:val="0"/>
      <w:divBdr>
        <w:top w:val="none" w:sz="0" w:space="0" w:color="auto"/>
        <w:left w:val="none" w:sz="0" w:space="0" w:color="auto"/>
        <w:bottom w:val="none" w:sz="0" w:space="0" w:color="auto"/>
        <w:right w:val="none" w:sz="0" w:space="0" w:color="auto"/>
      </w:divBdr>
      <w:divsChild>
        <w:div w:id="888996761">
          <w:marLeft w:val="0"/>
          <w:marRight w:val="0"/>
          <w:marTop w:val="0"/>
          <w:marBottom w:val="0"/>
          <w:divBdr>
            <w:top w:val="none" w:sz="0" w:space="0" w:color="auto"/>
            <w:left w:val="none" w:sz="0" w:space="0" w:color="auto"/>
            <w:bottom w:val="none" w:sz="0" w:space="0" w:color="auto"/>
            <w:right w:val="none" w:sz="0" w:space="0" w:color="auto"/>
          </w:divBdr>
          <w:divsChild>
            <w:div w:id="342973965">
              <w:marLeft w:val="0"/>
              <w:marRight w:val="0"/>
              <w:marTop w:val="0"/>
              <w:marBottom w:val="0"/>
              <w:divBdr>
                <w:top w:val="none" w:sz="0" w:space="0" w:color="auto"/>
                <w:left w:val="none" w:sz="0" w:space="0" w:color="auto"/>
                <w:bottom w:val="none" w:sz="0" w:space="0" w:color="auto"/>
                <w:right w:val="none" w:sz="0" w:space="0" w:color="auto"/>
              </w:divBdr>
              <w:divsChild>
                <w:div w:id="1307122000">
                  <w:marLeft w:val="0"/>
                  <w:marRight w:val="0"/>
                  <w:marTop w:val="0"/>
                  <w:marBottom w:val="0"/>
                  <w:divBdr>
                    <w:top w:val="none" w:sz="0" w:space="0" w:color="auto"/>
                    <w:left w:val="none" w:sz="0" w:space="0" w:color="auto"/>
                    <w:bottom w:val="none" w:sz="0" w:space="0" w:color="auto"/>
                    <w:right w:val="none" w:sz="0" w:space="0" w:color="auto"/>
                  </w:divBdr>
                  <w:divsChild>
                    <w:div w:id="2144888865">
                      <w:marLeft w:val="0"/>
                      <w:marRight w:val="0"/>
                      <w:marTop w:val="0"/>
                      <w:marBottom w:val="0"/>
                      <w:divBdr>
                        <w:top w:val="none" w:sz="0" w:space="0" w:color="auto"/>
                        <w:left w:val="none" w:sz="0" w:space="0" w:color="auto"/>
                        <w:bottom w:val="none" w:sz="0" w:space="0" w:color="auto"/>
                        <w:right w:val="none" w:sz="0" w:space="0" w:color="auto"/>
                      </w:divBdr>
                      <w:divsChild>
                        <w:div w:id="1492477949">
                          <w:marLeft w:val="0"/>
                          <w:marRight w:val="0"/>
                          <w:marTop w:val="0"/>
                          <w:marBottom w:val="0"/>
                          <w:divBdr>
                            <w:top w:val="none" w:sz="0" w:space="0" w:color="auto"/>
                            <w:left w:val="none" w:sz="0" w:space="0" w:color="auto"/>
                            <w:bottom w:val="none" w:sz="0" w:space="0" w:color="auto"/>
                            <w:right w:val="none" w:sz="0" w:space="0" w:color="auto"/>
                          </w:divBdr>
                          <w:divsChild>
                            <w:div w:id="159127713">
                              <w:marLeft w:val="2070"/>
                              <w:marRight w:val="3960"/>
                              <w:marTop w:val="0"/>
                              <w:marBottom w:val="0"/>
                              <w:divBdr>
                                <w:top w:val="none" w:sz="0" w:space="0" w:color="auto"/>
                                <w:left w:val="none" w:sz="0" w:space="0" w:color="auto"/>
                                <w:bottom w:val="none" w:sz="0" w:space="0" w:color="auto"/>
                                <w:right w:val="none" w:sz="0" w:space="0" w:color="auto"/>
                              </w:divBdr>
                              <w:divsChild>
                                <w:div w:id="2059550124">
                                  <w:marLeft w:val="0"/>
                                  <w:marRight w:val="0"/>
                                  <w:marTop w:val="0"/>
                                  <w:marBottom w:val="0"/>
                                  <w:divBdr>
                                    <w:top w:val="none" w:sz="0" w:space="0" w:color="auto"/>
                                    <w:left w:val="none" w:sz="0" w:space="0" w:color="auto"/>
                                    <w:bottom w:val="none" w:sz="0" w:space="0" w:color="auto"/>
                                    <w:right w:val="none" w:sz="0" w:space="0" w:color="auto"/>
                                  </w:divBdr>
                                  <w:divsChild>
                                    <w:div w:id="7949437">
                                      <w:marLeft w:val="0"/>
                                      <w:marRight w:val="0"/>
                                      <w:marTop w:val="0"/>
                                      <w:marBottom w:val="0"/>
                                      <w:divBdr>
                                        <w:top w:val="none" w:sz="0" w:space="0" w:color="auto"/>
                                        <w:left w:val="none" w:sz="0" w:space="0" w:color="auto"/>
                                        <w:bottom w:val="none" w:sz="0" w:space="0" w:color="auto"/>
                                        <w:right w:val="none" w:sz="0" w:space="0" w:color="auto"/>
                                      </w:divBdr>
                                      <w:divsChild>
                                        <w:div w:id="1316951882">
                                          <w:marLeft w:val="0"/>
                                          <w:marRight w:val="0"/>
                                          <w:marTop w:val="0"/>
                                          <w:marBottom w:val="0"/>
                                          <w:divBdr>
                                            <w:top w:val="none" w:sz="0" w:space="0" w:color="auto"/>
                                            <w:left w:val="none" w:sz="0" w:space="0" w:color="auto"/>
                                            <w:bottom w:val="none" w:sz="0" w:space="0" w:color="auto"/>
                                            <w:right w:val="none" w:sz="0" w:space="0" w:color="auto"/>
                                          </w:divBdr>
                                          <w:divsChild>
                                            <w:div w:id="491802194">
                                              <w:marLeft w:val="0"/>
                                              <w:marRight w:val="0"/>
                                              <w:marTop w:val="90"/>
                                              <w:marBottom w:val="0"/>
                                              <w:divBdr>
                                                <w:top w:val="none" w:sz="0" w:space="0" w:color="auto"/>
                                                <w:left w:val="none" w:sz="0" w:space="0" w:color="auto"/>
                                                <w:bottom w:val="none" w:sz="0" w:space="0" w:color="auto"/>
                                                <w:right w:val="none" w:sz="0" w:space="0" w:color="auto"/>
                                              </w:divBdr>
                                              <w:divsChild>
                                                <w:div w:id="648747848">
                                                  <w:marLeft w:val="0"/>
                                                  <w:marRight w:val="0"/>
                                                  <w:marTop w:val="0"/>
                                                  <w:marBottom w:val="0"/>
                                                  <w:divBdr>
                                                    <w:top w:val="none" w:sz="0" w:space="0" w:color="auto"/>
                                                    <w:left w:val="none" w:sz="0" w:space="0" w:color="auto"/>
                                                    <w:bottom w:val="none" w:sz="0" w:space="0" w:color="auto"/>
                                                    <w:right w:val="none" w:sz="0" w:space="0" w:color="auto"/>
                                                  </w:divBdr>
                                                  <w:divsChild>
                                                    <w:div w:id="504563230">
                                                      <w:marLeft w:val="0"/>
                                                      <w:marRight w:val="0"/>
                                                      <w:marTop w:val="0"/>
                                                      <w:marBottom w:val="0"/>
                                                      <w:divBdr>
                                                        <w:top w:val="none" w:sz="0" w:space="0" w:color="auto"/>
                                                        <w:left w:val="none" w:sz="0" w:space="0" w:color="auto"/>
                                                        <w:bottom w:val="none" w:sz="0" w:space="0" w:color="auto"/>
                                                        <w:right w:val="none" w:sz="0" w:space="0" w:color="auto"/>
                                                      </w:divBdr>
                                                      <w:divsChild>
                                                        <w:div w:id="2010055190">
                                                          <w:marLeft w:val="0"/>
                                                          <w:marRight w:val="0"/>
                                                          <w:marTop w:val="0"/>
                                                          <w:marBottom w:val="390"/>
                                                          <w:divBdr>
                                                            <w:top w:val="none" w:sz="0" w:space="0" w:color="auto"/>
                                                            <w:left w:val="none" w:sz="0" w:space="0" w:color="auto"/>
                                                            <w:bottom w:val="none" w:sz="0" w:space="0" w:color="auto"/>
                                                            <w:right w:val="none" w:sz="0" w:space="0" w:color="auto"/>
                                                          </w:divBdr>
                                                          <w:divsChild>
                                                            <w:div w:id="539363485">
                                                              <w:marLeft w:val="0"/>
                                                              <w:marRight w:val="0"/>
                                                              <w:marTop w:val="0"/>
                                                              <w:marBottom w:val="0"/>
                                                              <w:divBdr>
                                                                <w:top w:val="none" w:sz="0" w:space="0" w:color="auto"/>
                                                                <w:left w:val="none" w:sz="0" w:space="0" w:color="auto"/>
                                                                <w:bottom w:val="none" w:sz="0" w:space="0" w:color="auto"/>
                                                                <w:right w:val="none" w:sz="0" w:space="0" w:color="auto"/>
                                                              </w:divBdr>
                                                              <w:divsChild>
                                                                <w:div w:id="2022273493">
                                                                  <w:marLeft w:val="0"/>
                                                                  <w:marRight w:val="0"/>
                                                                  <w:marTop w:val="0"/>
                                                                  <w:marBottom w:val="0"/>
                                                                  <w:divBdr>
                                                                    <w:top w:val="none" w:sz="0" w:space="0" w:color="auto"/>
                                                                    <w:left w:val="none" w:sz="0" w:space="0" w:color="auto"/>
                                                                    <w:bottom w:val="none" w:sz="0" w:space="0" w:color="auto"/>
                                                                    <w:right w:val="none" w:sz="0" w:space="0" w:color="auto"/>
                                                                  </w:divBdr>
                                                                  <w:divsChild>
                                                                    <w:div w:id="442917231">
                                                                      <w:marLeft w:val="0"/>
                                                                      <w:marRight w:val="0"/>
                                                                      <w:marTop w:val="0"/>
                                                                      <w:marBottom w:val="0"/>
                                                                      <w:divBdr>
                                                                        <w:top w:val="none" w:sz="0" w:space="0" w:color="auto"/>
                                                                        <w:left w:val="none" w:sz="0" w:space="0" w:color="auto"/>
                                                                        <w:bottom w:val="none" w:sz="0" w:space="0" w:color="auto"/>
                                                                        <w:right w:val="none" w:sz="0" w:space="0" w:color="auto"/>
                                                                      </w:divBdr>
                                                                      <w:divsChild>
                                                                        <w:div w:id="2112896609">
                                                                          <w:marLeft w:val="0"/>
                                                                          <w:marRight w:val="0"/>
                                                                          <w:marTop w:val="0"/>
                                                                          <w:marBottom w:val="0"/>
                                                                          <w:divBdr>
                                                                            <w:top w:val="none" w:sz="0" w:space="0" w:color="auto"/>
                                                                            <w:left w:val="none" w:sz="0" w:space="0" w:color="auto"/>
                                                                            <w:bottom w:val="none" w:sz="0" w:space="0" w:color="auto"/>
                                                                            <w:right w:val="none" w:sz="0" w:space="0" w:color="auto"/>
                                                                          </w:divBdr>
                                                                          <w:divsChild>
                                                                            <w:div w:id="1258750963">
                                                                              <w:marLeft w:val="0"/>
                                                                              <w:marRight w:val="0"/>
                                                                              <w:marTop w:val="0"/>
                                                                              <w:marBottom w:val="0"/>
                                                                              <w:divBdr>
                                                                                <w:top w:val="none" w:sz="0" w:space="0" w:color="auto"/>
                                                                                <w:left w:val="none" w:sz="0" w:space="0" w:color="auto"/>
                                                                                <w:bottom w:val="none" w:sz="0" w:space="0" w:color="auto"/>
                                                                                <w:right w:val="none" w:sz="0" w:space="0" w:color="auto"/>
                                                                              </w:divBdr>
                                                                              <w:divsChild>
                                                                                <w:div w:id="2062047640">
                                                                                  <w:marLeft w:val="0"/>
                                                                                  <w:marRight w:val="0"/>
                                                                                  <w:marTop w:val="0"/>
                                                                                  <w:marBottom w:val="0"/>
                                                                                  <w:divBdr>
                                                                                    <w:top w:val="none" w:sz="0" w:space="0" w:color="auto"/>
                                                                                    <w:left w:val="none" w:sz="0" w:space="0" w:color="auto"/>
                                                                                    <w:bottom w:val="none" w:sz="0" w:space="0" w:color="auto"/>
                                                                                    <w:right w:val="none" w:sz="0" w:space="0" w:color="auto"/>
                                                                                  </w:divBdr>
                                                                                  <w:divsChild>
                                                                                    <w:div w:id="385418767">
                                                                                      <w:marLeft w:val="0"/>
                                                                                      <w:marRight w:val="0"/>
                                                                                      <w:marTop w:val="0"/>
                                                                                      <w:marBottom w:val="0"/>
                                                                                      <w:divBdr>
                                                                                        <w:top w:val="none" w:sz="0" w:space="0" w:color="auto"/>
                                                                                        <w:left w:val="none" w:sz="0" w:space="0" w:color="auto"/>
                                                                                        <w:bottom w:val="none" w:sz="0" w:space="0" w:color="auto"/>
                                                                                        <w:right w:val="none" w:sz="0" w:space="0" w:color="auto"/>
                                                                                      </w:divBdr>
                                                                                      <w:divsChild>
                                                                                        <w:div w:id="9804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4.xml" /><Relationship Id="rId2" Type="http://schemas.openxmlformats.org/officeDocument/2006/relationships/numbering" Target="numbering.xml" /><Relationship Id="rId16" Type="http://schemas.openxmlformats.org/officeDocument/2006/relationships/hyperlink" Target="http://www.ilent.n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www.wetten.nl/" TargetMode="Externa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2.jpeg" /></Relationships>
</file>

<file path=word/_rels/header2.xml.rels><?xml version="1.0" encoding="utf-8"?><Relationships xmlns="http://schemas.openxmlformats.org/package/2006/relationships"><Relationship Id="rId1" Type="http://schemas.openxmlformats.org/officeDocument/2006/relationships/image" Target="media/image1.png" /></Relationships>
</file>

<file path=word/_rels/header4.xml.rels><?xml version="1.0" encoding="utf-8"?><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ops\AppData\Local\Microsoft\Windows\INetCache\IE\WF1M7HTS\Ministeri&#195;&#171;le%20regel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5537-368E-4AEA-BCE4-99C2A618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MinisteriÃ«le regeling.dotx</Template>
  <TotalTime>36</TotalTime>
  <Pages>23</Pages>
  <Words>7552</Words>
  <Characters>43048</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50500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Koops-Jubitana, S.C. (Sylva) - HBJZ</dc:creator>
  <cp:keywords/>
  <dc:description/>
  <cp:lastModifiedBy>Ke, Tingting</cp:lastModifiedBy>
  <cp:revision>6</cp:revision>
  <cp:lastPrinted>2019-08-05T11:38:00Z</cp:lastPrinted>
  <dcterms:created xsi:type="dcterms:W3CDTF">2019-08-16T07:15:00Z</dcterms:created>
  <dcterms:modified xsi:type="dcterms:W3CDTF">2019-08-20T07:56:00Z</dcterms:modified>
</cp:coreProperties>
</file>