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D499" w14:textId="77777777" w:rsidR="001D3DA3" w:rsidRDefault="00AD598F" w:rsidP="008D3E19">
      <w:pPr>
        <w:pStyle w:val="NoSpacing"/>
        <w:spacing w:line="276" w:lineRule="auto"/>
      </w:pPr>
      <w:r>
        <w:t>Министърът на здравеопазването,</w:t>
      </w:r>
    </w:p>
    <w:p w14:paraId="4277AAE7" w14:textId="0746FA92" w:rsidR="001D3DA3" w:rsidRDefault="00AD598F" w:rsidP="008D3E19">
      <w:pPr>
        <w:pStyle w:val="NoSpacing"/>
        <w:spacing w:line="276" w:lineRule="auto"/>
        <w:rPr>
          <w:color w:val="000000" w:themeColor="text1"/>
        </w:rPr>
      </w:pPr>
      <w:r>
        <w:t xml:space="preserve"> </w:t>
      </w:r>
      <w:r>
        <w:br/>
        <w:t xml:space="preserve">като взе предвид: </w:t>
      </w:r>
      <w:r>
        <w:br/>
      </w:r>
    </w:p>
    <w:p w14:paraId="5EC1E4DA" w14:textId="77777777" w:rsidR="00BD77BD" w:rsidRDefault="00BD77BD" w:rsidP="00BD77BD">
      <w:pPr>
        <w:pStyle w:val="ListParagraph"/>
        <w:numPr>
          <w:ilvl w:val="0"/>
          <w:numId w:val="26"/>
        </w:numPr>
        <w:autoSpaceDN/>
        <w:spacing w:line="276" w:lineRule="auto"/>
        <w:textAlignment w:val="auto"/>
      </w:pPr>
      <w:r>
        <w:t>Членове 36 и 38 от Регламент (ЕС) № 1169/2011 на Европейския парламент и на Съвета от 25 октомври 2011 година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 (OВ 2011 L 304);</w:t>
      </w:r>
    </w:p>
    <w:p w14:paraId="4F7579B4" w14:textId="00829AA7" w:rsidR="00BD77BD" w:rsidRDefault="00BD77BD" w:rsidP="00BD77BD">
      <w:pPr>
        <w:pStyle w:val="ListParagraph"/>
        <w:numPr>
          <w:ilvl w:val="0"/>
          <w:numId w:val="26"/>
        </w:numPr>
        <w:autoSpaceDN/>
        <w:spacing w:line="276" w:lineRule="auto"/>
        <w:textAlignment w:val="auto"/>
      </w:pPr>
      <w:r>
        <w:t>Членове 8 и 23 от Регламент (ЕО) № 1924/2006 на Европейския парламент и на Съвета от 20 декември 2006 година относно хранителни и здравни претенции за храните (ОВ L 404);</w:t>
      </w:r>
    </w:p>
    <w:p w14:paraId="2D73B211" w14:textId="2E98BB2D" w:rsidR="00BD77BD" w:rsidRPr="00BD77BD" w:rsidRDefault="00BD77BD" w:rsidP="00BD77BD">
      <w:pPr>
        <w:pStyle w:val="NoSpacing"/>
        <w:numPr>
          <w:ilvl w:val="0"/>
          <w:numId w:val="26"/>
        </w:numPr>
        <w:spacing w:line="276" w:lineRule="auto"/>
        <w:rPr>
          <w:color w:val="000000" w:themeColor="text1"/>
        </w:rPr>
      </w:pPr>
      <w:r>
        <w:t>член 11; първи и трети параграф от Наредбата за информация за храните в Закона за стоките;</w:t>
      </w:r>
    </w:p>
    <w:p w14:paraId="4A14CCD7" w14:textId="77777777" w:rsidR="00BD77BD" w:rsidRDefault="00BD77BD" w:rsidP="008D3E19">
      <w:pPr>
        <w:pStyle w:val="NoSpacing"/>
        <w:spacing w:line="276" w:lineRule="auto"/>
      </w:pPr>
    </w:p>
    <w:p w14:paraId="03E4380A" w14:textId="77777777" w:rsidR="001D3DA3" w:rsidRDefault="00AD598F" w:rsidP="008D3E19">
      <w:pPr>
        <w:pStyle w:val="NoSpacing"/>
        <w:spacing w:line="276" w:lineRule="auto"/>
      </w:pPr>
      <w:r>
        <w:t> </w:t>
      </w:r>
    </w:p>
    <w:p w14:paraId="65467C1F" w14:textId="77777777" w:rsidR="001D3DA3" w:rsidRDefault="00AD598F" w:rsidP="008D3E19">
      <w:pPr>
        <w:pStyle w:val="NoSpacing"/>
        <w:spacing w:line="276" w:lineRule="auto"/>
      </w:pPr>
      <w:r>
        <w:t>С настоящото постановява, както следва:</w:t>
      </w:r>
    </w:p>
    <w:p w14:paraId="5C149CB5" w14:textId="77777777" w:rsidR="001D3DA3" w:rsidRDefault="00AD598F" w:rsidP="008D3E19">
      <w:pPr>
        <w:pStyle w:val="NoSpacing"/>
        <w:spacing w:line="276" w:lineRule="auto"/>
      </w:pPr>
      <w:r>
        <w:t> </w:t>
      </w:r>
    </w:p>
    <w:p w14:paraId="1DCCB7BA" w14:textId="77777777" w:rsidR="00EE25A3" w:rsidRDefault="00CB0E9D" w:rsidP="008D3E19">
      <w:pPr>
        <w:pStyle w:val="NoSpacing"/>
        <w:spacing w:line="276" w:lineRule="auto"/>
        <w:rPr>
          <w:color w:val="000000" w:themeColor="text1"/>
        </w:rPr>
      </w:pPr>
      <w:r>
        <w:rPr>
          <w:b/>
        </w:rPr>
        <w:t>Член 1</w:t>
      </w:r>
    </w:p>
    <w:p w14:paraId="51B12A98" w14:textId="77777777" w:rsidR="00EE25A3" w:rsidRDefault="00EE25A3" w:rsidP="008D3E19">
      <w:pPr>
        <w:pStyle w:val="NoSpacing"/>
        <w:spacing w:line="276" w:lineRule="auto"/>
        <w:rPr>
          <w:color w:val="000000" w:themeColor="text1"/>
        </w:rPr>
      </w:pPr>
    </w:p>
    <w:p w14:paraId="14BBE2C3" w14:textId="77777777" w:rsidR="00CB0E9D" w:rsidRPr="00EE25A3" w:rsidRDefault="00CB0E9D" w:rsidP="008D3E19">
      <w:pPr>
        <w:pStyle w:val="NoSpacing"/>
        <w:spacing w:line="276" w:lineRule="auto"/>
      </w:pPr>
      <w:r>
        <w:rPr>
          <w:color w:val="000000" w:themeColor="text1"/>
        </w:rPr>
        <w:t>В настоящата наредба се прилагат следните понятия и определения:</w:t>
      </w:r>
    </w:p>
    <w:p w14:paraId="5CF05977" w14:textId="38C5D6EC" w:rsidR="00EE25A3" w:rsidRDefault="004126C3" w:rsidP="00D83FCC">
      <w:pPr>
        <w:pStyle w:val="NoSpacing"/>
        <w:spacing w:line="276" w:lineRule="auto"/>
        <w:rPr>
          <w:color w:val="000000" w:themeColor="text1"/>
        </w:rPr>
      </w:pPr>
      <w:r>
        <w:rPr>
          <w:i/>
          <w:color w:val="000000" w:themeColor="text1"/>
        </w:rPr>
        <w:br/>
        <w:t xml:space="preserve">Nutri-Score: </w:t>
      </w:r>
      <w:r>
        <w:t>т</w:t>
      </w:r>
      <w:r>
        <w:rPr>
          <w:color w:val="000000" w:themeColor="text1"/>
        </w:rPr>
        <w:t>ърговска марка на ЕС, регистрирана в Службата на Европейския съюз за интелектуална собственост от Santé publique France (l'agence nationale de santé publique);</w:t>
      </w:r>
      <w:r>
        <w:rPr>
          <w:color w:val="000000" w:themeColor="text1"/>
        </w:rPr>
        <w:br/>
      </w:r>
      <w:r>
        <w:rPr>
          <w:i/>
          <w:color w:val="000000" w:themeColor="text1"/>
        </w:rPr>
        <w:br/>
      </w:r>
      <w:r>
        <w:t xml:space="preserve">условия за използване: правилата за използване на Nutri-Score, публикувани в </w:t>
      </w:r>
      <w:r>
        <w:rPr>
          <w:b/>
        </w:rPr>
        <w:t>P.M</w:t>
      </w:r>
      <w:r>
        <w:t>, озаглавени „Условия за използване на логото „Nutri-Score“, версия 10 юли 2020 г.“.</w:t>
      </w:r>
    </w:p>
    <w:p w14:paraId="5A2C51D8" w14:textId="77777777" w:rsidR="008E3830" w:rsidRPr="00F00BDC" w:rsidRDefault="008E3830" w:rsidP="008D3E19">
      <w:pPr>
        <w:pStyle w:val="NoSpacing"/>
        <w:spacing w:line="276" w:lineRule="auto"/>
        <w:rPr>
          <w:color w:val="000000" w:themeColor="text1"/>
        </w:rPr>
      </w:pPr>
    </w:p>
    <w:p w14:paraId="59206417" w14:textId="77777777" w:rsidR="00CB0E9D" w:rsidRPr="00F00BDC" w:rsidRDefault="00CB0E9D" w:rsidP="008D3E19">
      <w:pPr>
        <w:pStyle w:val="NoSpacing"/>
        <w:spacing w:line="276" w:lineRule="auto"/>
        <w:rPr>
          <w:b/>
          <w:color w:val="000000" w:themeColor="text1"/>
          <w:kern w:val="2"/>
        </w:rPr>
      </w:pPr>
      <w:r>
        <w:rPr>
          <w:b/>
          <w:color w:val="000000" w:themeColor="text1"/>
        </w:rPr>
        <w:t>Член 2</w:t>
      </w:r>
    </w:p>
    <w:p w14:paraId="3122E91A" w14:textId="48F9899F" w:rsidR="00EE25A3" w:rsidRDefault="00A17BBC" w:rsidP="008D3E19">
      <w:pPr>
        <w:pStyle w:val="NoSpacing"/>
        <w:spacing w:line="276" w:lineRule="auto"/>
        <w:rPr>
          <w:color w:val="000000" w:themeColor="text1"/>
          <w:kern w:val="2"/>
        </w:rPr>
      </w:pPr>
      <w:r>
        <w:rPr>
          <w:color w:val="000000" w:themeColor="text1"/>
        </w:rPr>
        <w:lastRenderedPageBreak/>
        <w:br/>
        <w:t>Логото „Nutri-Score“ и условията за използването му се определят като лого за избор на храна.</w:t>
      </w:r>
      <w:r>
        <w:rPr>
          <w:color w:val="000000" w:themeColor="text1"/>
        </w:rPr>
        <w:br/>
      </w:r>
    </w:p>
    <w:p w14:paraId="235544F7" w14:textId="77777777" w:rsidR="0040278F" w:rsidRPr="003B06DE" w:rsidRDefault="0040278F" w:rsidP="008D3E19">
      <w:pPr>
        <w:pStyle w:val="NoSpacing"/>
        <w:spacing w:line="276" w:lineRule="auto"/>
        <w:rPr>
          <w:color w:val="000000" w:themeColor="text1"/>
          <w:kern w:val="2"/>
        </w:rPr>
      </w:pPr>
    </w:p>
    <w:p w14:paraId="19438C41" w14:textId="77777777" w:rsidR="00CB0E9D" w:rsidRPr="003B06DE" w:rsidRDefault="00087490" w:rsidP="008D3E19">
      <w:pPr>
        <w:pStyle w:val="NoSpacing"/>
        <w:spacing w:line="276" w:lineRule="auto"/>
        <w:rPr>
          <w:color w:val="000000" w:themeColor="text1"/>
          <w:kern w:val="2"/>
        </w:rPr>
      </w:pPr>
      <w:r>
        <w:rPr>
          <w:b/>
          <w:color w:val="000000" w:themeColor="text1"/>
        </w:rPr>
        <w:t>Член 3</w:t>
      </w:r>
    </w:p>
    <w:p w14:paraId="4F6848E4" w14:textId="77777777" w:rsidR="00CB0E9D" w:rsidRPr="003B06DE" w:rsidRDefault="00CB0E9D" w:rsidP="008D3E19">
      <w:pPr>
        <w:pStyle w:val="NoSpacing"/>
        <w:spacing w:line="276" w:lineRule="auto"/>
        <w:rPr>
          <w:color w:val="000000" w:themeColor="text1"/>
          <w:kern w:val="2"/>
        </w:rPr>
      </w:pPr>
    </w:p>
    <w:p w14:paraId="6EC14444" w14:textId="00E19AD1" w:rsidR="008D3E19" w:rsidRDefault="008D3E19" w:rsidP="008D3E19">
      <w:pPr>
        <w:pStyle w:val="NoSpacing"/>
        <w:spacing w:line="276" w:lineRule="auto"/>
        <w:rPr>
          <w:color w:val="000000" w:themeColor="text1"/>
          <w:kern w:val="2"/>
        </w:rPr>
      </w:pPr>
      <w:r>
        <w:t xml:space="preserve">Настоящата Наредба влиза в сила от </w:t>
      </w:r>
      <w:r>
        <w:rPr>
          <w:b/>
        </w:rPr>
        <w:t>P.M.</w:t>
      </w:r>
    </w:p>
    <w:p w14:paraId="0764E50F" w14:textId="77777777" w:rsidR="00EE25A3" w:rsidRDefault="00EE25A3" w:rsidP="008D3E19">
      <w:pPr>
        <w:pStyle w:val="NoSpacing"/>
        <w:spacing w:line="276" w:lineRule="auto"/>
        <w:rPr>
          <w:color w:val="000000" w:themeColor="text1"/>
          <w:kern w:val="2"/>
        </w:rPr>
      </w:pPr>
    </w:p>
    <w:p w14:paraId="44B429C5" w14:textId="77777777" w:rsidR="0040278F" w:rsidRDefault="0040278F" w:rsidP="008D3E19">
      <w:pPr>
        <w:pStyle w:val="NoSpacing"/>
        <w:spacing w:line="276" w:lineRule="auto"/>
        <w:rPr>
          <w:color w:val="000000" w:themeColor="text1"/>
          <w:kern w:val="2"/>
        </w:rPr>
      </w:pPr>
    </w:p>
    <w:p w14:paraId="4EB342AE" w14:textId="77777777" w:rsidR="008D3E19" w:rsidRPr="00EE25A3" w:rsidRDefault="008D3E19" w:rsidP="008D3E19">
      <w:pPr>
        <w:pStyle w:val="NoSpacing"/>
        <w:spacing w:line="276" w:lineRule="auto"/>
        <w:rPr>
          <w:b/>
          <w:color w:val="000000" w:themeColor="text1"/>
          <w:kern w:val="2"/>
        </w:rPr>
      </w:pPr>
      <w:r>
        <w:rPr>
          <w:b/>
          <w:color w:val="000000" w:themeColor="text1"/>
        </w:rPr>
        <w:t>Член 4</w:t>
      </w:r>
    </w:p>
    <w:p w14:paraId="4E11FE6D" w14:textId="77777777" w:rsidR="00EE25A3" w:rsidRDefault="00EE25A3" w:rsidP="008D3E19">
      <w:pPr>
        <w:pStyle w:val="NoSpacing"/>
        <w:spacing w:line="276" w:lineRule="auto"/>
        <w:rPr>
          <w:color w:val="000000" w:themeColor="text1"/>
          <w:kern w:val="2"/>
        </w:rPr>
      </w:pPr>
    </w:p>
    <w:p w14:paraId="235A870C" w14:textId="77777777" w:rsidR="00CB0E9D" w:rsidRDefault="008D3E19" w:rsidP="008D3E19">
      <w:pPr>
        <w:pStyle w:val="NoSpacing"/>
        <w:spacing w:line="276" w:lineRule="auto"/>
        <w:rPr>
          <w:color w:val="000000" w:themeColor="text1"/>
          <w:kern w:val="2"/>
        </w:rPr>
      </w:pPr>
      <w:r>
        <w:rPr>
          <w:color w:val="000000" w:themeColor="text1"/>
        </w:rPr>
        <w:t>Настоящото решение се цитира като: Регламент за закона за стоките за определяне на лого за избор на храна.</w:t>
      </w:r>
    </w:p>
    <w:p w14:paraId="62FB9CF7" w14:textId="77777777" w:rsidR="00A86455" w:rsidRDefault="00A86455" w:rsidP="008D3E19">
      <w:pPr>
        <w:pStyle w:val="NoSpacing"/>
        <w:spacing w:line="276" w:lineRule="auto"/>
        <w:rPr>
          <w:color w:val="000000" w:themeColor="text1"/>
          <w:kern w:val="2"/>
        </w:rPr>
      </w:pPr>
    </w:p>
    <w:p w14:paraId="69C1A61D" w14:textId="77777777" w:rsidR="00CB0E9D" w:rsidRPr="003B06DE" w:rsidRDefault="00A86455" w:rsidP="008D3E19">
      <w:pPr>
        <w:pStyle w:val="NoSpacing"/>
        <w:spacing w:line="276" w:lineRule="auto"/>
        <w:rPr>
          <w:color w:val="000000" w:themeColor="text1"/>
          <w:kern w:val="2"/>
        </w:rPr>
      </w:pPr>
      <w:r>
        <w:rPr>
          <w:color w:val="000000" w:themeColor="text1"/>
        </w:rPr>
        <w:t>Настоящата наредба и обяснителните бележки се публикуват в Държавен вестник.</w:t>
      </w:r>
    </w:p>
    <w:p w14:paraId="450EA670" w14:textId="77777777" w:rsidR="00CB0E9D" w:rsidRPr="003B06DE" w:rsidRDefault="00CB0E9D" w:rsidP="008D3E19">
      <w:pPr>
        <w:pStyle w:val="NoSpacing"/>
        <w:spacing w:line="276" w:lineRule="auto"/>
        <w:rPr>
          <w:color w:val="000000" w:themeColor="text1"/>
          <w:kern w:val="2"/>
        </w:rPr>
      </w:pPr>
    </w:p>
    <w:p w14:paraId="5E13F2D9" w14:textId="77777777" w:rsidR="00CB0E9D" w:rsidRDefault="00CB0E9D" w:rsidP="008D3E19">
      <w:pPr>
        <w:pStyle w:val="NoSpacing"/>
        <w:spacing w:line="276" w:lineRule="auto"/>
      </w:pPr>
    </w:p>
    <w:p w14:paraId="3E5858B5" w14:textId="77777777" w:rsidR="0040278F" w:rsidRDefault="0040278F" w:rsidP="008D3E19">
      <w:pPr>
        <w:pStyle w:val="NoSpacing"/>
        <w:spacing w:line="276" w:lineRule="auto"/>
      </w:pPr>
    </w:p>
    <w:p w14:paraId="5E4FE47B" w14:textId="77777777" w:rsidR="001D3DA3" w:rsidRDefault="00972418" w:rsidP="008D3E19">
      <w:pPr>
        <w:pStyle w:val="NoSpacing"/>
        <w:spacing w:line="276" w:lineRule="auto"/>
      </w:pPr>
      <w:r>
        <w:t>Министър на здравеопазването,</w:t>
      </w:r>
    </w:p>
    <w:p w14:paraId="39FD1C86" w14:textId="77777777" w:rsidR="001D3DA3" w:rsidRDefault="001D3DA3" w:rsidP="008D3E19">
      <w:pPr>
        <w:pStyle w:val="NoSpacing"/>
        <w:spacing w:line="276" w:lineRule="auto"/>
      </w:pPr>
    </w:p>
    <w:p w14:paraId="3E3C125A" w14:textId="77777777" w:rsidR="001D3DA3" w:rsidRDefault="001D3DA3" w:rsidP="008D3E19">
      <w:pPr>
        <w:pStyle w:val="NoSpacing"/>
        <w:spacing w:line="276" w:lineRule="auto"/>
      </w:pPr>
    </w:p>
    <w:p w14:paraId="2198E016" w14:textId="77777777" w:rsidR="001D3DA3" w:rsidRDefault="001D3DA3" w:rsidP="008D3E19">
      <w:pPr>
        <w:pStyle w:val="NoSpacing"/>
        <w:spacing w:line="276" w:lineRule="auto"/>
      </w:pPr>
    </w:p>
    <w:p w14:paraId="00D97A39" w14:textId="77777777" w:rsidR="001D3DA3" w:rsidRDefault="001D3DA3" w:rsidP="008D3E19">
      <w:pPr>
        <w:pStyle w:val="NoSpacing"/>
        <w:spacing w:line="276" w:lineRule="auto"/>
      </w:pPr>
    </w:p>
    <w:p w14:paraId="32328219" w14:textId="77777777" w:rsidR="001D3DA3" w:rsidRDefault="00922266" w:rsidP="008D3E19">
      <w:pPr>
        <w:pStyle w:val="NoSpacing"/>
        <w:spacing w:line="276" w:lineRule="auto"/>
      </w:pPr>
      <w:r>
        <w:t>T. van Ark</w:t>
      </w:r>
    </w:p>
    <w:p w14:paraId="56B5C50F" w14:textId="77777777" w:rsidR="0068359E" w:rsidRDefault="0068359E" w:rsidP="008D3E19">
      <w:pPr>
        <w:pStyle w:val="NoSpacing"/>
        <w:spacing w:line="276" w:lineRule="auto"/>
      </w:pPr>
    </w:p>
    <w:p w14:paraId="1655BCD6" w14:textId="77777777" w:rsidR="003670DB" w:rsidRDefault="003670DB" w:rsidP="008D3E19">
      <w:pPr>
        <w:pStyle w:val="NoSpacing"/>
        <w:spacing w:line="276" w:lineRule="auto"/>
        <w:rPr>
          <w:b/>
          <w:bCs/>
        </w:rPr>
      </w:pPr>
      <w:r>
        <w:br w:type="page"/>
      </w:r>
    </w:p>
    <w:p w14:paraId="7A0310FC" w14:textId="77777777" w:rsidR="007374B7" w:rsidRDefault="00CE650A" w:rsidP="008D3E19">
      <w:pPr>
        <w:pStyle w:val="NoSpacing"/>
        <w:spacing w:line="276" w:lineRule="auto"/>
        <w:rPr>
          <w:b/>
          <w:bCs/>
        </w:rPr>
      </w:pPr>
      <w:r>
        <w:rPr>
          <w:b/>
        </w:rPr>
        <w:lastRenderedPageBreak/>
        <w:t>ОБЯСНИТЕЛНИ БЕЛЕЖКИ</w:t>
      </w:r>
      <w:r>
        <w:rPr>
          <w:b/>
        </w:rPr>
        <w:br/>
      </w:r>
    </w:p>
    <w:p w14:paraId="62AF9EB0" w14:textId="77777777" w:rsidR="007374B7" w:rsidRPr="007374B7" w:rsidRDefault="007374B7" w:rsidP="008D3E19">
      <w:pPr>
        <w:pStyle w:val="NoSpacing"/>
        <w:spacing w:line="276" w:lineRule="auto"/>
        <w:rPr>
          <w:b/>
          <w:bCs/>
        </w:rPr>
      </w:pPr>
      <w:r>
        <w:rPr>
          <w:b/>
        </w:rPr>
        <w:t>1. Общи положения</w:t>
      </w:r>
    </w:p>
    <w:p w14:paraId="522F9288" w14:textId="42F9642B" w:rsidR="00CE650A" w:rsidRDefault="00D83FCC" w:rsidP="00D83FCC">
      <w:pPr>
        <w:pStyle w:val="NoSpacing"/>
        <w:spacing w:line="276" w:lineRule="auto"/>
        <w:rPr>
          <w:i/>
        </w:rPr>
      </w:pPr>
      <w:r>
        <w:rPr>
          <w:i/>
        </w:rPr>
        <w:br/>
        <w:t>Причина</w:t>
      </w:r>
    </w:p>
    <w:p w14:paraId="061545D9" w14:textId="77777777" w:rsidR="00CE650A" w:rsidRDefault="00CE650A" w:rsidP="008D3E19">
      <w:pPr>
        <w:pStyle w:val="NoSpacing"/>
        <w:spacing w:line="276" w:lineRule="auto"/>
        <w:rPr>
          <w:i/>
        </w:rPr>
      </w:pPr>
    </w:p>
    <w:p w14:paraId="79255285" w14:textId="29306F1B" w:rsidR="007374B7" w:rsidRDefault="000E5170" w:rsidP="008D3E19">
      <w:pPr>
        <w:pStyle w:val="NoSpacing"/>
        <w:spacing w:line="276" w:lineRule="auto"/>
      </w:pPr>
      <w:r>
        <w:t>Националното споразумение за превенция</w:t>
      </w:r>
      <w:r w:rsidR="00125CD6">
        <w:rPr>
          <w:rStyle w:val="FootnoteReference"/>
        </w:rPr>
        <w:footnoteReference w:id="1"/>
      </w:r>
      <w:r>
        <w:t xml:space="preserve"> беше приета на 23 ноември 2018 г. Това включва споразумения, сключени от правителството и над 70 страни за въвеждане на мерки за борба с наднорменото тегло, тютюнопушенето и проблема с консумацията на алкохол. Сред подписалите са организации чадър за грижи, пациентски организации, компании, общини и образователни институции. Националното споразумение за превенция включва редица мерки в областта на здравословното хранене. Здравословното хранене е важно за всички, а не само за хора с наднормено тегло. За да се улесни информираността на потребителите относно по-здравословния избор, в Националното споразумение за превенция беше договорено, че през 2020 г. правителството на Нидерландия ще въведе ново, широко разпространено лого за избор на храна. </w:t>
      </w:r>
    </w:p>
    <w:p w14:paraId="27DBBD77" w14:textId="77777777" w:rsidR="007374B7" w:rsidRDefault="007374B7" w:rsidP="008D3E19">
      <w:pPr>
        <w:pStyle w:val="NoSpacing"/>
        <w:spacing w:line="276" w:lineRule="auto"/>
      </w:pPr>
    </w:p>
    <w:p w14:paraId="34004F87" w14:textId="77777777" w:rsidR="000E5170" w:rsidRPr="001110B2" w:rsidRDefault="00CE650A" w:rsidP="008D3E19">
      <w:pPr>
        <w:pStyle w:val="NoSpacing"/>
        <w:spacing w:line="276" w:lineRule="auto"/>
      </w:pPr>
      <w:r>
        <w:t>Изискването беше изборът на логото да се основава на солидни и независими потребителски проучвания. Също така беше счетено, че е от голямо значение логото, което ще бъде избрано, да съответства на начина, по който хората правят своя избор: разбирането на потребителите трябва да бъде водещо. При избора трябва да се вземе предвид и Five Disk и, накрая, да се вземат предвид европейските тенденции в логата за избор на храни.</w:t>
      </w:r>
    </w:p>
    <w:p w14:paraId="0AF7CAF5" w14:textId="77777777" w:rsidR="000E5170" w:rsidRPr="001110B2" w:rsidRDefault="000E5170" w:rsidP="008D3E19">
      <w:pPr>
        <w:pStyle w:val="NoSpacing"/>
        <w:spacing w:line="276" w:lineRule="auto"/>
      </w:pPr>
    </w:p>
    <w:p w14:paraId="5F31D578" w14:textId="77777777" w:rsidR="000E5170" w:rsidRPr="008D3E19" w:rsidRDefault="000E5170" w:rsidP="008D3E19">
      <w:pPr>
        <w:pStyle w:val="NoSpacing"/>
        <w:spacing w:line="276" w:lineRule="auto"/>
        <w:rPr>
          <w:i/>
        </w:rPr>
      </w:pPr>
      <w:r>
        <w:rPr>
          <w:i/>
        </w:rPr>
        <w:t>Процес</w:t>
      </w:r>
      <w:r>
        <w:rPr>
          <w:i/>
        </w:rPr>
        <w:br/>
      </w:r>
    </w:p>
    <w:p w14:paraId="15D74CD7" w14:textId="77777777" w:rsidR="004F54A5" w:rsidRDefault="004F54A5" w:rsidP="008D3E19">
      <w:pPr>
        <w:pStyle w:val="NoSpacing"/>
        <w:spacing w:line="276" w:lineRule="auto"/>
      </w:pPr>
      <w:r>
        <w:t>От ноември 2018 г. започна работата по привеждането в действие на горепосоченото споразумение в рамките на Националното споразумение за превенция.</w:t>
      </w:r>
    </w:p>
    <w:p w14:paraId="7FAB8B53" w14:textId="77777777" w:rsidR="001110B2" w:rsidRDefault="0029125D" w:rsidP="008D3E19">
      <w:pPr>
        <w:pStyle w:val="NoSpacing"/>
        <w:spacing w:line="276" w:lineRule="auto"/>
      </w:pPr>
      <w:r>
        <w:t>При изготвянето на условията за избор на логото за избор на храни бяха проведени консултации с различни страни. В процеса на вземане на решения участват Асоциацията на потребителите, кооперативните здравни фондове (Hartstichting, Nierstichting, Diabetesfonds), Centraal Bureau Levensmiddelenhandel (CBL), Федерацията на нидерландската хранителна промишленост (FNLI), Koninklijke Horeca Nederland (KHN), Vereniging Nederlandse Cateraars (Veneca), Центърът за хранене, RIVM и Министерството на земеделието.</w:t>
      </w:r>
    </w:p>
    <w:p w14:paraId="730CEA55" w14:textId="77777777" w:rsidR="001110B2" w:rsidRDefault="001110B2" w:rsidP="008D3E19">
      <w:pPr>
        <w:pStyle w:val="NoSpacing"/>
        <w:spacing w:line="276" w:lineRule="auto"/>
      </w:pPr>
    </w:p>
    <w:p w14:paraId="5186B065" w14:textId="16D64986" w:rsidR="00672904" w:rsidRDefault="001110B2" w:rsidP="008D3E19">
      <w:pPr>
        <w:pStyle w:val="NoSpacing"/>
        <w:spacing w:line="276" w:lineRule="auto"/>
      </w:pPr>
      <w:r>
        <w:t>Независимите проучвания на потребителите</w:t>
      </w:r>
      <w:r w:rsidR="00A978BD">
        <w:rPr>
          <w:rStyle w:val="FootnoteReference"/>
        </w:rPr>
        <w:footnoteReference w:id="2"/>
      </w:r>
      <w:r>
        <w:t xml:space="preserve"> сравниха три лога за избор на храни, които понастоящем се използват в европейските държави. Проучена е степента, в която тези лога помагат на потребителите да направят по-здравословен избор. Проучването сред потребителите показва, че при Nutri-Score потребителите могат най-добре да се ориентират към по-здравословен избор. В рафтовете на магазините подобни продукти могат да се сравняват </w:t>
      </w:r>
      <w:r>
        <w:lastRenderedPageBreak/>
        <w:t xml:space="preserve">лесно и бързо: само с един поглед потребителите могат да видят кой продукт е по-здравословен. Това улеснява избора на по-здравословен продукт. </w:t>
      </w:r>
    </w:p>
    <w:p w14:paraId="3729F3B9" w14:textId="77777777" w:rsidR="00672904" w:rsidRDefault="00672904" w:rsidP="008D3E19">
      <w:pPr>
        <w:pStyle w:val="NoSpacing"/>
        <w:spacing w:line="276" w:lineRule="auto"/>
      </w:pPr>
    </w:p>
    <w:p w14:paraId="5F77E2A9" w14:textId="70D4DAE7" w:rsidR="00672904" w:rsidRDefault="00672904" w:rsidP="008D3E19">
      <w:pPr>
        <w:pStyle w:val="NoSpacing"/>
        <w:spacing w:line="276" w:lineRule="auto"/>
      </w:pPr>
      <w:r>
        <w:t>Проучването на потребителите обаче показва също, че някои от респондентите вече не са в състояние да направят по-здравословен избор в случай на неотговаряща информация от Five Disk и логото. RIVM и Центърът по хранене извършиха проучване за Nutri-Score,&amp;LT</w:t>
      </w:r>
      <w:r w:rsidR="00A978BD">
        <w:rPr>
          <w:rStyle w:val="FootnoteReference"/>
        </w:rPr>
        <w:footnoteReference w:id="3"/>
      </w:r>
      <w:r>
        <w:t xml:space="preserve">; в което се стигна до заключението, че за редица продукти от различни категории хранителните съвети не съответстват напълно на Nutri-Score и Disk of Five. </w:t>
      </w:r>
    </w:p>
    <w:p w14:paraId="153F6129" w14:textId="77777777" w:rsidR="00672904" w:rsidRDefault="00672904" w:rsidP="008D3E19">
      <w:pPr>
        <w:pStyle w:val="NoSpacing"/>
        <w:spacing w:line="276" w:lineRule="auto"/>
      </w:pPr>
    </w:p>
    <w:p w14:paraId="3B7F2DB9" w14:textId="6C31260B" w:rsidR="00A31F7A" w:rsidRDefault="00672904" w:rsidP="00A31F7A">
      <w:pPr>
        <w:pStyle w:val="NoSpacing"/>
        <w:spacing w:line="276" w:lineRule="auto"/>
      </w:pPr>
      <w:r>
        <w:t>Въз основа на резултатите от разследванията и в координация с горепосочените страни държавният секретар по въпросите на здравеопазването, социалните грижи и спорта реши да определи Nutri-Score като лого за избор на храни.&amp;LT</w:t>
      </w:r>
      <w:r w:rsidR="00125CD6">
        <w:rPr>
          <w:rStyle w:val="FootnoteReference"/>
        </w:rPr>
        <w:footnoteReference w:id="4"/>
      </w:r>
      <w:r>
        <w:t xml:space="preserve">; Въпреки това изчисленията, залегнали в основата на Nutri-Score, трябва да бъдат адаптирани по такъв начин, че логото да предизвиква възможно най-малко объркване сред нидерландските потребители по отношение на това кой е по-здравословният избор. </w:t>
      </w:r>
    </w:p>
    <w:p w14:paraId="1909E528" w14:textId="77777777" w:rsidR="00A31F7A" w:rsidRDefault="00A31F7A" w:rsidP="00A31F7A">
      <w:pPr>
        <w:pStyle w:val="NoSpacing"/>
        <w:spacing w:line="276" w:lineRule="auto"/>
      </w:pPr>
    </w:p>
    <w:p w14:paraId="2BA8E5EE" w14:textId="77777777" w:rsidR="00A31F7A" w:rsidRDefault="00A31F7A" w:rsidP="00A31F7A">
      <w:pPr>
        <w:pStyle w:val="NoSpacing"/>
        <w:spacing w:line="276" w:lineRule="auto"/>
      </w:pPr>
      <w:r>
        <w:t xml:space="preserve">В началото на 2020 г. държавният секретар информира френското правителство за избора на Nutri-Score. Нидерландия участва в международната консултация, в която се сключват споразумения относно изпълнението и организацията. Независим научен комитет разглежда изчисленията, залегнали в основата на Nutri-Score, и има за задача да гарантира, че хранителните критерии на Nutri-Score са приведени в съответствие с насоките за хранене на участващите държави. </w:t>
      </w:r>
    </w:p>
    <w:p w14:paraId="0989B05C" w14:textId="4C61DF1D" w:rsidR="00672904" w:rsidRDefault="00672904" w:rsidP="008D3E19">
      <w:pPr>
        <w:pStyle w:val="NoSpacing"/>
        <w:spacing w:line="276" w:lineRule="auto"/>
      </w:pPr>
    </w:p>
    <w:p w14:paraId="409ED4BF" w14:textId="20A36412" w:rsidR="00D83FCC" w:rsidRDefault="00D83FCC" w:rsidP="00D83FCC">
      <w:pPr>
        <w:pStyle w:val="NoSpacing"/>
        <w:spacing w:line="276" w:lineRule="auto"/>
        <w:rPr>
          <w:rFonts w:eastAsia="Times New Roman" w:cs="Arial"/>
          <w:color w:val="333333"/>
        </w:rPr>
      </w:pPr>
      <w:r>
        <w:rPr>
          <w:i/>
        </w:rPr>
        <w:t>Индикация Nutri-Score</w:t>
      </w:r>
    </w:p>
    <w:p w14:paraId="0A5AD5FA" w14:textId="77777777" w:rsidR="00D83FCC" w:rsidRPr="008D3E19" w:rsidRDefault="00D83FCC" w:rsidP="00D83FCC">
      <w:pPr>
        <w:pStyle w:val="NoSpacing"/>
        <w:spacing w:line="276" w:lineRule="auto"/>
        <w:rPr>
          <w:i/>
        </w:rPr>
      </w:pPr>
    </w:p>
    <w:p w14:paraId="39E7DC9E" w14:textId="73E0D864" w:rsidR="00D83FCC" w:rsidRDefault="00D83FCC" w:rsidP="00D83FCC">
      <w:pPr>
        <w:pStyle w:val="NoSpacing"/>
        <w:spacing w:line="276" w:lineRule="auto"/>
      </w:pPr>
      <w:r>
        <w:rPr>
          <w:i/>
        </w:rPr>
        <w:t>Nutri-Score</w:t>
      </w:r>
      <w:r>
        <w:t xml:space="preserve"> е доброволно лого за избор на храна, което помага на потребителите да правят по-здравословен избор при покупка в рамките на група продукти. </w:t>
      </w:r>
      <w:r>
        <w:rPr>
          <w:i/>
        </w:rPr>
        <w:t>Nutri-Score</w:t>
      </w:r>
      <w:r>
        <w:t xml:space="preserve"> се определя чрез присъждане на точки за количеството протеини, фибри, плодове, зеленчуци, бобови растения и ядки, които се съдържат в даден хранителен продукт. От този резултат се отнемат точки за енергийното съдържание (килокалории), количеството захари, наситени мазнини и сол. Въз основа на общата оценка продуктът получава оценка А, В, С, D или E. Тъмнозеленото А означава по-здравословен състав. Продуктите с по-нездравословен състав получават тъмнооранжево Е. Ако предприятията за хранителни продукти прилагат </w:t>
      </w:r>
      <w:r>
        <w:rPr>
          <w:i/>
        </w:rPr>
        <w:t>Nutri-Score</w:t>
      </w:r>
      <w:r>
        <w:t>, те трябва да спазват условията за използване и да поставят логото на лицевата страна на своите храни. Това помага на потребителите да видят с един поглед кой продукт е по-здравословният избор.</w:t>
      </w:r>
      <w:r>
        <w:br/>
      </w:r>
    </w:p>
    <w:p w14:paraId="023F652F" w14:textId="3742B79E" w:rsidR="00DC7A50" w:rsidRDefault="00D83FCC" w:rsidP="008D3E19">
      <w:pPr>
        <w:pStyle w:val="NoSpacing"/>
        <w:spacing w:line="276" w:lineRule="auto"/>
      </w:pPr>
      <w:r>
        <w:rPr>
          <w:color w:val="333333"/>
        </w:rPr>
        <w:t xml:space="preserve">Тази схема определя </w:t>
      </w:r>
      <w:r>
        <w:rPr>
          <w:i/>
          <w:color w:val="333333"/>
        </w:rPr>
        <w:t>Nutri-Score</w:t>
      </w:r>
      <w:r>
        <w:rPr>
          <w:color w:val="333333"/>
        </w:rPr>
        <w:t xml:space="preserve"> като лого за избор на храна. </w:t>
      </w:r>
      <w:r>
        <w:rPr>
          <w:color w:val="000000" w:themeColor="text1"/>
        </w:rPr>
        <w:t>Условията за ползване се публикуват на уебсайт, достъпен за предприемачите и широката общественост.</w:t>
      </w:r>
      <w:r>
        <w:rPr>
          <w:color w:val="333333"/>
        </w:rPr>
        <w:t xml:space="preserve">Условията за използване гласят, че при използването на логото Nutri-Score трябва да се спазват изискванията на графичната харта. </w:t>
      </w:r>
      <w:r>
        <w:rPr>
          <w:color w:val="333333"/>
        </w:rPr>
        <w:lastRenderedPageBreak/>
        <w:t xml:space="preserve">Графичната харта налага изисквания относно размерите на логото, използването на цвета и поставянето на логото върху опаковките и комуникационните носители. </w:t>
      </w:r>
    </w:p>
    <w:p w14:paraId="736891C2" w14:textId="77777777" w:rsidR="0040278F" w:rsidRDefault="0040278F" w:rsidP="008D3E19">
      <w:pPr>
        <w:pStyle w:val="NoSpacing"/>
        <w:spacing w:line="276" w:lineRule="auto"/>
      </w:pPr>
    </w:p>
    <w:p w14:paraId="7394EBF4" w14:textId="2C420781" w:rsidR="00602B7B" w:rsidRPr="00311799" w:rsidRDefault="00E8090B" w:rsidP="008D3E19">
      <w:pPr>
        <w:pStyle w:val="NoSpacing"/>
        <w:spacing w:line="276" w:lineRule="auto"/>
      </w:pPr>
      <w:r>
        <w:t xml:space="preserve">Тъй като логото не е задължително, предприятията за храни могат да обмислят използването на </w:t>
      </w:r>
      <w:r>
        <w:rPr>
          <w:i/>
        </w:rPr>
        <w:t>Nutri-Score</w:t>
      </w:r>
      <w:r>
        <w:t xml:space="preserve"> като лого за избор на храна. Ако дадено предприятие за храни реши да направи това, то трябва да отговаря на изискванията, определени в условията за употреба. </w:t>
      </w:r>
      <w:r>
        <w:rPr>
          <w:rStyle w:val="Marker"/>
          <w:color w:val="000000" w:themeColor="text1"/>
        </w:rPr>
        <w:t xml:space="preserve">Nutri-Score е търговска марка на ЕС, регистрирана от притежателя Santé publique France (l'agence nationale de santé publique) в Службата на Европейския съюз за интелектуална собственост (EUIPO). При прилагането на логото Nutri-Score притежателят на марката трябва не само да спазва условията за използване на марката, но и </w:t>
      </w:r>
      <w:r>
        <w:t>да вземе предвид общите правила за защита на марките, които трябва да се спазват в областта на правото на търговските марки, правото на лоялната търговия и наказателното право.</w:t>
      </w:r>
    </w:p>
    <w:p w14:paraId="332CDBD7" w14:textId="77777777" w:rsidR="00820C71" w:rsidRDefault="00820C71" w:rsidP="008D3E19">
      <w:pPr>
        <w:pStyle w:val="NoSpacing"/>
        <w:spacing w:line="276" w:lineRule="auto"/>
        <w:rPr>
          <w:i/>
        </w:rPr>
      </w:pPr>
    </w:p>
    <w:p w14:paraId="5AFA85AB" w14:textId="7C26A1A6" w:rsidR="00602B7B" w:rsidRPr="008D3E19" w:rsidRDefault="00BC191E" w:rsidP="008D3E19">
      <w:pPr>
        <w:pStyle w:val="NoSpacing"/>
        <w:spacing w:line="276" w:lineRule="auto"/>
        <w:rPr>
          <w:i/>
        </w:rPr>
      </w:pPr>
      <w:r>
        <w:rPr>
          <w:i/>
        </w:rPr>
        <w:t>Национална правна рамка</w:t>
      </w:r>
    </w:p>
    <w:p w14:paraId="57E6E4A9" w14:textId="230342F8" w:rsidR="00D8085E" w:rsidRPr="00A92440" w:rsidRDefault="004336A6" w:rsidP="008D3E19">
      <w:pPr>
        <w:pStyle w:val="NoSpacing"/>
        <w:spacing w:line="276" w:lineRule="auto"/>
      </w:pPr>
      <w:r>
        <w:rPr>
          <w:i/>
        </w:rPr>
        <w:br/>
      </w:r>
      <w:r>
        <w:rPr>
          <w:color w:val="000000" w:themeColor="text1"/>
        </w:rPr>
        <w:t xml:space="preserve">Член 1 от Наредбата за Закона за хранителните стоки определя логото за избор на храна като лого, което улеснява потребителите да избират храни, които са по-здравословни в сравнение с подобни храни в дадена продуктова категория. В съответствие с член 11 от Наредбата за хранителните стоки от Закона за храните, логото за избор на храна може да се използва при предлагането на пазара на дадена храна, при условие че са изпълнени условията, посочени в този член. </w:t>
      </w:r>
      <w:r>
        <w:t>През 2021 г. се предвижда изменение на Наредбата за информация за храните в Закона за стоките, което вече не изисква от индустрията да кандидатства за одобрение на лого за избор на храна.</w:t>
      </w:r>
      <w:r>
        <w:rPr>
          <w:color w:val="333333"/>
        </w:rPr>
        <w:t xml:space="preserve"> </w:t>
      </w:r>
      <w:r>
        <w:t xml:space="preserve">Към момента на изпращане на настоящата обяснителна бележка </w:t>
      </w:r>
      <w:r>
        <w:rPr>
          <w:color w:val="333333"/>
        </w:rPr>
        <w:t xml:space="preserve">изменението на Наредбата за информация за храните в Закона за стоките </w:t>
      </w:r>
      <w:r>
        <w:t>все още не е публикувано в Държавен вестник. Принципът на взаимното признаване означава, че дадена държава — членка на ЕС не може да забрани продажбата на стоки, които са били законно пуснати на пазара в друга държава — членка на ЕС, на своята територия на основание, че стоките не отговарят на нейните национални разпоредби. Важно е обаче стоките от друга европейска държава членка да осигуряват поне равностойно ниво на защита. Тази клауза за взаимно признаване се съдържа в чл. 13г от Закона за стоките. Търговията със стоки с произход от други европейски държави членки не е забранена въз основа на изискванията, предвидени в този режим.</w:t>
      </w:r>
    </w:p>
    <w:p w14:paraId="4FDF04AE" w14:textId="77777777" w:rsidR="0073118A" w:rsidRPr="00CA0B75" w:rsidRDefault="0073118A" w:rsidP="008D3E19">
      <w:pPr>
        <w:pStyle w:val="NoSpacing"/>
        <w:spacing w:line="276" w:lineRule="auto"/>
        <w:rPr>
          <w:rFonts w:eastAsia="Times New Roman" w:cs="Arial"/>
          <w:b/>
          <w:color w:val="333333"/>
        </w:rPr>
      </w:pPr>
    </w:p>
    <w:p w14:paraId="39C36685" w14:textId="77777777" w:rsidR="007E23BC" w:rsidRPr="00CA0B75" w:rsidRDefault="007E23BC" w:rsidP="008D3E19">
      <w:pPr>
        <w:pStyle w:val="NoSpacing"/>
        <w:spacing w:line="276" w:lineRule="auto"/>
        <w:rPr>
          <w:rFonts w:eastAsia="Times New Roman" w:cs="Arial"/>
          <w:b/>
          <w:color w:val="333333"/>
        </w:rPr>
      </w:pPr>
      <w:r>
        <w:rPr>
          <w:b/>
          <w:color w:val="333333"/>
        </w:rPr>
        <w:t xml:space="preserve">2. Въздействие върху регулаторната тежест </w:t>
      </w:r>
    </w:p>
    <w:p w14:paraId="1840D7F5" w14:textId="77777777" w:rsidR="007E23BC" w:rsidRDefault="007E23BC" w:rsidP="008D3E19">
      <w:pPr>
        <w:pStyle w:val="NoSpacing"/>
        <w:spacing w:line="276" w:lineRule="auto"/>
        <w:rPr>
          <w:rFonts w:eastAsia="Times New Roman" w:cs="Arial"/>
          <w:b/>
          <w:color w:val="333333"/>
        </w:rPr>
      </w:pPr>
    </w:p>
    <w:p w14:paraId="0AA98B1A" w14:textId="3A78736A" w:rsidR="00130455" w:rsidRPr="00B4175F" w:rsidRDefault="00B4175F" w:rsidP="008D3E19">
      <w:pPr>
        <w:pStyle w:val="NoSpacing"/>
        <w:spacing w:line="276" w:lineRule="auto"/>
        <w:rPr>
          <w:rFonts w:eastAsia="Times New Roman" w:cs="Arial"/>
          <w:color w:val="333333"/>
        </w:rPr>
      </w:pPr>
      <w:r>
        <w:rPr>
          <w:color w:val="333333"/>
        </w:rPr>
        <w:t>Комитетът за преглед на регулаторния натиск (ATR) не избра досието за официално становище, тъй като то не оказва въздействие върху регулаторната тежест за гражданите и предприятията.</w:t>
      </w:r>
      <w:r>
        <w:rPr>
          <w:color w:val="333333"/>
        </w:rPr>
        <w:br/>
      </w:r>
    </w:p>
    <w:p w14:paraId="254A27A8" w14:textId="77777777" w:rsidR="009D6971" w:rsidRDefault="007E23BC" w:rsidP="008D3E19">
      <w:pPr>
        <w:pStyle w:val="NoSpacing"/>
        <w:spacing w:line="276" w:lineRule="auto"/>
        <w:rPr>
          <w:rFonts w:eastAsia="Times New Roman" w:cs="Arial"/>
          <w:b/>
          <w:color w:val="333333"/>
        </w:rPr>
      </w:pPr>
      <w:r>
        <w:rPr>
          <w:b/>
          <w:color w:val="333333"/>
        </w:rPr>
        <w:t>3. Редовна консултация в рамките на Закона за стоките</w:t>
      </w:r>
    </w:p>
    <w:p w14:paraId="28E02F40" w14:textId="77777777" w:rsidR="0069144E" w:rsidRDefault="0069144E" w:rsidP="008D3E19">
      <w:pPr>
        <w:pStyle w:val="NoSpacing"/>
        <w:spacing w:line="276" w:lineRule="auto"/>
        <w:rPr>
          <w:rFonts w:eastAsia="Times New Roman" w:cs="Arial"/>
          <w:b/>
          <w:color w:val="333333"/>
        </w:rPr>
      </w:pPr>
    </w:p>
    <w:p w14:paraId="3B816E36" w14:textId="77777777" w:rsidR="00CA0B75" w:rsidRPr="00CA0B75" w:rsidRDefault="009D6971" w:rsidP="008D3E19">
      <w:pPr>
        <w:pStyle w:val="NoSpacing"/>
        <w:spacing w:line="276" w:lineRule="auto"/>
        <w:rPr>
          <w:rFonts w:eastAsia="Times New Roman" w:cs="Arial"/>
          <w:b/>
          <w:color w:val="333333"/>
        </w:rPr>
      </w:pPr>
      <w:r>
        <w:lastRenderedPageBreak/>
        <w:t>Проектът на настоящата наредба беше изпратен на участниците в Редовната консултативна група във връзка със Закона за стоките за потребление [ROW]</w:t>
      </w:r>
      <w:r w:rsidRPr="00B658D6">
        <w:rPr>
          <w:bCs/>
          <w:vertAlign w:val="superscript"/>
        </w:rPr>
        <w:footnoteReference w:id="5"/>
      </w:r>
      <w:r>
        <w:t xml:space="preserve">. </w:t>
      </w:r>
      <w:r>
        <w:rPr>
          <w:b/>
        </w:rPr>
        <w:t>P.M.</w:t>
      </w:r>
    </w:p>
    <w:p w14:paraId="6F6DDDCA" w14:textId="77777777" w:rsidR="00CA0B75" w:rsidRPr="00CA0B75" w:rsidRDefault="00CA0B75" w:rsidP="008D3E19">
      <w:pPr>
        <w:pStyle w:val="NoSpacing"/>
        <w:spacing w:line="276" w:lineRule="auto"/>
        <w:rPr>
          <w:rFonts w:eastAsia="Times New Roman" w:cs="Arial"/>
          <w:b/>
          <w:color w:val="333333"/>
        </w:rPr>
      </w:pPr>
    </w:p>
    <w:p w14:paraId="64E275DB" w14:textId="77777777" w:rsidR="0069144E" w:rsidRDefault="007E23BC" w:rsidP="008E3830">
      <w:pPr>
        <w:pStyle w:val="NoSpacing"/>
        <w:keepNext/>
        <w:spacing w:line="276" w:lineRule="auto"/>
        <w:rPr>
          <w:rFonts w:eastAsia="Times New Roman" w:cs="Arial"/>
          <w:b/>
          <w:color w:val="333333"/>
        </w:rPr>
      </w:pPr>
      <w:r>
        <w:rPr>
          <w:b/>
          <w:color w:val="333333"/>
        </w:rPr>
        <w:t>4. Приложимост и осъществимост</w:t>
      </w:r>
    </w:p>
    <w:p w14:paraId="5ED04CEA" w14:textId="77777777" w:rsidR="00CA0B75" w:rsidRPr="00CA0B75" w:rsidRDefault="002A0E04" w:rsidP="008D3E19">
      <w:pPr>
        <w:pStyle w:val="NoSpacing"/>
        <w:spacing w:line="276" w:lineRule="auto"/>
        <w:rPr>
          <w:rFonts w:eastAsia="Times New Roman" w:cs="Arial"/>
          <w:b/>
          <w:color w:val="333333"/>
        </w:rPr>
      </w:pPr>
      <w:r>
        <w:rPr>
          <w:b/>
          <w:color w:val="333333"/>
        </w:rPr>
        <w:br/>
      </w:r>
      <w:r>
        <w:rPr>
          <w:color w:val="333333"/>
        </w:rPr>
        <w:t>Структурата на тази схема е оценен от NVWA по отношение на приложимостта, изпълнимостта и защитата от измами.</w:t>
      </w:r>
      <w:r>
        <w:rPr>
          <w:b/>
          <w:color w:val="333333"/>
        </w:rPr>
        <w:t xml:space="preserve"> P.M. </w:t>
      </w:r>
    </w:p>
    <w:p w14:paraId="78239E99" w14:textId="77777777" w:rsidR="00CA0B75" w:rsidRPr="00CA0B75" w:rsidRDefault="00CA0B75" w:rsidP="008D3E19">
      <w:pPr>
        <w:pStyle w:val="NoSpacing"/>
        <w:spacing w:line="276" w:lineRule="auto"/>
        <w:rPr>
          <w:rFonts w:eastAsia="Times New Roman" w:cs="Arial"/>
          <w:b/>
          <w:color w:val="333333"/>
        </w:rPr>
      </w:pPr>
    </w:p>
    <w:p w14:paraId="09883B83" w14:textId="77777777" w:rsidR="00CA0B75" w:rsidRDefault="007E23BC" w:rsidP="008D3E19">
      <w:pPr>
        <w:pStyle w:val="NoSpacing"/>
        <w:spacing w:line="276" w:lineRule="auto"/>
        <w:rPr>
          <w:rFonts w:eastAsia="Times New Roman" w:cs="Arial"/>
          <w:b/>
          <w:color w:val="333333"/>
        </w:rPr>
      </w:pPr>
      <w:r>
        <w:rPr>
          <w:b/>
          <w:color w:val="333333"/>
        </w:rPr>
        <w:t xml:space="preserve">5. Нотификация </w:t>
      </w:r>
    </w:p>
    <w:p w14:paraId="4A5FC1AB" w14:textId="77777777" w:rsidR="008E7EEA" w:rsidRDefault="008E7EEA" w:rsidP="008D3E19">
      <w:pPr>
        <w:pStyle w:val="NoSpacing"/>
        <w:spacing w:line="276" w:lineRule="auto"/>
        <w:rPr>
          <w:rFonts w:eastAsia="Times New Roman" w:cs="Arial"/>
          <w:b/>
          <w:color w:val="333333"/>
        </w:rPr>
      </w:pPr>
    </w:p>
    <w:p w14:paraId="569595FC" w14:textId="77777777" w:rsidR="006C4D06" w:rsidRDefault="006C4D06" w:rsidP="006C4D06">
      <w:pPr>
        <w:pStyle w:val="NoSpacing"/>
        <w:spacing w:line="276" w:lineRule="auto"/>
        <w:rPr>
          <w:rFonts w:eastAsia="Times New Roman" w:cs="Arial"/>
          <w:color w:val="333333"/>
        </w:rPr>
      </w:pPr>
      <w:r>
        <w:rPr>
          <w:color w:val="333333"/>
        </w:rPr>
        <w:t xml:space="preserve">Регламент (ЕО) № 1924/2006 на Европейския парламент и на Съвета от 20 декември 2006 година относно хранителни и здравни претенции за храните (ОВ L 404) (наричан по-нататък Регламент за претенциите) е установил общи принципи за всички претенции, свързани с храните. Логото за избор на храна </w:t>
      </w:r>
      <w:r>
        <w:rPr>
          <w:i/>
          <w:color w:val="333333"/>
        </w:rPr>
        <w:t>Nutri-Score</w:t>
      </w:r>
      <w:r>
        <w:rPr>
          <w:color w:val="333333"/>
        </w:rPr>
        <w:t xml:space="preserve"> се счита за хранителна претенция, както е посочено в член 2, параграф 2, точка 4 от настоящия Регламент. Член 8, параграф 1 от Регламента за претенциите разрешава само хранителните претенции, изброени в приложението към настоящия Регламент. Тези хранителни претенции винаги се отнасят само до енергийната стойност на храната или до количеството на едно вещество или хранителна съставка. Логото за избор на храна </w:t>
      </w:r>
      <w:r>
        <w:rPr>
          <w:i/>
          <w:color w:val="333333"/>
        </w:rPr>
        <w:t>Nutri-Score</w:t>
      </w:r>
      <w:r>
        <w:rPr>
          <w:color w:val="333333"/>
        </w:rPr>
        <w:t xml:space="preserve"> не е подходящо за тази цел, за да бъде добавено към настоящото приложение: при изчисляването на </w:t>
      </w:r>
      <w:r>
        <w:rPr>
          <w:i/>
          <w:color w:val="333333"/>
        </w:rPr>
        <w:t>Nutri-Score</w:t>
      </w:r>
      <w:r>
        <w:rPr>
          <w:color w:val="333333"/>
        </w:rPr>
        <w:t xml:space="preserve"> се взема предвид целият състав на дадена храна. В член 23 от Регламента за претенциите се изисква държавата членка да уведоми за използването на претенции на нейна територия, ако тези претенции не са в съответствие с Регламента за претенциите.</w:t>
      </w:r>
    </w:p>
    <w:p w14:paraId="43A7CEB8" w14:textId="77777777" w:rsidR="006C4D06" w:rsidRDefault="006C4D06" w:rsidP="006C4D06">
      <w:pPr>
        <w:pStyle w:val="NoSpacing"/>
        <w:spacing w:line="276" w:lineRule="auto"/>
        <w:rPr>
          <w:rFonts w:eastAsia="Times New Roman" w:cs="Arial"/>
          <w:color w:val="333333"/>
        </w:rPr>
      </w:pPr>
    </w:p>
    <w:p w14:paraId="17B25172" w14:textId="77777777" w:rsidR="006C4D06" w:rsidRDefault="006C4D06" w:rsidP="006C4D06">
      <w:pPr>
        <w:pStyle w:val="NoSpacing"/>
        <w:spacing w:line="276" w:lineRule="auto"/>
        <w:rPr>
          <w:rFonts w:eastAsia="Times New Roman" w:cs="Arial"/>
          <w:color w:val="333333"/>
        </w:rPr>
      </w:pPr>
      <w:r>
        <w:rPr>
          <w:color w:val="333333"/>
        </w:rPr>
        <w:t>За да се защити подходящата информация за потребителите, член 36 от Регламент (ЕС) № 1169/2011 на Европейския парламент и на Съвета от 25 октомври 2011 година за предоставянето на информация за храните на потребителите</w:t>
      </w:r>
      <w:r>
        <w:rPr>
          <w:rStyle w:val="FootnoteReference"/>
          <w:rFonts w:eastAsia="Times New Roman" w:cs="Arial"/>
          <w:color w:val="333333"/>
        </w:rPr>
        <w:footnoteReference w:id="6"/>
      </w:r>
      <w:r>
        <w:rPr>
          <w:color w:val="333333"/>
        </w:rPr>
        <w:t xml:space="preserve"> доброволната информация за храните следва да отговаря на редица изисквания. И в този контекст Комисията беше информирана за текста на тази схема. </w:t>
      </w:r>
    </w:p>
    <w:p w14:paraId="2EEB4BC5" w14:textId="77777777" w:rsidR="006C4D06" w:rsidRDefault="006C4D06" w:rsidP="008D3E19">
      <w:pPr>
        <w:pStyle w:val="NoSpacing"/>
        <w:spacing w:line="276" w:lineRule="auto"/>
        <w:rPr>
          <w:rFonts w:eastAsia="Times New Roman" w:cs="Arial"/>
          <w:b/>
          <w:color w:val="333333"/>
        </w:rPr>
      </w:pPr>
    </w:p>
    <w:p w14:paraId="13C697BD" w14:textId="77777777" w:rsidR="008E7EEA" w:rsidRPr="00CA0B75" w:rsidRDefault="008E7EEA" w:rsidP="008D3E19">
      <w:pPr>
        <w:pStyle w:val="NoSpacing"/>
        <w:spacing w:line="276" w:lineRule="auto"/>
        <w:rPr>
          <w:rFonts w:eastAsia="Times New Roman" w:cs="Arial"/>
          <w:b/>
          <w:color w:val="333333"/>
        </w:rPr>
      </w:pPr>
      <w:r>
        <w:t xml:space="preserve">Проектът на схемата беше нотифициран пред Европейската комисия на..., за да удовлетвори </w:t>
      </w:r>
      <w:r>
        <w:rPr>
          <w:b/>
        </w:rPr>
        <w:t>P.M.</w:t>
      </w:r>
      <w:r>
        <w:t xml:space="preserve"> След нотификацията </w:t>
      </w:r>
      <w:r>
        <w:rPr>
          <w:b/>
        </w:rPr>
        <w:t>P.M</w:t>
      </w:r>
      <w:r>
        <w:t>.</w:t>
      </w:r>
    </w:p>
    <w:p w14:paraId="1EB1823F" w14:textId="1C1F97BC" w:rsidR="008C7083" w:rsidRPr="00B658D6" w:rsidRDefault="00915D8D">
      <w:pPr>
        <w:pStyle w:val="NoSpacing"/>
        <w:spacing w:line="276" w:lineRule="auto"/>
        <w:rPr>
          <w:b/>
          <w:bCs/>
        </w:rPr>
      </w:pPr>
      <w:r>
        <w:rPr>
          <w:color w:val="333333"/>
        </w:rPr>
        <w:br/>
      </w:r>
    </w:p>
    <w:p w14:paraId="1ADE6D80" w14:textId="77777777" w:rsidR="00647286" w:rsidRDefault="00647286" w:rsidP="008D3E19">
      <w:pPr>
        <w:pStyle w:val="NoSpacing"/>
        <w:spacing w:line="276" w:lineRule="auto"/>
        <w:rPr>
          <w:bCs/>
        </w:rPr>
      </w:pPr>
    </w:p>
    <w:p w14:paraId="621B8D55" w14:textId="77777777" w:rsidR="003670DB" w:rsidRDefault="003670DB" w:rsidP="008D3E19">
      <w:pPr>
        <w:pStyle w:val="NoSpacing"/>
        <w:spacing w:line="276" w:lineRule="auto"/>
        <w:rPr>
          <w:b/>
          <w:bCs/>
        </w:rPr>
      </w:pPr>
    </w:p>
    <w:sectPr w:rsidR="003670DB">
      <w:headerReference w:type="default" r:id="rId8"/>
      <w:headerReference w:type="first" r:id="rId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168D" w14:textId="77777777" w:rsidR="00E34D51" w:rsidRDefault="00E34D51">
      <w:pPr>
        <w:spacing w:line="240" w:lineRule="auto"/>
      </w:pPr>
      <w:r>
        <w:separator/>
      </w:r>
    </w:p>
  </w:endnote>
  <w:endnote w:type="continuationSeparator" w:id="0">
    <w:p w14:paraId="2A8129F5" w14:textId="77777777" w:rsidR="00E34D51" w:rsidRDefault="00E34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12867" w14:textId="77777777" w:rsidR="00E34D51" w:rsidRDefault="00E34D51">
      <w:pPr>
        <w:spacing w:line="240" w:lineRule="auto"/>
      </w:pPr>
      <w:r>
        <w:separator/>
      </w:r>
    </w:p>
  </w:footnote>
  <w:footnote w:type="continuationSeparator" w:id="0">
    <w:p w14:paraId="6A65BFAC" w14:textId="77777777" w:rsidR="00E34D51" w:rsidRDefault="00E34D51">
      <w:pPr>
        <w:spacing w:line="240" w:lineRule="auto"/>
      </w:pPr>
      <w:r>
        <w:continuationSeparator/>
      </w:r>
    </w:p>
  </w:footnote>
  <w:footnote w:id="1">
    <w:p w14:paraId="08612ED2" w14:textId="77777777" w:rsidR="00125CD6" w:rsidRDefault="00125CD6">
      <w:pPr>
        <w:pStyle w:val="FootnoteText"/>
      </w:pPr>
      <w:r>
        <w:rPr>
          <w:rStyle w:val="FootnoteReference"/>
        </w:rPr>
        <w:footnoteRef/>
      </w:r>
      <w:r>
        <w:t xml:space="preserve"> </w:t>
      </w:r>
      <w:r>
        <w:rPr>
          <w:rFonts w:ascii="Verdana" w:hAnsi="Verdana"/>
          <w:sz w:val="16"/>
        </w:rPr>
        <w:t>Приложение към документи на Камарата II, 2018/19, 32793, № 339.</w:t>
      </w:r>
    </w:p>
  </w:footnote>
  <w:footnote w:id="2">
    <w:p w14:paraId="134DD927" w14:textId="0F382223" w:rsidR="00A978BD" w:rsidRDefault="00A978BD">
      <w:pPr>
        <w:pStyle w:val="FootnoteText"/>
      </w:pPr>
      <w:r>
        <w:rPr>
          <w:rStyle w:val="FootnoteReference"/>
        </w:rPr>
        <w:footnoteRef/>
      </w:r>
      <w:r>
        <w:rPr>
          <w:rFonts w:ascii="Verdana" w:hAnsi="Verdana"/>
          <w:sz w:val="16"/>
        </w:rPr>
        <w:t xml:space="preserve"> </w:t>
      </w:r>
      <w:r>
        <w:rPr>
          <w:rFonts w:ascii="Verdana" w:hAnsi="Verdana"/>
          <w:sz w:val="16"/>
        </w:rPr>
        <w:t>Motivaction, „</w:t>
      </w:r>
      <w:r>
        <w:rPr>
          <w:rFonts w:ascii="Verdana" w:hAnsi="Verdana"/>
          <w:i/>
          <w:sz w:val="16"/>
        </w:rPr>
        <w:t>Effectivity of figurative marks of three food choice logos</w:t>
      </w:r>
      <w:r>
        <w:rPr>
          <w:rFonts w:ascii="Verdana" w:hAnsi="Verdana"/>
          <w:sz w:val="16"/>
        </w:rPr>
        <w:t xml:space="preserve">“, 30 октомври 2019 г., може да се прегледа на </w:t>
      </w:r>
      <w:hyperlink r:id="rId1" w:history="1">
        <w:r>
          <w:rPr>
            <w:rStyle w:val="Hyperlink"/>
            <w:rFonts w:ascii="Verdana" w:hAnsi="Verdana"/>
            <w:sz w:val="16"/>
          </w:rPr>
          <w:t>https://www.rijksoverheid.nl/</w:t>
        </w:r>
      </w:hyperlink>
      <w:r>
        <w:rPr>
          <w:rFonts w:ascii="Verdana" w:hAnsi="Verdana"/>
          <w:sz w:val="16"/>
        </w:rPr>
        <w:t>.</w:t>
      </w:r>
      <w:r>
        <w:t xml:space="preserve"> </w:t>
      </w:r>
    </w:p>
  </w:footnote>
  <w:footnote w:id="3">
    <w:p w14:paraId="2C905CC0" w14:textId="778258C7" w:rsidR="00A978BD" w:rsidRDefault="00A978BD">
      <w:pPr>
        <w:pStyle w:val="FootnoteText"/>
      </w:pPr>
      <w:r>
        <w:rPr>
          <w:rStyle w:val="FootnoteReference"/>
        </w:rPr>
        <w:footnoteRef/>
      </w:r>
      <w:r>
        <w:t xml:space="preserve"> </w:t>
      </w:r>
      <w:r>
        <w:rPr>
          <w:rFonts w:ascii="Verdana" w:hAnsi="Verdana"/>
          <w:sz w:val="16"/>
        </w:rPr>
        <w:t>Национален институт за обществено здраве и околна среда (RIVM) и Център за хранене, „</w:t>
      </w:r>
      <w:r>
        <w:rPr>
          <w:rFonts w:ascii="Verdana" w:hAnsi="Verdana"/>
          <w:i/>
          <w:sz w:val="16"/>
        </w:rPr>
        <w:t>Desk Study Food Choice Logos under the spotlight</w:t>
      </w:r>
      <w:r>
        <w:rPr>
          <w:rFonts w:ascii="Verdana" w:hAnsi="Verdana"/>
          <w:sz w:val="16"/>
        </w:rPr>
        <w:t xml:space="preserve">“, 28 ноември 2019 г. Може да се прегледа на </w:t>
      </w:r>
      <w:hyperlink r:id="rId2" w:history="1">
        <w:r>
          <w:rPr>
            <w:rStyle w:val="Hyperlink"/>
            <w:rFonts w:ascii="Verdana" w:hAnsi="Verdana"/>
            <w:sz w:val="16"/>
          </w:rPr>
          <w:t>https://www.rijksoverheid.nl/</w:t>
        </w:r>
      </w:hyperlink>
      <w:r>
        <w:rPr>
          <w:rFonts w:ascii="Verdana" w:hAnsi="Verdana"/>
          <w:sz w:val="16"/>
        </w:rPr>
        <w:t>.</w:t>
      </w:r>
      <w:r>
        <w:t xml:space="preserve"> </w:t>
      </w:r>
    </w:p>
  </w:footnote>
  <w:footnote w:id="4">
    <w:p w14:paraId="3942F257" w14:textId="77777777" w:rsidR="00125CD6" w:rsidRDefault="00125CD6">
      <w:pPr>
        <w:pStyle w:val="FootnoteText"/>
      </w:pPr>
      <w:r>
        <w:rPr>
          <w:rStyle w:val="FootnoteReference"/>
        </w:rPr>
        <w:footnoteRef/>
      </w:r>
      <w:r>
        <w:rPr>
          <w:rFonts w:ascii="Verdana" w:hAnsi="Verdana"/>
          <w:sz w:val="16"/>
        </w:rPr>
        <w:t xml:space="preserve"> </w:t>
      </w:r>
      <w:r>
        <w:rPr>
          <w:rFonts w:ascii="Verdana" w:hAnsi="Verdana"/>
          <w:sz w:val="16"/>
        </w:rPr>
        <w:t>Парламентарни документи II 2019/20, 32793, № 459.</w:t>
      </w:r>
    </w:p>
  </w:footnote>
  <w:footnote w:id="5">
    <w:p w14:paraId="5857BD1C" w14:textId="77777777" w:rsidR="009D6971" w:rsidRPr="006B20B3" w:rsidRDefault="009D6971" w:rsidP="009D6971">
      <w:pPr>
        <w:pStyle w:val="FootnoteText"/>
        <w:rPr>
          <w:rFonts w:ascii="Verdana" w:hAnsi="Verdana"/>
          <w:sz w:val="16"/>
          <w:szCs w:val="16"/>
        </w:rPr>
      </w:pPr>
      <w:r>
        <w:rPr>
          <w:rStyle w:val="FootnoteReference"/>
          <w:rFonts w:ascii="Verdana" w:hAnsi="Verdana"/>
          <w:sz w:val="16"/>
          <w:szCs w:val="16"/>
        </w:rPr>
        <w:footnoteRef/>
      </w:r>
      <w:r>
        <w:rPr>
          <w:rFonts w:ascii="Verdana" w:hAnsi="Verdana"/>
          <w:sz w:val="16"/>
        </w:rPr>
        <w:t xml:space="preserve"> </w:t>
      </w:r>
      <w:r w:rsidRPr="0082718E">
        <w:rPr>
          <w:rFonts w:ascii="Verdana" w:hAnsi="Verdana"/>
          <w:sz w:val="16"/>
        </w:rPr>
        <w:t xml:space="preserve">ROW </w:t>
      </w:r>
      <w:r w:rsidRPr="0082718E">
        <w:rPr>
          <w:rFonts w:ascii="Verdana" w:hAnsi="Verdana"/>
          <w:sz w:val="16"/>
        </w:rPr>
        <w:t>включва представители на предприятията (от промишлеността и търговията), потребителите, министерствата (по-специално министерството на здравеопазването, социалните грижи и спорта и министерството на земеделието, околната среда и качеството на храните) и на Органа по безопасност на храните и потребителските продукти на Нидерландия [NVWA].</w:t>
      </w:r>
    </w:p>
  </w:footnote>
  <w:footnote w:id="6">
    <w:p w14:paraId="38FEBC48" w14:textId="77777777" w:rsidR="006C4D06" w:rsidRDefault="006C4D06" w:rsidP="006C4D06">
      <w:pPr>
        <w:pStyle w:val="FootnoteText"/>
      </w:pPr>
      <w:r>
        <w:rPr>
          <w:rStyle w:val="FootnoteReference"/>
        </w:rPr>
        <w:footnoteRef/>
      </w:r>
      <w:r>
        <w:t xml:space="preserve"> </w:t>
      </w:r>
      <w:r>
        <w:rPr>
          <w:rFonts w:ascii="Verdana" w:hAnsi="Verdana"/>
          <w:sz w:val="16"/>
        </w:rPr>
        <w:t xml:space="preserve">Пълно </w:t>
      </w:r>
      <w:r>
        <w:rPr>
          <w:rFonts w:ascii="Verdana" w:hAnsi="Verdana"/>
          <w:sz w:val="16"/>
        </w:rPr>
        <w:t>наименование Регламент (ЕС) № 1169/2011 на Европейския парламент и на Съвета от 25 октомври 2011 година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 (ОВ L 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3F9A" w14:textId="77777777" w:rsidR="001D3DA3" w:rsidRDefault="00AD598F">
    <w:r>
      <w:rPr>
        <w:noProof/>
      </w:rPr>
      <mc:AlternateContent>
        <mc:Choice Requires="wps">
          <w:drawing>
            <wp:anchor distT="0" distB="0" distL="0" distR="0" simplePos="0" relativeHeight="251652608" behindDoc="0" locked="1" layoutInCell="1" allowOverlap="1" wp14:anchorId="0A4C7470" wp14:editId="321BAFE6">
              <wp:simplePos x="0" y="0"/>
              <wp:positionH relativeFrom="page">
                <wp:posOffset>5903595</wp:posOffset>
              </wp:positionH>
              <wp:positionV relativeFrom="page">
                <wp:posOffset>1907539</wp:posOffset>
              </wp:positionV>
              <wp:extent cx="1259840" cy="8009890"/>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65F02A1" w14:textId="77777777" w:rsidR="002A39A6" w:rsidRDefault="002A39A6"/>
                      </w:txbxContent>
                    </wps:txbx>
                    <wps:bodyPr vert="horz" wrap="square" lIns="0" tIns="0" rIns="0" bIns="0" anchor="t" anchorCtr="0"/>
                  </wps:wsp>
                </a:graphicData>
              </a:graphic>
            </wp:anchor>
          </w:drawing>
        </mc:Choice>
        <mc:Fallback>
          <w:pict>
            <v:shapetype w14:anchorId="0A4C7470"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Cfz+uPpgEAADMDAAAOAAAAAAAAAAAAAAAAAC4CAABkcnMvZTJvRG9jLnhtbFBLAQIt&#10;ABQABgAIAAAAIQDEEFHe4gAAAA0BAAAPAAAAAAAAAAAAAAAAAAAEAABkcnMvZG93bnJldi54bWxQ&#10;SwUGAAAAAAQABADzAAAADwUAAAAA&#10;" filled="f" stroked="f">
              <v:textbox inset="0,0,0,0">
                <w:txbxContent>
                  <w:p w14:paraId="065F02A1" w14:textId="77777777" w:rsidR="002A39A6" w:rsidRDefault="002A39A6"/>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B37E1C5" wp14:editId="59DD2CE3">
              <wp:simplePos x="0" y="0"/>
              <wp:positionH relativeFrom="page">
                <wp:posOffset>5903595</wp:posOffset>
              </wp:positionH>
              <wp:positionV relativeFrom="page">
                <wp:posOffset>10223500</wp:posOffset>
              </wp:positionV>
              <wp:extent cx="1259840" cy="17970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FEBE5F1" w14:textId="559A626A" w:rsidR="001D3DA3" w:rsidRDefault="00AD598F">
                          <w:pPr>
                            <w:pStyle w:val="StandaardReferentiegegevens"/>
                          </w:pPr>
                          <w:r>
                            <w:t xml:space="preserve">Страница </w:t>
                          </w:r>
                          <w:r>
                            <w:fldChar w:fldCharType="begin"/>
                          </w:r>
                          <w:r>
                            <w:instrText>PAGE</w:instrText>
                          </w:r>
                          <w:r>
                            <w:fldChar w:fldCharType="separate"/>
                          </w:r>
                          <w:r w:rsidR="002A4E62">
                            <w:t>4</w:t>
                          </w:r>
                          <w:r>
                            <w:fldChar w:fldCharType="end"/>
                          </w:r>
                          <w:r>
                            <w:t xml:space="preserve"> от </w:t>
                          </w:r>
                          <w:r>
                            <w:fldChar w:fldCharType="begin"/>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6B37E1C5" id="Paginanummer_3" o:spid="_x0000_s1027" type="#_x0000_t202" style="position:absolute;margin-left:464.85pt;margin-top:805pt;width:99.2pt;height:14.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t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F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O2ehG2sAQAAPgMAAA4AAAAAAAAAAAAAAAAALgIAAGRycy9lMm9Eb2MueG1s&#10;UEsBAi0AFAAGAAgAAAAhAOCM6tfhAAAADgEAAA8AAAAAAAAAAAAAAAAABgQAAGRycy9kb3ducmV2&#10;LnhtbFBLBQYAAAAABAAEAPMAAAAUBQAAAAA=&#10;" filled="f" stroked="f">
              <v:textbox inset="0,0,0,0">
                <w:txbxContent>
                  <w:p w14:paraId="0FEBE5F1" w14:textId="559A626A" w:rsidR="001D3DA3" w:rsidRDefault="00AD598F">
                    <w:pPr>
                      <w:pStyle w:val="StandaardReferentiegegevens"/>
                    </w:pPr>
                    <w:r>
                      <w:t xml:space="preserve">Страница </w:t>
                    </w:r>
                    <w:r>
                      <w:fldChar w:fldCharType="begin"/>
                    </w:r>
                    <w:r>
                      <w:instrText>PAGE</w:instrText>
                    </w:r>
                    <w:r>
                      <w:fldChar w:fldCharType="separate"/>
                    </w:r>
                    <w:r w:rsidR="002A4E62">
                      <w:t>4</w:t>
                    </w:r>
                    <w:r>
                      <w:fldChar w:fldCharType="end"/>
                    </w:r>
                    <w:r>
                      <w:t xml:space="preserve"> от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B68C" w14:textId="4E299139" w:rsidR="001D3DA3" w:rsidRDefault="008E3830">
    <w:pPr>
      <w:spacing w:after="6746" w:line="14" w:lineRule="exact"/>
    </w:pPr>
    <w:r>
      <w:rPr>
        <w:noProof/>
      </w:rPr>
      <mc:AlternateContent>
        <mc:Choice Requires="wps">
          <w:drawing>
            <wp:anchor distT="0" distB="0" distL="114300" distR="114300" simplePos="0" relativeHeight="251662848" behindDoc="0" locked="0" layoutInCell="1" allowOverlap="1" wp14:anchorId="2BB507A8" wp14:editId="35A3B021">
              <wp:simplePos x="0" y="0"/>
              <wp:positionH relativeFrom="column">
                <wp:posOffset>3023870</wp:posOffset>
              </wp:positionH>
              <wp:positionV relativeFrom="paragraph">
                <wp:posOffset>828675</wp:posOffset>
              </wp:positionV>
              <wp:extent cx="2299335" cy="466725"/>
              <wp:effectExtent l="0" t="0" r="5715" b="9525"/>
              <wp:wrapNone/>
              <wp:docPr id="13" name="Text Box 13"/>
              <wp:cNvGraphicFramePr/>
              <a:graphic xmlns:a="http://schemas.openxmlformats.org/drawingml/2006/main">
                <a:graphicData uri="http://schemas.microsoft.com/office/word/2010/wordprocessingShape">
                  <wps:wsp>
                    <wps:cNvSpPr txBox="1"/>
                    <wps:spPr>
                      <a:xfrm>
                        <a:off x="0" y="0"/>
                        <a:ext cx="2299335" cy="466725"/>
                      </a:xfrm>
                      <a:prstGeom prst="rect">
                        <a:avLst/>
                      </a:prstGeom>
                      <a:solidFill>
                        <a:schemeClr val="lt1"/>
                      </a:solidFill>
                      <a:ln w="6350">
                        <a:noFill/>
                      </a:ln>
                    </wps:spPr>
                    <wps:txbx>
                      <w:txbxContent>
                        <w:p w14:paraId="79769891" w14:textId="5BFF1079" w:rsidR="008E3830" w:rsidRPr="008E3830" w:rsidRDefault="008E3830">
                          <w:pPr>
                            <w:rPr>
                              <w:b/>
                              <w:bCs/>
                            </w:rPr>
                          </w:pPr>
                          <w:r>
                            <w:rPr>
                              <w:b/>
                            </w:rPr>
                            <w:t>Министерство на здравеопазването, социалните грижи и спорта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B507A8" id="_x0000_t202" coordsize="21600,21600" o:spt="202" path="m,l,21600r21600,l21600,xe">
              <v:stroke joinstyle="miter"/>
              <v:path gradientshapeok="t" o:connecttype="rect"/>
            </v:shapetype>
            <v:shape id="Text Box 13" o:spid="_x0000_s1028" type="#_x0000_t202" style="position:absolute;margin-left:238.1pt;margin-top:65.25pt;width:181.05pt;height:36.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" fillcolor="white [3201]" stroked="f" strokeweight=".5pt">
              <v:textbox>
                <w:txbxContent>
                  <w:p w14:paraId="79769891" w14:textId="5BFF1079" w:rsidR="008E3830" w:rsidRPr="008E3830" w:rsidRDefault="008E3830">
                    <w:pPr>
                      <w:rPr>
                        <w:b/>
                        <w:bCs/>
                      </w:rPr>
                    </w:pPr>
                    <w:r>
                      <w:rPr>
                        <w:b/>
                      </w:rPr>
                      <w:t xml:space="preserve">Министерство на здравеопазването, социалните грижи и спорта</w:t>
                    </w:r>
                  </w:p>
                </w:txbxContent>
              </v:textbox>
            </v:shape>
          </w:pict>
        </mc:Fallback>
      </mc:AlternateContent>
    </w:r>
    <w:r>
      <w:rPr>
        <w:noProof/>
      </w:rPr>
      <mc:AlternateContent>
        <mc:Choice Requires="wps">
          <w:drawing>
            <wp:anchor distT="0" distB="0" distL="0" distR="0" simplePos="0" relativeHeight="251654656" behindDoc="0" locked="1" layoutInCell="1" allowOverlap="1" wp14:anchorId="150FF714" wp14:editId="20868259">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130F485" w14:textId="77777777" w:rsidR="001D3DA3" w:rsidRDefault="00AD598F">
                          <w:pPr>
                            <w:spacing w:line="240" w:lineRule="auto"/>
                          </w:pPr>
                          <w:r>
                            <w:rPr>
                              <w:noProof/>
                            </w:rP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0FF714" id="Logo_2" o:spid="_x0000_s1029" type="#_x0000_t202" style="position:absolute;margin-left:277.75pt;margin-top:0;width:36.85pt;height:124.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Dj45A7qAEAADUDAAAOAAAAAAAAAAAAAAAAAC4CAABkcnMvZTJvRG9jLnhtbFBLAQItABQA&#10;BgAIAAAAIQAGoydU3QAAAAgBAAAPAAAAAAAAAAAAAAAAAAIEAABkcnMvZG93bnJldi54bWxQSwUG&#10;AAAAAAQABADzAAAADAUAAAAA&#10;" filled="f" stroked="f">
              <v:textbox inset="0,0,0,0">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63436021" wp14:editId="2ACBBCFD">
              <wp:simplePos x="0" y="0"/>
              <wp:positionH relativeFrom="page">
                <wp:posOffset>3995420</wp:posOffset>
              </wp:positionH>
              <wp:positionV relativeFrom="page">
                <wp:posOffset>0</wp:posOffset>
              </wp:positionV>
              <wp:extent cx="2339975" cy="1778000"/>
              <wp:effectExtent l="0" t="0" r="0" b="0"/>
              <wp:wrapNone/>
              <wp:docPr id="3"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53335B4" w14:textId="77777777" w:rsidR="001D3DA3" w:rsidRDefault="00AD598F">
                          <w:pPr>
                            <w:spacing w:line="240" w:lineRule="auto"/>
                          </w:pPr>
                          <w:r>
                            <w:rPr>
                              <w:noProof/>
                            </w:rP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436021" id="Woordmerk_2" o:spid="_x0000_s1030" type="#_x0000_t202" style="position:absolute;margin-left:314.6pt;margin-top:0;width:184.25pt;height:140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" filled="f" stroked="f">
              <v:textbox inset="0,0,0,0">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51DF812" wp14:editId="49C2B34A">
              <wp:simplePos x="0" y="0"/>
              <wp:positionH relativeFrom="page">
                <wp:posOffset>1007744</wp:posOffset>
              </wp:positionH>
              <wp:positionV relativeFrom="page">
                <wp:posOffset>1691639</wp:posOffset>
              </wp:positionV>
              <wp:extent cx="3561715" cy="142875"/>
              <wp:effectExtent l="0" t="0" r="0" b="0"/>
              <wp:wrapNone/>
              <wp:docPr id="5"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C2A1BA9" w14:textId="77777777" w:rsidR="002A39A6" w:rsidRDefault="002A39A6"/>
                      </w:txbxContent>
                    </wps:txbx>
                    <wps:bodyPr vert="horz" wrap="square" lIns="0" tIns="0" rIns="0" bIns="0" anchor="t" anchorCtr="0"/>
                  </wps:wsp>
                </a:graphicData>
              </a:graphic>
            </wp:anchor>
          </w:drawing>
        </mc:Choice>
        <mc:Fallback>
          <w:pict>
            <v:shape w14:anchorId="651DF812" id="Retourregel_2" o:spid="_x0000_s1031" type="#_x0000_t202" style="position:absolute;margin-left:79.35pt;margin-top:133.2pt;width:280.45pt;height:11.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GwjH3qwBAAA8AwAADgAAAAAAAAAAAAAAAAAuAgAAZHJzL2Uyb0RvYy54bWxQ&#10;SwECLQAUAAYACAAAACEAprh/WuAAAAALAQAADwAAAAAAAAAAAAAAAAAGBAAAZHJzL2Rvd25yZXYu&#10;eG1sUEsFBgAAAAAEAAQA8wAAABMFAAAAAA==&#10;" filled="f" stroked="f">
              <v:textbox inset="0,0,0,0">
                <w:txbxContent>
                  <w:p w14:paraId="7C2A1BA9" w14:textId="77777777" w:rsidR="002A39A6" w:rsidRDefault="002A39A6"/>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D64F52C" wp14:editId="351E8A47">
              <wp:simplePos x="0" y="0"/>
              <wp:positionH relativeFrom="page">
                <wp:posOffset>1007744</wp:posOffset>
              </wp:positionH>
              <wp:positionV relativeFrom="page">
                <wp:posOffset>1943735</wp:posOffset>
              </wp:positionV>
              <wp:extent cx="3491865" cy="1079500"/>
              <wp:effectExtent l="0" t="0" r="0" b="0"/>
              <wp:wrapNone/>
              <wp:docPr id="6"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E6BEFD4" w14:textId="77777777" w:rsidR="004A705B" w:rsidRDefault="00B838BB" w:rsidP="004A705B">
                          <w:r>
                            <w:t xml:space="preserve">Наредба </w:t>
                          </w:r>
                          <w:r>
                            <w:t>на Министъра на здравеопазването — VGP,</w:t>
                          </w:r>
                        </w:p>
                        <w:p w14:paraId="6DDC92F8" w14:textId="77777777" w:rsidR="001D3DA3" w:rsidRDefault="00AD598F">
                          <w:r>
                            <w:t>за определяне на Nutri-Score като лого за избор на храна и условията за използването му (Регламент за определяне на лого за избор на храна)</w:t>
                          </w:r>
                        </w:p>
                      </w:txbxContent>
                    </wps:txbx>
                    <wps:bodyPr vert="horz" wrap="square" lIns="0" tIns="0" rIns="0" bIns="0" anchor="t" anchorCtr="0"/>
                  </wps:wsp>
                </a:graphicData>
              </a:graphic>
            </wp:anchor>
          </w:drawing>
        </mc:Choice>
        <mc:Fallback>
          <w:pict>
            <v:shape w14:anchorId="4D64F52C" id="Toezendgegevens_2" o:spid="_x0000_s1032" type="#_x0000_t202" style="position:absolute;margin-left:79.35pt;margin-top:153.05pt;width:274.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AR5/N4sQEAAEEDAAAOAAAAAAAAAAAAAAAAAC4CAABkcnMvZTJvRG9j&#10;LnhtbFBLAQItABQABgAIAAAAIQCW7QUW4AAAAAsBAAAPAAAAAAAAAAAAAAAAAAsEAABkcnMvZG93&#10;bnJldi54bWxQSwUGAAAAAAQABADzAAAAGAUAAAAA&#10;" filled="f" stroked="f">
              <v:textbox inset="0,0,0,0">
                <w:txbxContent>
                  <w:p w14:paraId="5E6BEFD4" w14:textId="77777777" w:rsidR="004A705B" w:rsidRDefault="00B838BB" w:rsidP="004A705B">
                    <w:r>
                      <w:t xml:space="preserve">Наредба на Министъра на здравеопазването — VGP,</w:t>
                    </w:r>
                  </w:p>
                  <w:p w14:paraId="6DDC92F8" w14:textId="77777777" w:rsidR="001D3DA3" w:rsidRDefault="00AD598F">
                    <w:r>
                      <w:t xml:space="preserve">за определяне на Nutri-Score като лого за избор на храна и условията за използването му (Регламент за определяне на лого за избор на храна)</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FAB91D8" wp14:editId="2406F352">
              <wp:simplePos x="0" y="0"/>
              <wp:positionH relativeFrom="page">
                <wp:posOffset>5921375</wp:posOffset>
              </wp:positionH>
              <wp:positionV relativeFrom="page">
                <wp:posOffset>1943735</wp:posOffset>
              </wp:positionV>
              <wp:extent cx="1259840" cy="8009890"/>
              <wp:effectExtent l="0" t="0" r="0" b="0"/>
              <wp:wrapNone/>
              <wp:docPr id="7"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F0747E" w14:textId="77777777" w:rsidR="002A39A6" w:rsidRDefault="002A39A6"/>
                      </w:txbxContent>
                    </wps:txbx>
                    <wps:bodyPr vert="horz" wrap="square" lIns="0" tIns="0" rIns="0" bIns="0" anchor="t" anchorCtr="0"/>
                  </wps:wsp>
                </a:graphicData>
              </a:graphic>
            </wp:anchor>
          </w:drawing>
        </mc:Choice>
        <mc:Fallback>
          <w:pict>
            <v:shape w14:anchorId="6FAB91D8" id="Colofon_2" o:spid="_x0000_s1033" type="#_x0000_t202" style="position:absolute;margin-left:466.25pt;margin-top:153.05pt;width:99.2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Dz456zqQEAADkDAAAOAAAAAAAAAAAAAAAAAC4CAABkcnMvZTJvRG9jLnhtbFBL&#10;AQItABQABgAIAAAAIQAjtp0b4gAAAA0BAAAPAAAAAAAAAAAAAAAAAAMEAABkcnMvZG93bnJldi54&#10;bWxQSwUGAAAAAAQABADzAAAAEgUAAAAA&#10;" filled="f" stroked="f">
              <v:textbox inset="0,0,0,0">
                <w:txbxContent>
                  <w:p w14:paraId="76F0747E" w14:textId="77777777" w:rsidR="002A39A6" w:rsidRDefault="002A39A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9B16156" wp14:editId="64F00432">
              <wp:simplePos x="0" y="0"/>
              <wp:positionH relativeFrom="page">
                <wp:posOffset>1007744</wp:posOffset>
              </wp:positionH>
              <wp:positionV relativeFrom="page">
                <wp:posOffset>3635375</wp:posOffset>
              </wp:positionV>
              <wp:extent cx="4105275" cy="629920"/>
              <wp:effectExtent l="0" t="0" r="0" b="0"/>
              <wp:wrapNone/>
              <wp:docPr id="8"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p w14:paraId="25B038BD" w14:textId="77777777" w:rsidR="002A39A6" w:rsidRDefault="002A39A6"/>
                      </w:txbxContent>
                    </wps:txbx>
                    <wps:bodyPr vert="horz" wrap="square" lIns="0" tIns="0" rIns="0" bIns="0" anchor="t" anchorCtr="0"/>
                  </wps:wsp>
                </a:graphicData>
              </a:graphic>
            </wp:anchor>
          </w:drawing>
        </mc:Choice>
        <mc:Fallback>
          <w:pict>
            <v:shape w14:anchorId="39B16156" id="Documentgegevens" o:spid="_x0000_s1034" type="#_x0000_t202" style="position:absolute;margin-left:79.35pt;margin-top:286.25pt;width:323.25pt;height:49.6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BurUUetAQAAPwMAAA4AAAAAAAAAAAAAAAAALgIAAGRycy9lMm9Eb2MueG1s&#10;UEsBAi0AFAAGAAgAAAAhAPAhc9XgAAAACwEAAA8AAAAAAAAAAAAAAAAABwQAAGRycy9kb3ducmV2&#10;LnhtbFBLBQYAAAAABAAEAPMAAAAUBQAAAAA=&#10;" filled="f" stroked="f">
              <v:textbox inset="0,0,0,0">
                <w:txbxContent>
                  <w:p w14:paraId="25B038BD" w14:textId="77777777" w:rsidR="002A39A6" w:rsidRDefault="002A39A6"/>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6DDD7D7" wp14:editId="67AE3F99">
              <wp:simplePos x="0" y="0"/>
              <wp:positionH relativeFrom="page">
                <wp:posOffset>1007744</wp:posOffset>
              </wp:positionH>
              <wp:positionV relativeFrom="page">
                <wp:posOffset>10223500</wp:posOffset>
              </wp:positionV>
              <wp:extent cx="1799589" cy="17970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C03C5B1" w14:textId="77777777" w:rsidR="002A39A6" w:rsidRDefault="002A39A6"/>
                      </w:txbxContent>
                    </wps:txbx>
                    <wps:bodyPr vert="horz" wrap="square" lIns="0" tIns="0" rIns="0" bIns="0" anchor="t" anchorCtr="0"/>
                  </wps:wsp>
                </a:graphicData>
              </a:graphic>
            </wp:anchor>
          </w:drawing>
        </mc:Choice>
        <mc:Fallback>
          <w:pict>
            <v:shape w14:anchorId="66DDD7D7" id="Rubricering onder vervolgpagina" o:spid="_x0000_s1035" type="#_x0000_t202" style="position:absolute;margin-left:79.35pt;margin-top:805pt;width:141.7pt;height:14.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2C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GvOvHTUou+7&#10;FokVkp0MfG4P9XcPdghyMF5my6YQG6p8DlSb5g8wU+uXfKRkdmLu0eUvaWR0TuYfzobrOTGVi27X&#10;65s7elnRGW1u65sMU71VB4zpSYNjORAcqaHFZ7n/HNPx6nIlP+bh0Vib85nikUqO0tzOJ5Un+i10&#10;B2JP0gh2BPzJ2URjIHh83UnUnNlPnnzOM7MEuATtEkivqFTwxNkx/JjKbC0EqGlFzWnA8lT8vi80&#10;336D7S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gFL9grQBAABOAwAADgAAAAAAAAAAAAAAAAAuAgAAZHJzL2Uy&#10;b0RvYy54bWxQSwECLQAUAAYACAAAACEAWe4PUOEAAAANAQAADwAAAAAAAAAAAAAAAAAOBAAAZHJz&#10;L2Rvd25yZXYueG1sUEsFBgAAAAAEAAQA8wAAABwFAAAAAA==&#10;" filled="f" stroked="f">
              <v:textbox inset="0,0,0,0">
                <w:txbxContent>
                  <w:p w14:paraId="0C03C5B1" w14:textId="77777777" w:rsidR="002A39A6" w:rsidRDefault="002A39A6"/>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2CAD163" wp14:editId="59CF7FA8">
              <wp:simplePos x="0" y="0"/>
              <wp:positionH relativeFrom="page">
                <wp:posOffset>5921375</wp:posOffset>
              </wp:positionH>
              <wp:positionV relativeFrom="page">
                <wp:posOffset>10223500</wp:posOffset>
              </wp:positionV>
              <wp:extent cx="1259840" cy="179705"/>
              <wp:effectExtent l="0" t="0" r="0" b="0"/>
              <wp:wrapNone/>
              <wp:docPr id="10"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BF994F7" w14:textId="3F98A9E6" w:rsidR="001D3DA3" w:rsidRDefault="00AD598F">
                          <w:pPr>
                            <w:pStyle w:val="StandaardReferentiegegevens"/>
                          </w:pPr>
                          <w:r>
                            <w:t xml:space="preserve">Страница </w:t>
                          </w:r>
                          <w:r>
                            <w:fldChar w:fldCharType="begin"/>
                          </w:r>
                          <w:r>
                            <w:instrText>PAGE</w:instrText>
                          </w:r>
                          <w:r>
                            <w:fldChar w:fldCharType="separate"/>
                          </w:r>
                          <w:r w:rsidR="002A4E62">
                            <w:t>1</w:t>
                          </w:r>
                          <w:r>
                            <w:fldChar w:fldCharType="end"/>
                          </w:r>
                          <w:r>
                            <w:t xml:space="preserve"> от </w:t>
                          </w:r>
                          <w:r>
                            <w:fldChar w:fldCharType="begin"/>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22CAD163" id="Paginanummer_2" o:spid="_x0000_s1036" type="#_x0000_t202" style="position:absolute;margin-left:466.25pt;margin-top:805pt;width:99.2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" filled="f" stroked="f">
              <v:textbox inset="0,0,0,0">
                <w:txbxContent>
                  <w:p w14:paraId="7BF994F7" w14:textId="3F98A9E6" w:rsidR="001D3DA3" w:rsidRDefault="00AD598F">
                    <w:pPr>
                      <w:pStyle w:val="StandaardReferentiegegevens"/>
                    </w:pPr>
                    <w:r>
                      <w:t xml:space="preserve">Страница </w:t>
                    </w:r>
                    <w:r>
                      <w:fldChar w:fldCharType="begin"/>
                    </w:r>
                    <w:r>
                      <w:instrText>PAGE</w:instrText>
                    </w:r>
                    <w:r>
                      <w:fldChar w:fldCharType="separate"/>
                    </w:r>
                    <w:r w:rsidR="002A4E62">
                      <w:t>1</w:t>
                    </w:r>
                    <w:r>
                      <w:fldChar w:fldCharType="end"/>
                    </w:r>
                    <w:r>
                      <w:t xml:space="preserve"> от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98EB1"/>
    <w:multiLevelType w:val="multilevel"/>
    <w:tmpl w:val="B68C1749"/>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49F78B0"/>
    <w:multiLevelType w:val="multilevel"/>
    <w:tmpl w:val="056E134F"/>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67178F"/>
    <w:multiLevelType w:val="multilevel"/>
    <w:tmpl w:val="0D384133"/>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B4F845B"/>
    <w:multiLevelType w:val="multilevel"/>
    <w:tmpl w:val="5975836F"/>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B326273"/>
    <w:multiLevelType w:val="multilevel"/>
    <w:tmpl w:val="0F4DEF7B"/>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CB0576"/>
    <w:multiLevelType w:val="hybridMultilevel"/>
    <w:tmpl w:val="A568F126"/>
    <w:lvl w:ilvl="0" w:tplc="F8242666">
      <w:start w:val="1"/>
      <w:numFmt w:val="lowerLetter"/>
      <w:lvlText w:val="%1."/>
      <w:lvlJc w:val="left"/>
      <w:pPr>
        <w:ind w:left="720" w:hanging="360"/>
      </w:pPr>
      <w:rPr>
        <w:strike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584F02C"/>
    <w:multiLevelType w:val="multilevel"/>
    <w:tmpl w:val="4D06B33C"/>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1354C"/>
    <w:multiLevelType w:val="multilevel"/>
    <w:tmpl w:val="CC22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6A485"/>
    <w:multiLevelType w:val="multilevel"/>
    <w:tmpl w:val="626A65D8"/>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2628A"/>
    <w:multiLevelType w:val="hybridMultilevel"/>
    <w:tmpl w:val="A1EEB4C2"/>
    <w:lvl w:ilvl="0" w:tplc="06B0CA34">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503AE8"/>
    <w:multiLevelType w:val="multilevel"/>
    <w:tmpl w:val="2D22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A0500"/>
    <w:multiLevelType w:val="multilevel"/>
    <w:tmpl w:val="DE04C887"/>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4C4937"/>
    <w:multiLevelType w:val="multilevel"/>
    <w:tmpl w:val="120C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84E59"/>
    <w:multiLevelType w:val="multilevel"/>
    <w:tmpl w:val="B6BE33F7"/>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1D6F5C"/>
    <w:multiLevelType w:val="multilevel"/>
    <w:tmpl w:val="F54C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30F6E"/>
    <w:multiLevelType w:val="multilevel"/>
    <w:tmpl w:val="ECC4E471"/>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D0AE5"/>
    <w:multiLevelType w:val="hybridMultilevel"/>
    <w:tmpl w:val="E3E8E01A"/>
    <w:lvl w:ilvl="0" w:tplc="25048684">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AA44B0"/>
    <w:multiLevelType w:val="hybridMultilevel"/>
    <w:tmpl w:val="9496EB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B2754F"/>
    <w:multiLevelType w:val="multilevel"/>
    <w:tmpl w:val="345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808F8"/>
    <w:multiLevelType w:val="multilevel"/>
    <w:tmpl w:val="A8C8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5CA64"/>
    <w:multiLevelType w:val="multilevel"/>
    <w:tmpl w:val="B34E25D5"/>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BB521B"/>
    <w:multiLevelType w:val="hybridMultilevel"/>
    <w:tmpl w:val="36CEC976"/>
    <w:lvl w:ilvl="0" w:tplc="4EF20B6A">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2F0370"/>
    <w:multiLevelType w:val="hybridMultilevel"/>
    <w:tmpl w:val="41C45572"/>
    <w:lvl w:ilvl="0" w:tplc="DCECCE5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7DD7643"/>
    <w:multiLevelType w:val="multilevel"/>
    <w:tmpl w:val="4E55278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640978"/>
    <w:multiLevelType w:val="multilevel"/>
    <w:tmpl w:val="FD5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E5FB6"/>
    <w:multiLevelType w:val="multilevel"/>
    <w:tmpl w:val="29F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5"/>
  </w:num>
  <w:num w:numId="4">
    <w:abstractNumId w:val="20"/>
  </w:num>
  <w:num w:numId="5">
    <w:abstractNumId w:val="1"/>
  </w:num>
  <w:num w:numId="6">
    <w:abstractNumId w:val="6"/>
  </w:num>
  <w:num w:numId="7">
    <w:abstractNumId w:val="4"/>
  </w:num>
  <w:num w:numId="8">
    <w:abstractNumId w:val="23"/>
  </w:num>
  <w:num w:numId="9">
    <w:abstractNumId w:val="3"/>
  </w:num>
  <w:num w:numId="10">
    <w:abstractNumId w:val="0"/>
  </w:num>
  <w:num w:numId="11">
    <w:abstractNumId w:val="13"/>
  </w:num>
  <w:num w:numId="12">
    <w:abstractNumId w:val="11"/>
  </w:num>
  <w:num w:numId="13">
    <w:abstractNumId w:val="5"/>
  </w:num>
  <w:num w:numId="14">
    <w:abstractNumId w:val="10"/>
  </w:num>
  <w:num w:numId="15">
    <w:abstractNumId w:val="7"/>
  </w:num>
  <w:num w:numId="16">
    <w:abstractNumId w:val="14"/>
  </w:num>
  <w:num w:numId="17">
    <w:abstractNumId w:val="12"/>
  </w:num>
  <w:num w:numId="18">
    <w:abstractNumId w:val="24"/>
  </w:num>
  <w:num w:numId="19">
    <w:abstractNumId w:val="25"/>
  </w:num>
  <w:num w:numId="20">
    <w:abstractNumId w:val="9"/>
  </w:num>
  <w:num w:numId="21">
    <w:abstractNumId w:val="18"/>
  </w:num>
  <w:num w:numId="22">
    <w:abstractNumId w:val="19"/>
  </w:num>
  <w:num w:numId="23">
    <w:abstractNumId w:val="16"/>
  </w:num>
  <w:num w:numId="24">
    <w:abstractNumId w:val="2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5B"/>
    <w:rsid w:val="00002054"/>
    <w:rsid w:val="0000238B"/>
    <w:rsid w:val="00003D21"/>
    <w:rsid w:val="000069F4"/>
    <w:rsid w:val="000201E5"/>
    <w:rsid w:val="00032061"/>
    <w:rsid w:val="00056E4F"/>
    <w:rsid w:val="00073CDC"/>
    <w:rsid w:val="00087490"/>
    <w:rsid w:val="00091CAD"/>
    <w:rsid w:val="00092AD0"/>
    <w:rsid w:val="00093790"/>
    <w:rsid w:val="000B6DD5"/>
    <w:rsid w:val="000C0D4F"/>
    <w:rsid w:val="000C20F0"/>
    <w:rsid w:val="000C3C08"/>
    <w:rsid w:val="000C5F37"/>
    <w:rsid w:val="000E5170"/>
    <w:rsid w:val="000F3600"/>
    <w:rsid w:val="000F7DA6"/>
    <w:rsid w:val="001110B2"/>
    <w:rsid w:val="001138E4"/>
    <w:rsid w:val="00125CD6"/>
    <w:rsid w:val="00130455"/>
    <w:rsid w:val="001318E0"/>
    <w:rsid w:val="001411A4"/>
    <w:rsid w:val="0015731D"/>
    <w:rsid w:val="0016417C"/>
    <w:rsid w:val="001645BA"/>
    <w:rsid w:val="00173BE7"/>
    <w:rsid w:val="001773F0"/>
    <w:rsid w:val="0018665B"/>
    <w:rsid w:val="001926CF"/>
    <w:rsid w:val="001A6DE3"/>
    <w:rsid w:val="001D3DA3"/>
    <w:rsid w:val="001E6094"/>
    <w:rsid w:val="001F7164"/>
    <w:rsid w:val="002137C3"/>
    <w:rsid w:val="00222C7D"/>
    <w:rsid w:val="00225B04"/>
    <w:rsid w:val="00234127"/>
    <w:rsid w:val="0029125D"/>
    <w:rsid w:val="00295818"/>
    <w:rsid w:val="002A0E04"/>
    <w:rsid w:val="002A1E8B"/>
    <w:rsid w:val="002A39A6"/>
    <w:rsid w:val="002A4E62"/>
    <w:rsid w:val="002A6EAE"/>
    <w:rsid w:val="002A729E"/>
    <w:rsid w:val="002B5B58"/>
    <w:rsid w:val="002C14F0"/>
    <w:rsid w:val="002C2BDC"/>
    <w:rsid w:val="002E406B"/>
    <w:rsid w:val="002E6BBA"/>
    <w:rsid w:val="002F452C"/>
    <w:rsid w:val="002F7161"/>
    <w:rsid w:val="00311799"/>
    <w:rsid w:val="0032000B"/>
    <w:rsid w:val="00342B94"/>
    <w:rsid w:val="00354642"/>
    <w:rsid w:val="00356387"/>
    <w:rsid w:val="003670DB"/>
    <w:rsid w:val="003764D1"/>
    <w:rsid w:val="00380B6B"/>
    <w:rsid w:val="003A1990"/>
    <w:rsid w:val="003B6D53"/>
    <w:rsid w:val="0040278F"/>
    <w:rsid w:val="00410870"/>
    <w:rsid w:val="0041194B"/>
    <w:rsid w:val="004126C3"/>
    <w:rsid w:val="00417775"/>
    <w:rsid w:val="004336A6"/>
    <w:rsid w:val="00442EB9"/>
    <w:rsid w:val="0044500C"/>
    <w:rsid w:val="00445B54"/>
    <w:rsid w:val="004A4147"/>
    <w:rsid w:val="004A6521"/>
    <w:rsid w:val="004A705B"/>
    <w:rsid w:val="004C6188"/>
    <w:rsid w:val="004D1294"/>
    <w:rsid w:val="004E6CE8"/>
    <w:rsid w:val="004F13EE"/>
    <w:rsid w:val="004F54A5"/>
    <w:rsid w:val="004F6FBB"/>
    <w:rsid w:val="00515A37"/>
    <w:rsid w:val="0054329A"/>
    <w:rsid w:val="00550565"/>
    <w:rsid w:val="005539D0"/>
    <w:rsid w:val="00583A2E"/>
    <w:rsid w:val="005853E0"/>
    <w:rsid w:val="005854A3"/>
    <w:rsid w:val="0059735F"/>
    <w:rsid w:val="005B411C"/>
    <w:rsid w:val="005C164B"/>
    <w:rsid w:val="005C3011"/>
    <w:rsid w:val="005E020A"/>
    <w:rsid w:val="005E0A76"/>
    <w:rsid w:val="005E6870"/>
    <w:rsid w:val="005F7494"/>
    <w:rsid w:val="00602B7B"/>
    <w:rsid w:val="0060779A"/>
    <w:rsid w:val="00631A11"/>
    <w:rsid w:val="006343E2"/>
    <w:rsid w:val="00647286"/>
    <w:rsid w:val="006500B2"/>
    <w:rsid w:val="00657D09"/>
    <w:rsid w:val="00672904"/>
    <w:rsid w:val="0068359E"/>
    <w:rsid w:val="0069144E"/>
    <w:rsid w:val="006A1888"/>
    <w:rsid w:val="006B58CF"/>
    <w:rsid w:val="006C4D06"/>
    <w:rsid w:val="00722709"/>
    <w:rsid w:val="0073118A"/>
    <w:rsid w:val="007374B7"/>
    <w:rsid w:val="007410CE"/>
    <w:rsid w:val="007477D4"/>
    <w:rsid w:val="007B2222"/>
    <w:rsid w:val="007C5CEB"/>
    <w:rsid w:val="007E23BC"/>
    <w:rsid w:val="007E7AA4"/>
    <w:rsid w:val="00820C71"/>
    <w:rsid w:val="00825935"/>
    <w:rsid w:val="0082718E"/>
    <w:rsid w:val="00827498"/>
    <w:rsid w:val="00832798"/>
    <w:rsid w:val="0084066C"/>
    <w:rsid w:val="00844C95"/>
    <w:rsid w:val="00847DB7"/>
    <w:rsid w:val="008540DE"/>
    <w:rsid w:val="0086208F"/>
    <w:rsid w:val="00865636"/>
    <w:rsid w:val="008819B1"/>
    <w:rsid w:val="008A1456"/>
    <w:rsid w:val="008C7083"/>
    <w:rsid w:val="008D3E19"/>
    <w:rsid w:val="008E00E1"/>
    <w:rsid w:val="008E3830"/>
    <w:rsid w:val="008E7EEA"/>
    <w:rsid w:val="008F7DC6"/>
    <w:rsid w:val="00903408"/>
    <w:rsid w:val="00912F2D"/>
    <w:rsid w:val="00915D8D"/>
    <w:rsid w:val="00922266"/>
    <w:rsid w:val="00960A53"/>
    <w:rsid w:val="00972418"/>
    <w:rsid w:val="0097542A"/>
    <w:rsid w:val="00975BC7"/>
    <w:rsid w:val="00985F0D"/>
    <w:rsid w:val="009A2163"/>
    <w:rsid w:val="009A2707"/>
    <w:rsid w:val="009B120B"/>
    <w:rsid w:val="009D0081"/>
    <w:rsid w:val="009D56E6"/>
    <w:rsid w:val="009D6971"/>
    <w:rsid w:val="009E2ED4"/>
    <w:rsid w:val="00A05B97"/>
    <w:rsid w:val="00A06BBD"/>
    <w:rsid w:val="00A17BBC"/>
    <w:rsid w:val="00A20C01"/>
    <w:rsid w:val="00A31F7A"/>
    <w:rsid w:val="00A478A5"/>
    <w:rsid w:val="00A5198C"/>
    <w:rsid w:val="00A55A02"/>
    <w:rsid w:val="00A80B59"/>
    <w:rsid w:val="00A81303"/>
    <w:rsid w:val="00A86455"/>
    <w:rsid w:val="00A92440"/>
    <w:rsid w:val="00A978BD"/>
    <w:rsid w:val="00AB3C6B"/>
    <w:rsid w:val="00AB4316"/>
    <w:rsid w:val="00AB690C"/>
    <w:rsid w:val="00AD0F88"/>
    <w:rsid w:val="00AD13A3"/>
    <w:rsid w:val="00AD598F"/>
    <w:rsid w:val="00AE3978"/>
    <w:rsid w:val="00AF381B"/>
    <w:rsid w:val="00AF5380"/>
    <w:rsid w:val="00AF7CFF"/>
    <w:rsid w:val="00B0354D"/>
    <w:rsid w:val="00B06D38"/>
    <w:rsid w:val="00B26812"/>
    <w:rsid w:val="00B318C5"/>
    <w:rsid w:val="00B4164D"/>
    <w:rsid w:val="00B4175F"/>
    <w:rsid w:val="00B47EB5"/>
    <w:rsid w:val="00B51511"/>
    <w:rsid w:val="00B551A8"/>
    <w:rsid w:val="00B658D6"/>
    <w:rsid w:val="00B722CE"/>
    <w:rsid w:val="00B73326"/>
    <w:rsid w:val="00B838BB"/>
    <w:rsid w:val="00B8560F"/>
    <w:rsid w:val="00B942E3"/>
    <w:rsid w:val="00BA4030"/>
    <w:rsid w:val="00BB27FD"/>
    <w:rsid w:val="00BC191E"/>
    <w:rsid w:val="00BD77BD"/>
    <w:rsid w:val="00BF0CBB"/>
    <w:rsid w:val="00C17BC6"/>
    <w:rsid w:val="00C21A25"/>
    <w:rsid w:val="00C34790"/>
    <w:rsid w:val="00C37714"/>
    <w:rsid w:val="00C45077"/>
    <w:rsid w:val="00C46947"/>
    <w:rsid w:val="00C6036F"/>
    <w:rsid w:val="00CA0B75"/>
    <w:rsid w:val="00CA72B7"/>
    <w:rsid w:val="00CB0E9D"/>
    <w:rsid w:val="00CE56A3"/>
    <w:rsid w:val="00CE650A"/>
    <w:rsid w:val="00D075B6"/>
    <w:rsid w:val="00D308B3"/>
    <w:rsid w:val="00D40FA0"/>
    <w:rsid w:val="00D4113B"/>
    <w:rsid w:val="00D8085E"/>
    <w:rsid w:val="00D83FCC"/>
    <w:rsid w:val="00DA7887"/>
    <w:rsid w:val="00DB0C47"/>
    <w:rsid w:val="00DC7A50"/>
    <w:rsid w:val="00DD19AA"/>
    <w:rsid w:val="00DE13B4"/>
    <w:rsid w:val="00DF62F0"/>
    <w:rsid w:val="00E12674"/>
    <w:rsid w:val="00E3309F"/>
    <w:rsid w:val="00E34D51"/>
    <w:rsid w:val="00E8090B"/>
    <w:rsid w:val="00E9001A"/>
    <w:rsid w:val="00EA0AE5"/>
    <w:rsid w:val="00EB0438"/>
    <w:rsid w:val="00ED4A6F"/>
    <w:rsid w:val="00EE25A3"/>
    <w:rsid w:val="00EF18D5"/>
    <w:rsid w:val="00F00BDC"/>
    <w:rsid w:val="00F46049"/>
    <w:rsid w:val="00F71B2E"/>
    <w:rsid w:val="00F74B52"/>
    <w:rsid w:val="00F81810"/>
    <w:rsid w:val="00F86F42"/>
    <w:rsid w:val="00F92495"/>
    <w:rsid w:val="00F95E33"/>
    <w:rsid w:val="00F97220"/>
    <w:rsid w:val="00FB1A2B"/>
    <w:rsid w:val="00FB514C"/>
    <w:rsid w:val="00FD3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798DB"/>
  <w15:docId w15:val="{AA7816C2-04C9-4FE6-92AD-B47609E9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bg-BG"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BGAdviesaanvraagLijst">
    <w:name w:val="CIBG Adviesaanvraag Lijst"/>
    <w:basedOn w:val="Normal"/>
    <w:next w:val="Normal"/>
    <w:pPr>
      <w:spacing w:after="60"/>
    </w:pPr>
    <w:rPr>
      <w:b/>
    </w:rPr>
  </w:style>
  <w:style w:type="paragraph" w:customStyle="1" w:styleId="CIBGAdviesaanvraagLijstKop1">
    <w:name w:val="CIBG Adviesaanvraag Lijst Kop 1"/>
    <w:basedOn w:val="Normal"/>
    <w:next w:val="Normal"/>
    <w:pPr>
      <w:numPr>
        <w:numId w:val="1"/>
      </w:numPr>
      <w:spacing w:after="60"/>
    </w:pPr>
    <w:rPr>
      <w:b/>
    </w:rPr>
  </w:style>
  <w:style w:type="paragraph" w:customStyle="1" w:styleId="CIBGAdviesaanvraagLijstKop2">
    <w:name w:val="CIBG Adviesaanvraag Lijst Kop 2"/>
    <w:basedOn w:val="Normal"/>
    <w:next w:val="Normal"/>
    <w:pPr>
      <w:numPr>
        <w:ilvl w:val="1"/>
        <w:numId w:val="1"/>
      </w:numPr>
      <w:spacing w:after="60"/>
    </w:pPr>
    <w:rPr>
      <w:b/>
    </w:rPr>
  </w:style>
  <w:style w:type="paragraph" w:customStyle="1" w:styleId="CIBGAdviesaanvraagondertekening">
    <w:name w:val="CIBG Adviesaanvraag ondertekening"/>
    <w:basedOn w:val="Normal"/>
    <w:next w:val="Normal"/>
    <w:pPr>
      <w:spacing w:before="240"/>
    </w:pPr>
  </w:style>
  <w:style w:type="paragraph" w:customStyle="1" w:styleId="CIBGBezwaarschriftenbrief">
    <w:name w:val="CIBG Bezwaarschriftenbrief"/>
    <w:basedOn w:val="Normal"/>
    <w:next w:val="Normal"/>
    <w:pPr>
      <w:spacing w:line="180" w:lineRule="exact"/>
    </w:pPr>
    <w:rPr>
      <w:i/>
      <w:sz w:val="14"/>
      <w:szCs w:val="14"/>
    </w:rPr>
  </w:style>
  <w:style w:type="paragraph" w:customStyle="1" w:styleId="CIBGBezwaarschriftenbriefV35">
    <w:name w:val="CIBG Bezwaarschriftenbrief V3;5"/>
    <w:basedOn w:val="Normal"/>
    <w:next w:val="Normal"/>
    <w:pPr>
      <w:spacing w:line="70" w:lineRule="exact"/>
    </w:pPr>
    <w:rPr>
      <w:i/>
      <w:sz w:val="14"/>
      <w:szCs w:val="14"/>
    </w:rPr>
  </w:style>
  <w:style w:type="paragraph" w:customStyle="1" w:styleId="CIBGVoorlegmemo">
    <w:name w:val="CIBG Voorlegmemo"/>
    <w:basedOn w:val="Normal"/>
    <w:next w:val="Normal"/>
    <w:rPr>
      <w:color w:val="EF0A0A"/>
    </w:rPr>
  </w:style>
  <w:style w:type="paragraph" w:customStyle="1" w:styleId="CIBGVoorlegmemoitalicV10">
    <w:name w:val="CIBG Voorlegmemo italic V10"/>
    <w:basedOn w:val="Normal"/>
    <w:next w:val="Normal"/>
    <w:rPr>
      <w:i/>
      <w:sz w:val="20"/>
      <w:szCs w:val="20"/>
    </w:rPr>
  </w:style>
  <w:style w:type="paragraph" w:customStyle="1" w:styleId="CIBGVoorlegmemoTitel">
    <w:name w:val="CIBG Voorlegmemo Titel"/>
    <w:basedOn w:val="Normal"/>
    <w:next w:val="Normal"/>
    <w:pPr>
      <w:spacing w:line="500" w:lineRule="exact"/>
    </w:pPr>
    <w:rPr>
      <w:sz w:val="48"/>
      <w:szCs w:val="48"/>
    </w:rPr>
  </w:style>
  <w:style w:type="paragraph" w:customStyle="1" w:styleId="CIBGAfzendgegevensbolditalic65">
    <w:name w:val="CIBG_Afzendgegevens_bold_italic_6.5"/>
    <w:basedOn w:val="Normal"/>
    <w:next w:val="Normal"/>
    <w:rPr>
      <w:b/>
      <w:i/>
      <w:sz w:val="13"/>
      <w:szCs w:val="13"/>
    </w:rPr>
  </w:style>
  <w:style w:type="paragraph" w:customStyle="1" w:styleId="CIBGDocumentnaamv14vet">
    <w:name w:val="CIBG_Documentnaam v14 vet"/>
    <w:basedOn w:val="Normal"/>
    <w:next w:val="Normal"/>
    <w:pPr>
      <w:spacing w:before="60"/>
    </w:pPr>
    <w:rPr>
      <w:b/>
      <w:sz w:val="28"/>
      <w:szCs w:val="28"/>
    </w:rPr>
  </w:style>
  <w:style w:type="paragraph" w:customStyle="1" w:styleId="Huisstijl-Colofon">
    <w:name w:val="Huisstijl - Colofon"/>
    <w:basedOn w:val="Normal"/>
    <w:next w:val="Normal"/>
    <w:pPr>
      <w:numPr>
        <w:numId w:val="2"/>
      </w:numPr>
      <w:tabs>
        <w:tab w:val="left" w:pos="0"/>
      </w:tabs>
      <w:spacing w:after="740"/>
      <w:ind w:left="-1120"/>
    </w:pPr>
    <w:rPr>
      <w:sz w:val="24"/>
      <w:szCs w:val="24"/>
    </w:rPr>
  </w:style>
  <w:style w:type="paragraph" w:customStyle="1" w:styleId="Huisstijl-Extrasubtitel">
    <w:name w:val="Huisstijl - Extra subtitel"/>
    <w:basedOn w:val="Normal"/>
    <w:next w:val="Normal"/>
    <w:pPr>
      <w:spacing w:before="60" w:after="300"/>
    </w:pPr>
    <w:rPr>
      <w:sz w:val="24"/>
      <w:szCs w:val="24"/>
    </w:rPr>
  </w:style>
  <w:style w:type="paragraph" w:customStyle="1" w:styleId="Huisstijl-Inhoudsopgavekop">
    <w:name w:val="Huisstijl - Inhoudsopgave kop"/>
    <w:basedOn w:val="Normal"/>
    <w:next w:val="Normal"/>
    <w:pPr>
      <w:spacing w:after="720" w:line="300" w:lineRule="exact"/>
    </w:p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Subtitel">
    <w:name w:val="Huisstijl - Subtitel"/>
    <w:basedOn w:val="Normal"/>
    <w:next w:val="Normal"/>
    <w:pPr>
      <w:spacing w:before="240" w:after="360"/>
    </w:pPr>
    <w:rPr>
      <w:sz w:val="24"/>
      <w:szCs w:val="24"/>
    </w:rPr>
  </w:style>
  <w:style w:type="paragraph" w:customStyle="1" w:styleId="Huisstijl-TitelDocumentnaam">
    <w:name w:val="Huisstijl - Titel Documentnaam"/>
    <w:basedOn w:val="Normal"/>
    <w:next w:val="Normal"/>
    <w:pPr>
      <w:spacing w:before="60" w:after="300"/>
    </w:pPr>
    <w:rPr>
      <w:sz w:val="24"/>
      <w:szCs w:val="24"/>
    </w:rPr>
  </w:style>
  <w:style w:type="paragraph" w:customStyle="1" w:styleId="Huisstijl-Versie">
    <w:name w:val="Huisstijl - Versie"/>
    <w:basedOn w:val="Normal"/>
    <w:next w:val="Normal"/>
    <w:pPr>
      <w:spacing w:before="60" w:after="360"/>
    </w:pPr>
  </w:style>
  <w:style w:type="paragraph" w:customStyle="1" w:styleId="HuisstijlInhoudsopgavecolofoneninleiding">
    <w:name w:val="Huisstijl Inhoudsopgave colofon en inleiding"/>
    <w:basedOn w:val="Normal"/>
    <w:next w:val="Normal"/>
  </w:style>
  <w:style w:type="paragraph" w:customStyle="1" w:styleId="Huisstijlnummering">
    <w:name w:val="Huisstijl nummering"/>
    <w:basedOn w:val="Normal"/>
    <w:next w:val="Normal"/>
    <w:pPr>
      <w:tabs>
        <w:tab w:val="left" w:pos="0"/>
      </w:tabs>
      <w:ind w:left="-1120"/>
    </w:pPr>
  </w:style>
  <w:style w:type="paragraph" w:customStyle="1" w:styleId="IGJAgenda">
    <w:name w:val="IGJ Agenda"/>
    <w:basedOn w:val="Normal"/>
    <w:next w:val="Normal"/>
  </w:style>
  <w:style w:type="paragraph" w:customStyle="1" w:styleId="IGJMinuteVerdana7">
    <w:name w:val="IGJ Minute Verdana 7"/>
    <w:basedOn w:val="Normal"/>
    <w:next w:val="Normal"/>
    <w:rPr>
      <w:sz w:val="14"/>
      <w:szCs w:val="14"/>
    </w:rPr>
  </w:style>
  <w:style w:type="paragraph" w:customStyle="1" w:styleId="IGJNotaterbesluitvorming">
    <w:name w:val="IGJ Nota ter besluitvorming"/>
    <w:basedOn w:val="Normal"/>
    <w:next w:val="Normal"/>
    <w:pPr>
      <w:numPr>
        <w:ilvl w:val="1"/>
        <w:numId w:val="5"/>
      </w:numPr>
    </w:pPr>
  </w:style>
  <w:style w:type="paragraph" w:customStyle="1" w:styleId="IGJNotaterbesluitvorming-">
    <w:name w:val="IGJ Nota ter besluitvorming -"/>
    <w:basedOn w:val="Normal"/>
    <w:next w:val="Normal"/>
    <w:pPr>
      <w:numPr>
        <w:numId w:val="5"/>
      </w:numPr>
    </w:pPr>
  </w:style>
  <w:style w:type="paragraph" w:customStyle="1" w:styleId="IGJNotaterbesluitvorminglijst">
    <w:name w:val="IGJ Nota ter besluitvorming lijst"/>
    <w:basedOn w:val="Normal"/>
    <w:next w:val="Normal"/>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Normal"/>
    <w:next w:val="Normal"/>
    <w:pPr>
      <w:numPr>
        <w:numId w:val="4"/>
      </w:numPr>
      <w:spacing w:before="240"/>
    </w:pPr>
    <w:rPr>
      <w:b/>
    </w:rPr>
  </w:style>
  <w:style w:type="paragraph" w:customStyle="1" w:styleId="IGJVoorhang">
    <w:name w:val="IGJ Voorhang"/>
    <w:basedOn w:val="Normal"/>
    <w:next w:val="Normal"/>
  </w:style>
  <w:style w:type="paragraph" w:customStyle="1" w:styleId="IGJVoorhangv7">
    <w:name w:val="IGJ Voorhang v7"/>
    <w:basedOn w:val="Normal"/>
    <w:next w:val="Normal"/>
    <w:rPr>
      <w:sz w:val="14"/>
      <w:szCs w:val="14"/>
    </w:rPr>
  </w:style>
  <w:style w:type="paragraph" w:customStyle="1" w:styleId="IGJVoorhangv7b">
    <w:name w:val="IGJ Voorhang v7 b"/>
    <w:basedOn w:val="Normal"/>
    <w:next w:val="Normal"/>
    <w:rPr>
      <w:b/>
      <w:sz w:val="14"/>
      <w:szCs w:val="14"/>
    </w:rPr>
  </w:style>
  <w:style w:type="paragraph" w:customStyle="1" w:styleId="IGJVoorhangnota">
    <w:name w:val="IGJ Voorhangnota"/>
    <w:basedOn w:val="Normal"/>
    <w:next w:val="Normal"/>
    <w:pPr>
      <w:numPr>
        <w:numId w:val="6"/>
      </w:numPr>
      <w:spacing w:before="600" w:after="300" w:line="300" w:lineRule="exact"/>
    </w:pPr>
    <w:rPr>
      <w:sz w:val="24"/>
      <w:szCs w:val="24"/>
    </w:rPr>
  </w:style>
  <w:style w:type="paragraph" w:customStyle="1" w:styleId="IGJVoorhangnota11">
    <w:name w:val="IGJ Voorhangnota 1.1"/>
    <w:basedOn w:val="Normal"/>
    <w:next w:val="Normal"/>
    <w:pPr>
      <w:numPr>
        <w:ilvl w:val="1"/>
        <w:numId w:val="6"/>
      </w:numPr>
      <w:spacing w:before="200"/>
    </w:pPr>
    <w:rPr>
      <w:b/>
    </w:rPr>
  </w:style>
  <w:style w:type="paragraph" w:customStyle="1" w:styleId="IGJVoorhangnotaLijst">
    <w:name w:val="IGJ Voorhangnota Lijst"/>
    <w:basedOn w:val="Normal"/>
    <w:next w:val="Normal"/>
    <w:pPr>
      <w:spacing w:before="200"/>
    </w:pPr>
    <w:rPr>
      <w:b/>
    </w:rPr>
  </w:style>
  <w:style w:type="paragraph" w:customStyle="1" w:styleId="IJZPlanvanAanpaknummer">
    <w:name w:val="IJZ Plan van Aanpak nummer"/>
    <w:basedOn w:val="Normal"/>
    <w:next w:val="Normal"/>
    <w:pPr>
      <w:numPr>
        <w:numId w:val="7"/>
      </w:numPr>
      <w:spacing w:before="240"/>
    </w:pPr>
    <w:rPr>
      <w:b/>
    </w:rPr>
  </w:style>
  <w:style w:type="paragraph" w:customStyle="1" w:styleId="IJZPlanvanAanpaknummering">
    <w:name w:val="IJZ Plan van Aanpak nummering"/>
    <w:basedOn w:val="Normal"/>
    <w:next w:val="Normal"/>
    <w:pPr>
      <w:spacing w:before="240"/>
    </w:pPr>
    <w:rPr>
      <w:b/>
    </w:rPr>
  </w:style>
  <w:style w:type="paragraph" w:customStyle="1" w:styleId="IJZRapportA">
    <w:name w:val="IJZ Rapport A"/>
    <w:basedOn w:val="Normal"/>
    <w:next w:val="Normal"/>
    <w:pPr>
      <w:spacing w:before="240"/>
    </w:pPr>
    <w:rPr>
      <w:b/>
    </w:rPr>
  </w:style>
  <w:style w:type="paragraph" w:customStyle="1" w:styleId="IJZUitvoeringsplan">
    <w:name w:val="IJZ Uitvoeringsplan"/>
    <w:basedOn w:val="Normal"/>
    <w:next w:val="Normal"/>
    <w:pPr>
      <w:numPr>
        <w:ilvl w:val="1"/>
        <w:numId w:val="7"/>
      </w:numPr>
      <w:spacing w:before="240"/>
    </w:pPr>
    <w:rPr>
      <w:b/>
    </w:rPr>
  </w:style>
  <w:style w:type="paragraph" w:styleId="TOC1">
    <w:name w:val="toc 1"/>
    <w:basedOn w:val="Normal"/>
    <w:next w:val="Normal"/>
    <w:pPr>
      <w:tabs>
        <w:tab w:val="left" w:pos="0"/>
      </w:tabs>
      <w:ind w:left="-1120"/>
    </w:pPr>
  </w:style>
  <w:style w:type="paragraph" w:styleId="TOC2">
    <w:name w:val="toc 2"/>
    <w:basedOn w:val="TOC1"/>
    <w:next w:val="Normal"/>
    <w:pPr>
      <w:spacing w:before="240"/>
    </w:pPr>
    <w:rPr>
      <w:b/>
    </w:rPr>
  </w:style>
  <w:style w:type="paragraph" w:styleId="TOC3">
    <w:name w:val="toc 3"/>
    <w:basedOn w:val="TOC2"/>
    <w:next w:val="Normal"/>
    <w:pPr>
      <w:spacing w:before="0"/>
    </w:pPr>
    <w:rPr>
      <w:b w:val="0"/>
    </w:rPr>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Lijstniveau1">
    <w:name w:val="Lijst niveau 1"/>
    <w:basedOn w:val="Normal"/>
    <w:pPr>
      <w:numPr>
        <w:numId w:val="8"/>
      </w:numPr>
    </w:pPr>
  </w:style>
  <w:style w:type="paragraph" w:customStyle="1" w:styleId="Lijstniveau2">
    <w:name w:val="Lijst niveau 2"/>
    <w:basedOn w:val="Normal"/>
    <w:pPr>
      <w:numPr>
        <w:ilvl w:val="1"/>
        <w:numId w:val="8"/>
      </w:numPr>
    </w:pPr>
  </w:style>
  <w:style w:type="paragraph" w:customStyle="1" w:styleId="Lijstniveau3">
    <w:name w:val="Lijst niveau 3"/>
    <w:basedOn w:val="Normal"/>
    <w:pPr>
      <w:numPr>
        <w:ilvl w:val="2"/>
        <w:numId w:val="8"/>
      </w:numPr>
    </w:pPr>
  </w:style>
  <w:style w:type="paragraph" w:customStyle="1" w:styleId="OndertekeningArea1">
    <w:name w:val="Ondertekening_Area1"/>
    <w:basedOn w:val="Normal"/>
    <w:next w:val="Normal"/>
    <w:pPr>
      <w:spacing w:before="240"/>
    </w:p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Standaard12pvoor">
    <w:name w:val="Standaard 12p voor"/>
    <w:basedOn w:val="Normal"/>
    <w:next w:val="Normal"/>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Normal"/>
    <w:next w:val="Normal"/>
    <w:pPr>
      <w:spacing w:line="180" w:lineRule="exact"/>
    </w:pPr>
    <w:rPr>
      <w:sz w:val="14"/>
      <w:szCs w:val="14"/>
    </w:rPr>
  </w:style>
  <w:style w:type="paragraph" w:customStyle="1" w:styleId="StandaardAanhef">
    <w:name w:val="Standaard_Aanhef"/>
    <w:basedOn w:val="Normal"/>
    <w:next w:val="Normal"/>
    <w:pPr>
      <w:spacing w:before="100" w:after="240"/>
    </w:pPr>
  </w:style>
  <w:style w:type="paragraph" w:customStyle="1" w:styleId="StandaardAfzendgegevens">
    <w:name w:val="Standaard_Afzendgegevens"/>
    <w:basedOn w:val="Normal"/>
    <w:next w:val="Normal"/>
    <w:pPr>
      <w:tabs>
        <w:tab w:val="left" w:pos="2267"/>
      </w:tabs>
      <w:spacing w:line="180" w:lineRule="exact"/>
    </w:pPr>
    <w:rPr>
      <w:sz w:val="13"/>
      <w:szCs w:val="13"/>
    </w:rPr>
  </w:style>
  <w:style w:type="paragraph" w:customStyle="1" w:styleId="Standaardafzendgegevensitalic">
    <w:name w:val="Standaard_afzendgegevens_italic"/>
    <w:basedOn w:val="Normal"/>
    <w:next w:val="Normal"/>
    <w:rPr>
      <w:i/>
      <w:sz w:val="13"/>
      <w:szCs w:val="13"/>
    </w:rPr>
  </w:style>
  <w:style w:type="paragraph" w:customStyle="1" w:styleId="StandaardAfzendgegevenskop">
    <w:name w:val="Standaard_Afzendgegevens_kop"/>
    <w:basedOn w:val="Normal"/>
    <w:next w:val="Normal"/>
    <w:pPr>
      <w:spacing w:line="180" w:lineRule="exact"/>
    </w:pPr>
    <w:rPr>
      <w:b/>
      <w:sz w:val="13"/>
      <w:szCs w:val="13"/>
    </w:rPr>
  </w:style>
  <w:style w:type="paragraph" w:customStyle="1" w:styleId="StandaardColofonItalic45v">
    <w:name w:val="Standaard_Colofon_Italic 4;5v"/>
    <w:basedOn w:val="Normal"/>
    <w:next w:val="Normal"/>
    <w:pPr>
      <w:spacing w:before="90" w:line="180" w:lineRule="exact"/>
    </w:pPr>
    <w:rPr>
      <w:i/>
      <w:sz w:val="13"/>
      <w:szCs w:val="13"/>
    </w:rPr>
  </w:style>
  <w:style w:type="paragraph" w:customStyle="1" w:styleId="StandaardReferentiegegevens">
    <w:name w:val="Standaard_Referentiegegevens"/>
    <w:basedOn w:val="Normal"/>
    <w:next w:val="Normal"/>
    <w:pPr>
      <w:spacing w:line="180" w:lineRule="exact"/>
    </w:pPr>
    <w:rPr>
      <w:sz w:val="13"/>
      <w:szCs w:val="13"/>
    </w:rPr>
  </w:style>
  <w:style w:type="paragraph" w:customStyle="1" w:styleId="StandaardReferentiegegevensCursief">
    <w:name w:val="Standaard_Referentiegegevens_Cursief"/>
    <w:basedOn w:val="StandaardReferentiegegevens"/>
    <w:next w:val="Normal"/>
    <w:rPr>
      <w:i/>
    </w:rPr>
  </w:style>
  <w:style w:type="paragraph" w:customStyle="1" w:styleId="StandaardReferentiegegevenskop">
    <w:name w:val="Standaard_Referentiegegevens_kop"/>
    <w:basedOn w:val="Normal"/>
    <w:next w:val="Normal"/>
    <w:rPr>
      <w:b/>
      <w:sz w:val="13"/>
      <w:szCs w:val="13"/>
    </w:rPr>
  </w:style>
  <w:style w:type="paragraph" w:customStyle="1" w:styleId="StandaardSlotzin">
    <w:name w:val="Standaard_Slotzin"/>
    <w:basedOn w:val="Normal"/>
    <w:next w:val="Normal"/>
    <w:pPr>
      <w:spacing w:before="240"/>
    </w:pPr>
  </w:style>
  <w:style w:type="paragraph" w:customStyle="1" w:styleId="StandaardV9Italic">
    <w:name w:val="Standaard_V9_Italic"/>
    <w:basedOn w:val="Normal"/>
    <w:next w:val="Normal"/>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Normal"/>
    <w:next w:val="Normal"/>
    <w:pPr>
      <w:numPr>
        <w:numId w:val="9"/>
      </w:numPr>
    </w:pPr>
    <w:rPr>
      <w:b/>
    </w:rPr>
  </w:style>
  <w:style w:type="paragraph" w:customStyle="1" w:styleId="VWSAdviesMinisterraad2">
    <w:name w:val="VWS Advies Ministerraad 2"/>
    <w:basedOn w:val="Normal"/>
    <w:next w:val="Normal"/>
    <w:pPr>
      <w:numPr>
        <w:ilvl w:val="1"/>
        <w:numId w:val="9"/>
      </w:numPr>
    </w:pPr>
  </w:style>
  <w:style w:type="paragraph" w:customStyle="1" w:styleId="VWSAdviesMinisterraad3">
    <w:name w:val="VWS Advies Ministerraad 3"/>
    <w:basedOn w:val="Normal"/>
    <w:next w:val="Normal"/>
    <w:pPr>
      <w:numPr>
        <w:ilvl w:val="2"/>
        <w:numId w:val="9"/>
      </w:numPr>
    </w:pPr>
    <w:rPr>
      <w:b/>
    </w:rPr>
  </w:style>
  <w:style w:type="paragraph" w:customStyle="1" w:styleId="VWSAdviesMinisterraad4">
    <w:name w:val="VWS Advies Ministerraad 4"/>
    <w:basedOn w:val="Normal"/>
    <w:next w:val="Normal"/>
    <w:pPr>
      <w:numPr>
        <w:ilvl w:val="3"/>
        <w:numId w:val="9"/>
      </w:numPr>
    </w:pPr>
  </w:style>
  <w:style w:type="paragraph" w:customStyle="1" w:styleId="VWSAdviesMinisterraadnummering">
    <w:name w:val="VWS Advies Ministerraad nummering"/>
    <w:basedOn w:val="Normal"/>
    <w:next w:val="Normal"/>
    <w:rPr>
      <w:b/>
    </w:rPr>
  </w:style>
  <w:style w:type="paragraph" w:customStyle="1" w:styleId="VWSAMvB">
    <w:name w:val="VWS AMvB"/>
    <w:basedOn w:val="Normal"/>
    <w:next w:val="Normal"/>
    <w:pPr>
      <w:spacing w:before="480"/>
    </w:pPr>
  </w:style>
  <w:style w:type="paragraph" w:customStyle="1" w:styleId="VWSBlauweBrief">
    <w:name w:val="VWS Blauwe Brief"/>
    <w:basedOn w:val="Normal"/>
    <w:next w:val="Normal"/>
    <w:pPr>
      <w:spacing w:before="760" w:after="240"/>
    </w:pPr>
  </w:style>
  <w:style w:type="paragraph" w:customStyle="1" w:styleId="VWSColofonItalic65Bold">
    <w:name w:val="VWS Colofon Italic 6;5 Bold"/>
    <w:basedOn w:val="Normal"/>
    <w:next w:val="Normal"/>
    <w:pPr>
      <w:spacing w:line="180" w:lineRule="exact"/>
    </w:pPr>
    <w:rPr>
      <w:b/>
      <w:i/>
      <w:sz w:val="13"/>
      <w:szCs w:val="13"/>
    </w:rPr>
  </w:style>
  <w:style w:type="paragraph" w:customStyle="1" w:styleId="VWSColofontekst65Italic">
    <w:name w:val="VWS Colofontekst 6;5 Italic"/>
    <w:basedOn w:val="Normal"/>
    <w:next w:val="Normal"/>
    <w:pPr>
      <w:spacing w:line="180" w:lineRule="exact"/>
    </w:pPr>
    <w:rPr>
      <w:i/>
      <w:sz w:val="13"/>
      <w:szCs w:val="13"/>
    </w:rPr>
  </w:style>
  <w:style w:type="paragraph" w:customStyle="1" w:styleId="VWSFormulierAntwoordenKamervragenRechts">
    <w:name w:val="VWS Formulier Antwoorden Kamervragen Rechts"/>
    <w:basedOn w:val="Normal"/>
    <w:next w:val="Normal"/>
    <w:pPr>
      <w:jc w:val="right"/>
    </w:pPr>
  </w:style>
  <w:style w:type="paragraph" w:customStyle="1" w:styleId="VWSNtb">
    <w:name w:val="VWS Ntb"/>
    <w:basedOn w:val="Normal"/>
    <w:next w:val="Normal"/>
    <w:pPr>
      <w:numPr>
        <w:ilvl w:val="1"/>
        <w:numId w:val="11"/>
      </w:numPr>
    </w:pPr>
  </w:style>
  <w:style w:type="paragraph" w:customStyle="1" w:styleId="VWSNtb-inspringen">
    <w:name w:val="VWS Ntb - inspringen"/>
    <w:basedOn w:val="Normal"/>
    <w:next w:val="Normal"/>
    <w:pPr>
      <w:numPr>
        <w:ilvl w:val="2"/>
        <w:numId w:val="11"/>
      </w:numPr>
    </w:pPr>
  </w:style>
  <w:style w:type="paragraph" w:customStyle="1" w:styleId="VWSNtb-inspringenkliknummer">
    <w:name w:val="VWS Ntb - inspringen klik nummer"/>
    <w:basedOn w:val="Normal"/>
    <w:next w:val="Normal"/>
  </w:style>
  <w:style w:type="paragraph" w:customStyle="1" w:styleId="VWSNtbinspringenklik">
    <w:name w:val="VWS Ntb inspringen klik"/>
    <w:basedOn w:val="Normal"/>
    <w:next w:val="Normal"/>
    <w:pPr>
      <w:numPr>
        <w:numId w:val="10"/>
      </w:numPr>
    </w:pPr>
  </w:style>
  <w:style w:type="paragraph" w:customStyle="1" w:styleId="VWSNtbKop">
    <w:name w:val="VWS Ntb Kop"/>
    <w:basedOn w:val="Normal"/>
    <w:next w:val="Normal"/>
    <w:pPr>
      <w:numPr>
        <w:numId w:val="11"/>
      </w:numPr>
    </w:pPr>
    <w:rPr>
      <w:b/>
    </w:rPr>
  </w:style>
  <w:style w:type="paragraph" w:customStyle="1" w:styleId="VWSNtbnummering">
    <w:name w:val="VWS Ntb nummering"/>
    <w:basedOn w:val="Normal"/>
    <w:next w:val="Normal"/>
  </w:style>
  <w:style w:type="paragraph" w:customStyle="1" w:styleId="VWSStartnota">
    <w:name w:val="VWS Startnota"/>
    <w:basedOn w:val="Normal"/>
    <w:next w:val="Normal"/>
  </w:style>
  <w:style w:type="paragraph" w:customStyle="1" w:styleId="VWSStartnotaKop1">
    <w:name w:val="VWS Startnota Kop 1"/>
    <w:basedOn w:val="Normal"/>
    <w:next w:val="Normal"/>
    <w:pPr>
      <w:numPr>
        <w:numId w:val="12"/>
      </w:numPr>
    </w:pPr>
    <w:rPr>
      <w:b/>
    </w:rPr>
  </w:style>
  <w:style w:type="paragraph" w:customStyle="1" w:styleId="VWSStartnotaV10">
    <w:name w:val="VWS Startnota V10"/>
    <w:basedOn w:val="Normal"/>
    <w:next w:val="Normal"/>
    <w:rPr>
      <w:sz w:val="20"/>
      <w:szCs w:val="20"/>
    </w:rPr>
  </w:style>
  <w:style w:type="paragraph" w:customStyle="1" w:styleId="VWSStartnotaV8italic">
    <w:name w:val="VWS Startnota V8 italic"/>
    <w:basedOn w:val="Normal"/>
    <w:next w:val="Normal"/>
    <w:rPr>
      <w:i/>
      <w:sz w:val="16"/>
      <w:szCs w:val="16"/>
    </w:rPr>
  </w:style>
  <w:style w:type="paragraph" w:customStyle="1" w:styleId="VWSToespraakbodytekstV14">
    <w:name w:val="VWS Toespraak bodytekst V14"/>
    <w:basedOn w:val="Normal"/>
    <w:next w:val="Normal"/>
    <w:pPr>
      <w:spacing w:before="240"/>
    </w:pPr>
    <w:rPr>
      <w:sz w:val="28"/>
      <w:szCs w:val="28"/>
    </w:rPr>
  </w:style>
  <w:style w:type="paragraph" w:customStyle="1" w:styleId="VWSToespraaksubtitel">
    <w:name w:val="VWS Toespraak subtitel"/>
    <w:basedOn w:val="Normal"/>
    <w:next w:val="Normal"/>
    <w:pPr>
      <w:spacing w:after="220" w:line="320" w:lineRule="exact"/>
    </w:pPr>
    <w:rPr>
      <w:sz w:val="24"/>
      <w:szCs w:val="24"/>
    </w:rPr>
  </w:style>
  <w:style w:type="paragraph" w:customStyle="1" w:styleId="VWSToespraakTitel">
    <w:name w:val="VWS Toespraak Titel"/>
    <w:basedOn w:val="Normal"/>
    <w:next w:val="Normal"/>
    <w:pPr>
      <w:spacing w:before="460" w:line="320" w:lineRule="exact"/>
    </w:pPr>
    <w:rPr>
      <w:b/>
      <w:sz w:val="24"/>
      <w:szCs w:val="24"/>
    </w:rPr>
  </w:style>
  <w:style w:type="paragraph" w:customStyle="1" w:styleId="VWSUitnodigingV65">
    <w:name w:val="VWS Uitnodiging V6;5"/>
    <w:basedOn w:val="Normal"/>
    <w:next w:val="Normal"/>
    <w:rPr>
      <w:sz w:val="13"/>
      <w:szCs w:val="13"/>
    </w:rPr>
  </w:style>
  <w:style w:type="paragraph" w:customStyle="1" w:styleId="VWSVoordrachtDatum">
    <w:name w:val="VWS Voordracht Datum"/>
    <w:basedOn w:val="Normal"/>
    <w:next w:val="Normal"/>
    <w:pPr>
      <w:spacing w:before="270" w:line="180" w:lineRule="exact"/>
    </w:pPr>
    <w:rPr>
      <w:b/>
      <w:sz w:val="13"/>
      <w:szCs w:val="13"/>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A705B"/>
    <w:pPr>
      <w:tabs>
        <w:tab w:val="center" w:pos="4536"/>
        <w:tab w:val="right" w:pos="9072"/>
      </w:tabs>
      <w:spacing w:line="240" w:lineRule="auto"/>
    </w:pPr>
  </w:style>
  <w:style w:type="character" w:customStyle="1" w:styleId="HeaderChar">
    <w:name w:val="Header Char"/>
    <w:basedOn w:val="DefaultParagraphFont"/>
    <w:link w:val="Header"/>
    <w:uiPriority w:val="99"/>
    <w:rsid w:val="004A705B"/>
    <w:rPr>
      <w:rFonts w:ascii="Verdana" w:hAnsi="Verdana"/>
      <w:color w:val="000000"/>
      <w:sz w:val="18"/>
      <w:szCs w:val="18"/>
    </w:rPr>
  </w:style>
  <w:style w:type="paragraph" w:styleId="Footer">
    <w:name w:val="footer"/>
    <w:basedOn w:val="Normal"/>
    <w:link w:val="FooterChar"/>
    <w:uiPriority w:val="99"/>
    <w:unhideWhenUsed/>
    <w:rsid w:val="004A705B"/>
    <w:pPr>
      <w:tabs>
        <w:tab w:val="center" w:pos="4536"/>
        <w:tab w:val="right" w:pos="9072"/>
      </w:tabs>
      <w:spacing w:line="240" w:lineRule="auto"/>
    </w:pPr>
  </w:style>
  <w:style w:type="character" w:customStyle="1" w:styleId="FooterChar">
    <w:name w:val="Footer Char"/>
    <w:basedOn w:val="DefaultParagraphFont"/>
    <w:link w:val="Footer"/>
    <w:uiPriority w:val="99"/>
    <w:rsid w:val="004A705B"/>
    <w:rPr>
      <w:rFonts w:ascii="Verdana" w:hAnsi="Verdana"/>
      <w:color w:val="000000"/>
      <w:sz w:val="18"/>
      <w:szCs w:val="18"/>
    </w:rPr>
  </w:style>
  <w:style w:type="paragraph" w:styleId="ListParagraph">
    <w:name w:val="List Paragraph"/>
    <w:basedOn w:val="Normal"/>
    <w:uiPriority w:val="34"/>
    <w:qFormat/>
    <w:rsid w:val="00CB0E9D"/>
    <w:pPr>
      <w:ind w:left="720"/>
      <w:contextualSpacing/>
    </w:pPr>
  </w:style>
  <w:style w:type="character" w:styleId="Hyperlink">
    <w:name w:val="Hyperlink"/>
    <w:basedOn w:val="DefaultParagraphFont"/>
    <w:uiPriority w:val="99"/>
    <w:unhideWhenUsed/>
    <w:rsid w:val="0068359E"/>
    <w:rPr>
      <w:color w:val="0000FF"/>
      <w:u w:val="single"/>
    </w:rPr>
  </w:style>
  <w:style w:type="paragraph" w:styleId="BalloonText">
    <w:name w:val="Balloon Text"/>
    <w:basedOn w:val="Normal"/>
    <w:link w:val="BalloonTextChar"/>
    <w:uiPriority w:val="99"/>
    <w:semiHidden/>
    <w:unhideWhenUsed/>
    <w:rsid w:val="00DA7887"/>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A7887"/>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827498"/>
    <w:rPr>
      <w:sz w:val="16"/>
      <w:szCs w:val="16"/>
    </w:rPr>
  </w:style>
  <w:style w:type="paragraph" w:styleId="CommentText">
    <w:name w:val="annotation text"/>
    <w:basedOn w:val="Normal"/>
    <w:link w:val="CommentTextChar"/>
    <w:uiPriority w:val="99"/>
    <w:semiHidden/>
    <w:unhideWhenUsed/>
    <w:rsid w:val="00827498"/>
    <w:pPr>
      <w:spacing w:line="240" w:lineRule="auto"/>
    </w:pPr>
    <w:rPr>
      <w:sz w:val="20"/>
      <w:szCs w:val="20"/>
    </w:rPr>
  </w:style>
  <w:style w:type="character" w:customStyle="1" w:styleId="CommentTextChar">
    <w:name w:val="Comment Text Char"/>
    <w:basedOn w:val="DefaultParagraphFont"/>
    <w:link w:val="CommentText"/>
    <w:uiPriority w:val="99"/>
    <w:semiHidden/>
    <w:rsid w:val="0082749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27498"/>
    <w:rPr>
      <w:b/>
      <w:bCs/>
    </w:rPr>
  </w:style>
  <w:style w:type="character" w:customStyle="1" w:styleId="CommentSubjectChar">
    <w:name w:val="Comment Subject Char"/>
    <w:basedOn w:val="CommentTextChar"/>
    <w:link w:val="CommentSubject"/>
    <w:uiPriority w:val="99"/>
    <w:semiHidden/>
    <w:rsid w:val="00827498"/>
    <w:rPr>
      <w:rFonts w:ascii="Verdana" w:hAnsi="Verdana"/>
      <w:b/>
      <w:bCs/>
      <w:color w:val="000000"/>
    </w:rPr>
  </w:style>
  <w:style w:type="character" w:styleId="Emphasis">
    <w:name w:val="Emphasis"/>
    <w:basedOn w:val="DefaultParagraphFont"/>
    <w:uiPriority w:val="20"/>
    <w:qFormat/>
    <w:rsid w:val="008F7DC6"/>
    <w:rPr>
      <w:i/>
      <w:iCs/>
    </w:rPr>
  </w:style>
  <w:style w:type="paragraph" w:styleId="NormalWeb">
    <w:name w:val="Normal (Web)"/>
    <w:basedOn w:val="Normal"/>
    <w:uiPriority w:val="99"/>
    <w:unhideWhenUsed/>
    <w:rsid w:val="008F7DC6"/>
    <w:pPr>
      <w:autoSpaceDN/>
      <w:spacing w:after="150"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rsid w:val="00B658D6"/>
    <w:pPr>
      <w:autoSpaceDN/>
      <w:spacing w:line="240" w:lineRule="auto"/>
      <w:textAlignment w:val="auto"/>
    </w:pPr>
    <w:rPr>
      <w:rFonts w:ascii="Univers" w:eastAsia="Times New Roman" w:hAnsi="Univers" w:cs="Times New Roman"/>
      <w:color w:val="auto"/>
      <w:sz w:val="20"/>
      <w:szCs w:val="20"/>
    </w:rPr>
  </w:style>
  <w:style w:type="character" w:customStyle="1" w:styleId="FootnoteTextChar">
    <w:name w:val="Footnote Text Char"/>
    <w:basedOn w:val="DefaultParagraphFont"/>
    <w:link w:val="FootnoteText"/>
    <w:uiPriority w:val="99"/>
    <w:semiHidden/>
    <w:rsid w:val="00B658D6"/>
    <w:rPr>
      <w:rFonts w:ascii="Univers" w:eastAsia="Times New Roman" w:hAnsi="Univers" w:cs="Times New Roman"/>
    </w:rPr>
  </w:style>
  <w:style w:type="character" w:styleId="FootnoteReference">
    <w:name w:val="footnote reference"/>
    <w:basedOn w:val="DefaultParagraphFont"/>
    <w:uiPriority w:val="99"/>
    <w:semiHidden/>
    <w:rsid w:val="00B658D6"/>
    <w:rPr>
      <w:vertAlign w:val="superscript"/>
    </w:rPr>
  </w:style>
  <w:style w:type="character" w:styleId="Strong">
    <w:name w:val="Strong"/>
    <w:basedOn w:val="DefaultParagraphFont"/>
    <w:uiPriority w:val="22"/>
    <w:qFormat/>
    <w:rsid w:val="002A729E"/>
    <w:rPr>
      <w:b/>
      <w:bCs/>
    </w:rPr>
  </w:style>
  <w:style w:type="paragraph" w:customStyle="1" w:styleId="tussenkop">
    <w:name w:val="tussenkop"/>
    <w:basedOn w:val="Normal"/>
    <w:rsid w:val="002A729E"/>
    <w:pPr>
      <w:autoSpaceDN/>
      <w:spacing w:after="150" w:line="240" w:lineRule="auto"/>
      <w:textAlignment w:val="auto"/>
    </w:pPr>
    <w:rPr>
      <w:rFonts w:ascii="Times New Roman" w:eastAsia="Times New Roman" w:hAnsi="Times New Roman" w:cs="Times New Roman"/>
      <w:color w:val="auto"/>
      <w:sz w:val="24"/>
      <w:szCs w:val="24"/>
    </w:rPr>
  </w:style>
  <w:style w:type="table" w:styleId="TableGrid">
    <w:name w:val="Table Grid"/>
    <w:basedOn w:val="TableNormal"/>
    <w:uiPriority w:val="39"/>
    <w:rsid w:val="0021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2137C3"/>
    <w:pPr>
      <w:autoSpaceDN/>
      <w:spacing w:before="120" w:after="120" w:line="240" w:lineRule="auto"/>
      <w:jc w:val="both"/>
      <w:textAlignment w:val="auto"/>
    </w:pPr>
    <w:rPr>
      <w:rFonts w:ascii="Arial" w:eastAsiaTheme="minorHAnsi" w:hAnsi="Arial" w:cs="Arial"/>
      <w:color w:val="auto"/>
      <w:sz w:val="22"/>
      <w:szCs w:val="22"/>
      <w:lang w:eastAsia="en-US"/>
    </w:rPr>
  </w:style>
  <w:style w:type="character" w:customStyle="1" w:styleId="Marker">
    <w:name w:val="Marker"/>
    <w:basedOn w:val="DefaultParagraphFont"/>
    <w:rsid w:val="002137C3"/>
    <w:rPr>
      <w:color w:val="0000FF"/>
      <w:shd w:val="clear" w:color="auto" w:fill="auto"/>
    </w:rPr>
  </w:style>
  <w:style w:type="paragraph" w:customStyle="1" w:styleId="Default">
    <w:name w:val="Default"/>
    <w:rsid w:val="00672904"/>
    <w:pPr>
      <w:autoSpaceDE w:val="0"/>
      <w:adjustRightInd w:val="0"/>
      <w:textAlignment w:val="auto"/>
    </w:pPr>
    <w:rPr>
      <w:rFonts w:ascii="Verdana" w:hAnsi="Verdana" w:cs="Verdana"/>
      <w:color w:val="000000"/>
      <w:sz w:val="24"/>
      <w:szCs w:val="24"/>
    </w:rPr>
  </w:style>
  <w:style w:type="paragraph" w:styleId="NoSpacing">
    <w:name w:val="No Spacing"/>
    <w:uiPriority w:val="1"/>
    <w:qFormat/>
    <w:rsid w:val="008E7EEA"/>
    <w:rPr>
      <w:rFonts w:ascii="Verdana" w:hAnsi="Verdana"/>
      <w:color w:val="000000"/>
      <w:sz w:val="18"/>
      <w:szCs w:val="18"/>
    </w:rPr>
  </w:style>
  <w:style w:type="paragraph" w:customStyle="1" w:styleId="ti-art">
    <w:name w:val="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i-art">
    <w:name w:val="s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andaard1">
    <w:name w:val="Standaard1"/>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7881">
      <w:bodyDiv w:val="1"/>
      <w:marLeft w:val="0"/>
      <w:marRight w:val="0"/>
      <w:marTop w:val="0"/>
      <w:marBottom w:val="0"/>
      <w:divBdr>
        <w:top w:val="none" w:sz="0" w:space="0" w:color="auto"/>
        <w:left w:val="none" w:sz="0" w:space="0" w:color="auto"/>
        <w:bottom w:val="none" w:sz="0" w:space="0" w:color="auto"/>
        <w:right w:val="none" w:sz="0" w:space="0" w:color="auto"/>
      </w:divBdr>
      <w:divsChild>
        <w:div w:id="1896551956">
          <w:marLeft w:val="0"/>
          <w:marRight w:val="0"/>
          <w:marTop w:val="0"/>
          <w:marBottom w:val="300"/>
          <w:divBdr>
            <w:top w:val="none" w:sz="0" w:space="0" w:color="auto"/>
            <w:left w:val="none" w:sz="0" w:space="0" w:color="auto"/>
            <w:bottom w:val="none" w:sz="0" w:space="0" w:color="auto"/>
            <w:right w:val="none" w:sz="0" w:space="0" w:color="auto"/>
          </w:divBdr>
          <w:divsChild>
            <w:div w:id="2112847497">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945961128">
                      <w:marLeft w:val="0"/>
                      <w:marRight w:val="0"/>
                      <w:marTop w:val="0"/>
                      <w:marBottom w:val="0"/>
                      <w:divBdr>
                        <w:top w:val="none" w:sz="0" w:space="0" w:color="auto"/>
                        <w:left w:val="none" w:sz="0" w:space="0" w:color="auto"/>
                        <w:bottom w:val="none" w:sz="0" w:space="0" w:color="auto"/>
                        <w:right w:val="none" w:sz="0" w:space="0" w:color="auto"/>
                      </w:divBdr>
                      <w:divsChild>
                        <w:div w:id="17290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24430">
      <w:bodyDiv w:val="1"/>
      <w:marLeft w:val="0"/>
      <w:marRight w:val="0"/>
      <w:marTop w:val="0"/>
      <w:marBottom w:val="0"/>
      <w:divBdr>
        <w:top w:val="none" w:sz="0" w:space="0" w:color="auto"/>
        <w:left w:val="none" w:sz="0" w:space="0" w:color="auto"/>
        <w:bottom w:val="none" w:sz="0" w:space="0" w:color="auto"/>
        <w:right w:val="none" w:sz="0" w:space="0" w:color="auto"/>
      </w:divBdr>
    </w:div>
    <w:div w:id="694622954">
      <w:bodyDiv w:val="1"/>
      <w:marLeft w:val="0"/>
      <w:marRight w:val="0"/>
      <w:marTop w:val="0"/>
      <w:marBottom w:val="0"/>
      <w:divBdr>
        <w:top w:val="none" w:sz="0" w:space="0" w:color="auto"/>
        <w:left w:val="none" w:sz="0" w:space="0" w:color="auto"/>
        <w:bottom w:val="none" w:sz="0" w:space="0" w:color="auto"/>
        <w:right w:val="none" w:sz="0" w:space="0" w:color="auto"/>
      </w:divBdr>
      <w:divsChild>
        <w:div w:id="754975388">
          <w:marLeft w:val="0"/>
          <w:marRight w:val="0"/>
          <w:marTop w:val="0"/>
          <w:marBottom w:val="0"/>
          <w:divBdr>
            <w:top w:val="none" w:sz="0" w:space="0" w:color="auto"/>
            <w:left w:val="none" w:sz="0" w:space="0" w:color="auto"/>
            <w:bottom w:val="none" w:sz="0" w:space="0" w:color="auto"/>
            <w:right w:val="none" w:sz="0" w:space="0" w:color="auto"/>
          </w:divBdr>
          <w:divsChild>
            <w:div w:id="1032994691">
              <w:marLeft w:val="0"/>
              <w:marRight w:val="0"/>
              <w:marTop w:val="0"/>
              <w:marBottom w:val="0"/>
              <w:divBdr>
                <w:top w:val="none" w:sz="0" w:space="0" w:color="auto"/>
                <w:left w:val="none" w:sz="0" w:space="0" w:color="auto"/>
                <w:bottom w:val="none" w:sz="0" w:space="0" w:color="auto"/>
                <w:right w:val="none" w:sz="0" w:space="0" w:color="auto"/>
              </w:divBdr>
              <w:divsChild>
                <w:div w:id="9105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0196">
      <w:bodyDiv w:val="1"/>
      <w:marLeft w:val="0"/>
      <w:marRight w:val="0"/>
      <w:marTop w:val="0"/>
      <w:marBottom w:val="0"/>
      <w:divBdr>
        <w:top w:val="none" w:sz="0" w:space="0" w:color="auto"/>
        <w:left w:val="none" w:sz="0" w:space="0" w:color="auto"/>
        <w:bottom w:val="none" w:sz="0" w:space="0" w:color="auto"/>
        <w:right w:val="none" w:sz="0" w:space="0" w:color="auto"/>
      </w:divBdr>
      <w:divsChild>
        <w:div w:id="900100298">
          <w:marLeft w:val="0"/>
          <w:marRight w:val="0"/>
          <w:marTop w:val="0"/>
          <w:marBottom w:val="300"/>
          <w:divBdr>
            <w:top w:val="none" w:sz="0" w:space="0" w:color="auto"/>
            <w:left w:val="none" w:sz="0" w:space="0" w:color="auto"/>
            <w:bottom w:val="none" w:sz="0" w:space="0" w:color="auto"/>
            <w:right w:val="none" w:sz="0" w:space="0" w:color="auto"/>
          </w:divBdr>
          <w:divsChild>
            <w:div w:id="1007052578">
              <w:marLeft w:val="0"/>
              <w:marRight w:val="0"/>
              <w:marTop w:val="0"/>
              <w:marBottom w:val="0"/>
              <w:divBdr>
                <w:top w:val="none" w:sz="0" w:space="0" w:color="auto"/>
                <w:left w:val="none" w:sz="0" w:space="0" w:color="auto"/>
                <w:bottom w:val="none" w:sz="0" w:space="0" w:color="auto"/>
                <w:right w:val="none" w:sz="0" w:space="0" w:color="auto"/>
              </w:divBdr>
              <w:divsChild>
                <w:div w:id="14219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8692">
      <w:bodyDiv w:val="1"/>
      <w:marLeft w:val="0"/>
      <w:marRight w:val="0"/>
      <w:marTop w:val="0"/>
      <w:marBottom w:val="0"/>
      <w:divBdr>
        <w:top w:val="none" w:sz="0" w:space="0" w:color="auto"/>
        <w:left w:val="none" w:sz="0" w:space="0" w:color="auto"/>
        <w:bottom w:val="none" w:sz="0" w:space="0" w:color="auto"/>
        <w:right w:val="none" w:sz="0" w:space="0" w:color="auto"/>
      </w:divBdr>
      <w:divsChild>
        <w:div w:id="91166443">
          <w:marLeft w:val="0"/>
          <w:marRight w:val="0"/>
          <w:marTop w:val="0"/>
          <w:marBottom w:val="300"/>
          <w:divBdr>
            <w:top w:val="none" w:sz="0" w:space="0" w:color="auto"/>
            <w:left w:val="none" w:sz="0" w:space="0" w:color="auto"/>
            <w:bottom w:val="none" w:sz="0" w:space="0" w:color="auto"/>
            <w:right w:val="none" w:sz="0" w:space="0" w:color="auto"/>
          </w:divBdr>
          <w:divsChild>
            <w:div w:id="1546941071">
              <w:marLeft w:val="0"/>
              <w:marRight w:val="0"/>
              <w:marTop w:val="0"/>
              <w:marBottom w:val="0"/>
              <w:divBdr>
                <w:top w:val="none" w:sz="0" w:space="0" w:color="auto"/>
                <w:left w:val="none" w:sz="0" w:space="0" w:color="auto"/>
                <w:bottom w:val="none" w:sz="0" w:space="0" w:color="auto"/>
                <w:right w:val="none" w:sz="0" w:space="0" w:color="auto"/>
              </w:divBdr>
              <w:divsChild>
                <w:div w:id="752629159">
                  <w:marLeft w:val="0"/>
                  <w:marRight w:val="0"/>
                  <w:marTop w:val="0"/>
                  <w:marBottom w:val="0"/>
                  <w:divBdr>
                    <w:top w:val="none" w:sz="0" w:space="0" w:color="auto"/>
                    <w:left w:val="none" w:sz="0" w:space="0" w:color="auto"/>
                    <w:bottom w:val="none" w:sz="0" w:space="0" w:color="auto"/>
                    <w:right w:val="none" w:sz="0" w:space="0" w:color="auto"/>
                  </w:divBdr>
                  <w:divsChild>
                    <w:div w:id="5787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8099">
      <w:bodyDiv w:val="1"/>
      <w:marLeft w:val="0"/>
      <w:marRight w:val="0"/>
      <w:marTop w:val="0"/>
      <w:marBottom w:val="0"/>
      <w:divBdr>
        <w:top w:val="none" w:sz="0" w:space="0" w:color="auto"/>
        <w:left w:val="none" w:sz="0" w:space="0" w:color="auto"/>
        <w:bottom w:val="none" w:sz="0" w:space="0" w:color="auto"/>
        <w:right w:val="none" w:sz="0" w:space="0" w:color="auto"/>
      </w:divBdr>
    </w:div>
    <w:div w:id="1534155010">
      <w:bodyDiv w:val="1"/>
      <w:marLeft w:val="0"/>
      <w:marRight w:val="0"/>
      <w:marTop w:val="0"/>
      <w:marBottom w:val="0"/>
      <w:divBdr>
        <w:top w:val="none" w:sz="0" w:space="0" w:color="auto"/>
        <w:left w:val="none" w:sz="0" w:space="0" w:color="auto"/>
        <w:bottom w:val="none" w:sz="0" w:space="0" w:color="auto"/>
        <w:right w:val="none" w:sz="0" w:space="0" w:color="auto"/>
      </w:divBdr>
      <w:divsChild>
        <w:div w:id="305093547">
          <w:marLeft w:val="0"/>
          <w:marRight w:val="0"/>
          <w:marTop w:val="0"/>
          <w:marBottom w:val="300"/>
          <w:divBdr>
            <w:top w:val="none" w:sz="0" w:space="0" w:color="auto"/>
            <w:left w:val="none" w:sz="0" w:space="0" w:color="auto"/>
            <w:bottom w:val="none" w:sz="0" w:space="0" w:color="auto"/>
            <w:right w:val="none" w:sz="0" w:space="0" w:color="auto"/>
          </w:divBdr>
          <w:divsChild>
            <w:div w:id="517962118">
              <w:marLeft w:val="0"/>
              <w:marRight w:val="0"/>
              <w:marTop w:val="0"/>
              <w:marBottom w:val="0"/>
              <w:divBdr>
                <w:top w:val="none" w:sz="0" w:space="0" w:color="auto"/>
                <w:left w:val="none" w:sz="0" w:space="0" w:color="auto"/>
                <w:bottom w:val="none" w:sz="0" w:space="0" w:color="auto"/>
                <w:right w:val="none" w:sz="0" w:space="0" w:color="auto"/>
              </w:divBdr>
              <w:divsChild>
                <w:div w:id="217475510">
                  <w:marLeft w:val="0"/>
                  <w:marRight w:val="0"/>
                  <w:marTop w:val="0"/>
                  <w:marBottom w:val="0"/>
                  <w:divBdr>
                    <w:top w:val="none" w:sz="0" w:space="0" w:color="auto"/>
                    <w:left w:val="none" w:sz="0" w:space="0" w:color="auto"/>
                    <w:bottom w:val="none" w:sz="0" w:space="0" w:color="auto"/>
                    <w:right w:val="none" w:sz="0" w:space="0" w:color="auto"/>
                  </w:divBdr>
                  <w:divsChild>
                    <w:div w:id="1837913722">
                      <w:marLeft w:val="0"/>
                      <w:marRight w:val="0"/>
                      <w:marTop w:val="0"/>
                      <w:marBottom w:val="0"/>
                      <w:divBdr>
                        <w:top w:val="none" w:sz="0" w:space="0" w:color="auto"/>
                        <w:left w:val="none" w:sz="0" w:space="0" w:color="auto"/>
                        <w:bottom w:val="none" w:sz="0" w:space="0" w:color="auto"/>
                        <w:right w:val="none" w:sz="0" w:space="0" w:color="auto"/>
                      </w:divBdr>
                      <w:divsChild>
                        <w:div w:id="935090865">
                          <w:marLeft w:val="0"/>
                          <w:marRight w:val="0"/>
                          <w:marTop w:val="0"/>
                          <w:marBottom w:val="0"/>
                          <w:divBdr>
                            <w:top w:val="none" w:sz="0" w:space="0" w:color="auto"/>
                            <w:left w:val="none" w:sz="0" w:space="0" w:color="auto"/>
                            <w:bottom w:val="none" w:sz="0" w:space="0" w:color="auto"/>
                            <w:right w:val="none" w:sz="0" w:space="0" w:color="auto"/>
                          </w:divBdr>
                          <w:divsChild>
                            <w:div w:id="1444961910">
                              <w:marLeft w:val="0"/>
                              <w:marRight w:val="0"/>
                              <w:marTop w:val="0"/>
                              <w:marBottom w:val="0"/>
                              <w:divBdr>
                                <w:top w:val="none" w:sz="0" w:space="0" w:color="auto"/>
                                <w:left w:val="none" w:sz="0" w:space="0" w:color="auto"/>
                                <w:bottom w:val="none" w:sz="0" w:space="0" w:color="auto"/>
                                <w:right w:val="none" w:sz="0" w:space="0" w:color="auto"/>
                              </w:divBdr>
                            </w:div>
                            <w:div w:id="20940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9939">
                      <w:marLeft w:val="0"/>
                      <w:marRight w:val="0"/>
                      <w:marTop w:val="0"/>
                      <w:marBottom w:val="0"/>
                      <w:divBdr>
                        <w:top w:val="none" w:sz="0" w:space="0" w:color="auto"/>
                        <w:left w:val="none" w:sz="0" w:space="0" w:color="auto"/>
                        <w:bottom w:val="none" w:sz="0" w:space="0" w:color="auto"/>
                        <w:right w:val="none" w:sz="0" w:space="0" w:color="auto"/>
                      </w:divBdr>
                      <w:divsChild>
                        <w:div w:id="516817239">
                          <w:marLeft w:val="0"/>
                          <w:marRight w:val="0"/>
                          <w:marTop w:val="0"/>
                          <w:marBottom w:val="0"/>
                          <w:divBdr>
                            <w:top w:val="none" w:sz="0" w:space="0" w:color="auto"/>
                            <w:left w:val="none" w:sz="0" w:space="0" w:color="auto"/>
                            <w:bottom w:val="none" w:sz="0" w:space="0" w:color="auto"/>
                            <w:right w:val="none" w:sz="0" w:space="0" w:color="auto"/>
                          </w:divBdr>
                        </w:div>
                        <w:div w:id="1748379913">
                          <w:marLeft w:val="0"/>
                          <w:marRight w:val="0"/>
                          <w:marTop w:val="0"/>
                          <w:marBottom w:val="0"/>
                          <w:divBdr>
                            <w:top w:val="none" w:sz="0" w:space="0" w:color="auto"/>
                            <w:left w:val="none" w:sz="0" w:space="0" w:color="auto"/>
                            <w:bottom w:val="none" w:sz="0" w:space="0" w:color="auto"/>
                            <w:right w:val="none" w:sz="0" w:space="0" w:color="auto"/>
                          </w:divBdr>
                        </w:div>
                        <w:div w:id="12798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035">
              <w:marLeft w:val="0"/>
              <w:marRight w:val="0"/>
              <w:marTop w:val="0"/>
              <w:marBottom w:val="0"/>
              <w:divBdr>
                <w:top w:val="none" w:sz="0" w:space="0" w:color="auto"/>
                <w:left w:val="none" w:sz="0" w:space="0" w:color="auto"/>
                <w:bottom w:val="none" w:sz="0" w:space="0" w:color="auto"/>
                <w:right w:val="none" w:sz="0" w:space="0" w:color="auto"/>
              </w:divBdr>
              <w:divsChild>
                <w:div w:id="942228339">
                  <w:marLeft w:val="0"/>
                  <w:marRight w:val="0"/>
                  <w:marTop w:val="0"/>
                  <w:marBottom w:val="0"/>
                  <w:divBdr>
                    <w:top w:val="none" w:sz="0" w:space="0" w:color="auto"/>
                    <w:left w:val="none" w:sz="0" w:space="0" w:color="auto"/>
                    <w:bottom w:val="none" w:sz="0" w:space="0" w:color="auto"/>
                    <w:right w:val="none" w:sz="0" w:space="0" w:color="auto"/>
                  </w:divBdr>
                  <w:divsChild>
                    <w:div w:id="157039168">
                      <w:marLeft w:val="0"/>
                      <w:marRight w:val="0"/>
                      <w:marTop w:val="0"/>
                      <w:marBottom w:val="0"/>
                      <w:divBdr>
                        <w:top w:val="none" w:sz="0" w:space="0" w:color="auto"/>
                        <w:left w:val="none" w:sz="0" w:space="0" w:color="auto"/>
                        <w:bottom w:val="none" w:sz="0" w:space="0" w:color="auto"/>
                        <w:right w:val="none" w:sz="0" w:space="0" w:color="auto"/>
                      </w:divBdr>
                    </w:div>
                  </w:divsChild>
                </w:div>
                <w:div w:id="311566838">
                  <w:marLeft w:val="0"/>
                  <w:marRight w:val="0"/>
                  <w:marTop w:val="0"/>
                  <w:marBottom w:val="0"/>
                  <w:divBdr>
                    <w:top w:val="none" w:sz="0" w:space="0" w:color="auto"/>
                    <w:left w:val="none" w:sz="0" w:space="0" w:color="auto"/>
                    <w:bottom w:val="none" w:sz="0" w:space="0" w:color="auto"/>
                    <w:right w:val="none" w:sz="0" w:space="0" w:color="auto"/>
                  </w:divBdr>
                  <w:divsChild>
                    <w:div w:id="642924218">
                      <w:marLeft w:val="0"/>
                      <w:marRight w:val="0"/>
                      <w:marTop w:val="0"/>
                      <w:marBottom w:val="0"/>
                      <w:divBdr>
                        <w:top w:val="none" w:sz="0" w:space="0" w:color="auto"/>
                        <w:left w:val="none" w:sz="0" w:space="0" w:color="auto"/>
                        <w:bottom w:val="none" w:sz="0" w:space="0" w:color="auto"/>
                        <w:right w:val="none" w:sz="0" w:space="0" w:color="auto"/>
                      </w:divBdr>
                    </w:div>
                  </w:divsChild>
                </w:div>
                <w:div w:id="2093507744">
                  <w:marLeft w:val="0"/>
                  <w:marRight w:val="0"/>
                  <w:marTop w:val="0"/>
                  <w:marBottom w:val="0"/>
                  <w:divBdr>
                    <w:top w:val="none" w:sz="0" w:space="0" w:color="auto"/>
                    <w:left w:val="none" w:sz="0" w:space="0" w:color="auto"/>
                    <w:bottom w:val="none" w:sz="0" w:space="0" w:color="auto"/>
                    <w:right w:val="none" w:sz="0" w:space="0" w:color="auto"/>
                  </w:divBdr>
                  <w:divsChild>
                    <w:div w:id="580943754">
                      <w:marLeft w:val="0"/>
                      <w:marRight w:val="0"/>
                      <w:marTop w:val="0"/>
                      <w:marBottom w:val="0"/>
                      <w:divBdr>
                        <w:top w:val="none" w:sz="0" w:space="0" w:color="auto"/>
                        <w:left w:val="none" w:sz="0" w:space="0" w:color="auto"/>
                        <w:bottom w:val="none" w:sz="0" w:space="0" w:color="auto"/>
                        <w:right w:val="none" w:sz="0" w:space="0" w:color="auto"/>
                      </w:divBdr>
                    </w:div>
                  </w:divsChild>
                </w:div>
                <w:div w:id="622155531">
                  <w:marLeft w:val="0"/>
                  <w:marRight w:val="0"/>
                  <w:marTop w:val="0"/>
                  <w:marBottom w:val="0"/>
                  <w:divBdr>
                    <w:top w:val="none" w:sz="0" w:space="0" w:color="auto"/>
                    <w:left w:val="none" w:sz="0" w:space="0" w:color="auto"/>
                    <w:bottom w:val="none" w:sz="0" w:space="0" w:color="auto"/>
                    <w:right w:val="none" w:sz="0" w:space="0" w:color="auto"/>
                  </w:divBdr>
                  <w:divsChild>
                    <w:div w:id="6369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38266">
      <w:bodyDiv w:val="1"/>
      <w:marLeft w:val="0"/>
      <w:marRight w:val="0"/>
      <w:marTop w:val="0"/>
      <w:marBottom w:val="0"/>
      <w:divBdr>
        <w:top w:val="none" w:sz="0" w:space="0" w:color="auto"/>
        <w:left w:val="none" w:sz="0" w:space="0" w:color="auto"/>
        <w:bottom w:val="none" w:sz="0" w:space="0" w:color="auto"/>
        <w:right w:val="none" w:sz="0" w:space="0" w:color="auto"/>
      </w:divBdr>
    </w:div>
    <w:div w:id="2075349207">
      <w:bodyDiv w:val="1"/>
      <w:marLeft w:val="0"/>
      <w:marRight w:val="0"/>
      <w:marTop w:val="0"/>
      <w:marBottom w:val="0"/>
      <w:divBdr>
        <w:top w:val="none" w:sz="0" w:space="0" w:color="auto"/>
        <w:left w:val="none" w:sz="0" w:space="0" w:color="auto"/>
        <w:bottom w:val="none" w:sz="0" w:space="0" w:color="auto"/>
        <w:right w:val="none" w:sz="0" w:space="0" w:color="auto"/>
      </w:divBdr>
      <w:divsChild>
        <w:div w:id="1192525596">
          <w:marLeft w:val="0"/>
          <w:marRight w:val="0"/>
          <w:marTop w:val="0"/>
          <w:marBottom w:val="300"/>
          <w:divBdr>
            <w:top w:val="none" w:sz="0" w:space="0" w:color="auto"/>
            <w:left w:val="none" w:sz="0" w:space="0" w:color="auto"/>
            <w:bottom w:val="none" w:sz="0" w:space="0" w:color="auto"/>
            <w:right w:val="none" w:sz="0" w:space="0" w:color="auto"/>
          </w:divBdr>
          <w:divsChild>
            <w:div w:id="887257192">
              <w:marLeft w:val="0"/>
              <w:marRight w:val="0"/>
              <w:marTop w:val="0"/>
              <w:marBottom w:val="0"/>
              <w:divBdr>
                <w:top w:val="none" w:sz="0" w:space="0" w:color="auto"/>
                <w:left w:val="none" w:sz="0" w:space="0" w:color="auto"/>
                <w:bottom w:val="none" w:sz="0" w:space="0" w:color="auto"/>
                <w:right w:val="none" w:sz="0" w:space="0" w:color="auto"/>
              </w:divBdr>
              <w:divsChild>
                <w:div w:id="14707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 TargetMode="External"/><Relationship Id="rId1" Type="http://schemas.openxmlformats.org/officeDocument/2006/relationships/hyperlink" Target="https://www.rijksoverheid.n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EMSGJJ\AppData\Local\Microsoft\Windows\INetCache\IE\BUYRAFI3\Beslui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2307-48C5-4E10-9E1E-10B17B6F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Besluit.dotx</Template>
  <TotalTime>6</TotalTime>
  <Pages>1</Pages>
  <Words>1688</Words>
  <Characters>9625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Willems, G.J.J. (Anna)</dc:creator>
  <cp:lastModifiedBy>Dimitris Dimitriadis</cp:lastModifiedBy>
  <cp:revision>6</cp:revision>
  <cp:lastPrinted>2019-05-15T13:40:00Z</cp:lastPrinted>
  <dcterms:created xsi:type="dcterms:W3CDTF">2021-07-27T20:03:00Z</dcterms:created>
  <dcterms:modified xsi:type="dcterms:W3CDTF">2021-08-11T16:11:00Z</dcterms:modified>
</cp:coreProperties>
</file>