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50285D" w:rsidRDefault="00A749FE" w:rsidP="00C228BC">
      <w:pPr>
        <w:pStyle w:val="OZNPROJEKTUwskazaniedatylubwersjiprojektu"/>
      </w:pPr>
      <w:r w:rsidRPr="0050285D">
        <w:t>Σχέδιο της 10ης Δεκεμβρίου 2021</w:t>
      </w:r>
    </w:p>
    <w:p w14:paraId="5C35B594" w14:textId="77777777" w:rsidR="00A749FE" w:rsidRPr="0050285D" w:rsidRDefault="00A749FE" w:rsidP="00A749FE">
      <w:pPr>
        <w:pStyle w:val="OZNRODZAKTUtznustawalubrozporzdzenieiorganwydajcy"/>
      </w:pPr>
      <w:r w:rsidRPr="0050285D">
        <w:t>ΝΟΜΟΣ</w:t>
      </w:r>
    </w:p>
    <w:p w14:paraId="1383CC47" w14:textId="77777777" w:rsidR="00A749FE" w:rsidRPr="0050285D" w:rsidRDefault="00A749FE" w:rsidP="00A749FE">
      <w:pPr>
        <w:pStyle w:val="DATAAKTUdatauchwalenialubwydaniaaktu"/>
      </w:pPr>
      <w:r w:rsidRPr="0050285D">
        <w:t>για την</w:t>
      </w:r>
    </w:p>
    <w:p w14:paraId="42408DA5" w14:textId="77777777" w:rsidR="00A749FE" w:rsidRPr="0050285D" w:rsidRDefault="00A749FE" w:rsidP="00A749FE">
      <w:pPr>
        <w:pStyle w:val="TYTUAKTUprzedmiotregulacjiustawylubrozporzdzenia"/>
      </w:pPr>
      <w:r w:rsidRPr="0050285D">
        <w:t>τροποποίηση ορισμένων πράξεων με σκοπό την πρόληψη τοκογλυφίας</w:t>
      </w:r>
      <w:r w:rsidRPr="0050285D">
        <w:rPr>
          <w:rStyle w:val="IGPindeksgrnyipogrubienie"/>
        </w:rPr>
        <w:footnoteReference w:id="1"/>
      </w:r>
      <w:r w:rsidRPr="0050285D">
        <w:rPr>
          <w:rStyle w:val="IGPindeksgrnyipogrubienie"/>
        </w:rPr>
        <w:t>)</w:t>
      </w:r>
    </w:p>
    <w:p w14:paraId="4186C237" w14:textId="77777777" w:rsidR="00A749FE" w:rsidRPr="0050285D" w:rsidRDefault="00A749FE" w:rsidP="00A749FE">
      <w:pPr>
        <w:pStyle w:val="ARTartustawynprozporzdzenia"/>
      </w:pPr>
      <w:r w:rsidRPr="0050285D">
        <w:rPr>
          <w:rStyle w:val="Ppogrubienie"/>
        </w:rPr>
        <w:t>Άρθρο 1.</w:t>
      </w:r>
      <w:r w:rsidRPr="0050285D">
        <w:t> Ο νόμος περί αστικού κώδικα της 23ης Απριλίου 1964 (Επίσημη Εφημερίδα του 2020 θέσεις 1740 και 2320 και Επίσημη Εφημερίδα του 2021 θέση 1509), τροποποιείται ως εξής:</w:t>
      </w:r>
    </w:p>
    <w:p w14:paraId="69D59890" w14:textId="77777777" w:rsidR="00A749FE" w:rsidRPr="0050285D" w:rsidRDefault="00236A11" w:rsidP="00A749FE">
      <w:pPr>
        <w:pStyle w:val="PKTpunkt"/>
      </w:pPr>
      <w:r w:rsidRPr="0050285D">
        <w:t>1)</w:t>
      </w:r>
      <w:r w:rsidRPr="0050285D">
        <w:tab/>
        <w:t>μετά το άρθρο 720 προστίθεται το ακόλουθο άρθρο 720</w:t>
      </w:r>
      <w:r w:rsidRPr="0050285D">
        <w:rPr>
          <w:rStyle w:val="IGindeksgrny"/>
        </w:rPr>
        <w:t xml:space="preserve">1 </w:t>
      </w:r>
      <w:r w:rsidRPr="0050285D">
        <w:t>–720</w:t>
      </w:r>
      <w:r w:rsidRPr="0050285D">
        <w:rPr>
          <w:rStyle w:val="IGindeksgrny"/>
        </w:rPr>
        <w:t xml:space="preserve">5 </w:t>
      </w:r>
      <w:r w:rsidRPr="0050285D">
        <w:t>:</w:t>
      </w:r>
    </w:p>
    <w:p w14:paraId="424AAB52" w14:textId="77777777" w:rsidR="00A749FE" w:rsidRPr="0050285D" w:rsidRDefault="00A749FE" w:rsidP="00A749FE">
      <w:pPr>
        <w:pStyle w:val="ZARTzmartartykuempunktem"/>
      </w:pPr>
      <w:r w:rsidRPr="0050285D">
        <w:t>«Άρθρο 720</w:t>
      </w:r>
      <w:r w:rsidRPr="0050285D">
        <w:rPr>
          <w:rStyle w:val="IGindeksgrny"/>
        </w:rPr>
        <w:t>1</w:t>
      </w:r>
      <w:r w:rsidRPr="0050285D">
        <w:t>. Παράγραφος 1. Η διάταξη του άρθρου 720 παράγραφος 1 δεν αποκλείει το δικαίωμα του πιστωτή σε μετρητά να απαιτήσει από τον δανειολήπτη τόκους και άτοκες δαπάνες, με την επιφύλαξη των ακόλουθων διατάξεων.</w:t>
      </w:r>
    </w:p>
    <w:p w14:paraId="459B4EEB" w14:textId="77777777" w:rsidR="00A749FE" w:rsidRPr="0050285D" w:rsidRDefault="00A749FE" w:rsidP="00A749FE">
      <w:pPr>
        <w:pStyle w:val="ZARTzmartartykuempunktem"/>
      </w:pPr>
      <w:r w:rsidRPr="0050285D">
        <w:t>Παράγραφος 2. Ως άτοκες δαπάνες που σχετίζονται με τη σύναψη σύμβασης δανείου μετρητών νοούνται οι ακόλουθες που προκύπτουν από την εν λόγω ή άλλη συμφωνία ή από οποιαδήποτε άλλη δικαιοπραξία:</w:t>
      </w:r>
    </w:p>
    <w:p w14:paraId="722F56F3" w14:textId="77777777" w:rsidR="00A749FE" w:rsidRPr="0050285D" w:rsidRDefault="00A749FE" w:rsidP="00792E99">
      <w:pPr>
        <w:pStyle w:val="ZPKTzmpktartykuempunktem"/>
      </w:pPr>
      <w:r w:rsidRPr="0050285D">
        <w:t>1)</w:t>
      </w:r>
      <w:r w:rsidRPr="0050285D">
        <w:tab/>
        <w:t>περιθώρια, προμήθειες ή αμοιβές που σχετίζονται με την κατάρτιση δανειακής σύμβασης, τη χορήγηση ή τη διαχείριση δανείου ή παρόμοιου κόστους,</w:t>
      </w:r>
    </w:p>
    <w:p w14:paraId="1D27905B" w14:textId="77777777" w:rsidR="00A749FE" w:rsidRPr="0050285D" w:rsidRDefault="00A749FE" w:rsidP="00792E99">
      <w:pPr>
        <w:pStyle w:val="ZPKTzmpktartykuempunktem"/>
      </w:pPr>
      <w:r w:rsidRPr="0050285D">
        <w:t>2)</w:t>
      </w:r>
      <w:r w:rsidRPr="0050285D">
        <w:tab/>
        <w:t>προμήθειες που συνδέονται με την αναβολή της ημερομηνίας αποπληρωμής του δανείου, την καθυστερημένη αποπληρωμή του ή δαπάνες παρόμοιου χαρακτήρα,</w:t>
      </w:r>
    </w:p>
    <w:p w14:paraId="11D9B214" w14:textId="77777777" w:rsidR="00A749FE" w:rsidRPr="0050285D" w:rsidRDefault="00A749FE" w:rsidP="00792E99">
      <w:pPr>
        <w:pStyle w:val="ZPKTzmpktartykuempunktem"/>
      </w:pPr>
      <w:r w:rsidRPr="0050285D">
        <w:t>3)</w:t>
      </w:r>
      <w:r w:rsidRPr="0050285D">
        <w:tab/>
        <w:t>δαπάνες για πρόσθετες υπηρεσίες, ιδίως δαπάνες ασφάλισης, δαπάνες που συνδέονται με τη σύσταση εγγύησης για το δάνειο, δαπάνες απόκτησης πληροφοριών σχετικά με τον δανειολήπτη, όταν οι δαπάνες αυτές είναι αναγκαίες για τη σύναψη της σύμβασης</w:t>
      </w:r>
    </w:p>
    <w:p w14:paraId="67915386" w14:textId="77777777" w:rsidR="00A749FE" w:rsidRPr="0050285D" w:rsidRDefault="00A749FE" w:rsidP="00792E99">
      <w:pPr>
        <w:pStyle w:val="ZCZWSPPKTzmczciwsppktartykuempunktem"/>
      </w:pPr>
      <w:r w:rsidRPr="0050285D">
        <w:t>– εξαιρουμένων των συμβολαιογραφικών αμοιβών και των εισφορών δημοσίου δικαίου που υποχρεούνται να καταβάλλουν τα συμβαλλόμενα μέρη κατά τη σύναψη της σύμβασης.</w:t>
      </w:r>
    </w:p>
    <w:p w14:paraId="4D3E269A" w14:textId="77777777" w:rsidR="00A749FE" w:rsidRPr="0050285D" w:rsidRDefault="00A749FE" w:rsidP="00792E99">
      <w:pPr>
        <w:pStyle w:val="ZUSTzmustartykuempunktem"/>
      </w:pPr>
      <w:r w:rsidRPr="0050285D">
        <w:t xml:space="preserve">Παράγραφος 3. Εάν, κατά τη σύναψη της σύμβασης, ο πιστωτής εκπροσωπείται από τον πράκτορα ή άλλο πρόσωπο μέσω του οποίου ο πάροχος του δανείου συνάπτει </w:t>
      </w:r>
      <w:r w:rsidRPr="0050285D">
        <w:lastRenderedPageBreak/>
        <w:t>σύμβαση ή εκπληρώνει την υποχρέωσή του, οι άτοκες δαπάνες που συνδέονται με τη σύναψη της δανειακής σύμβασης περιλαμβάνουν επίσης την αμοιβή του αντιπροσώπου ή του εν λόγω προσώπου, εφόσον αυτή καταβάλλεται από τον δανειολήπτη.</w:t>
      </w:r>
    </w:p>
    <w:p w14:paraId="645BC380" w14:textId="77777777" w:rsidR="00AF3254" w:rsidRPr="0050285D" w:rsidRDefault="00AF3254" w:rsidP="00AF3254">
      <w:pPr>
        <w:pStyle w:val="ZARTzmartartykuempunktem"/>
        <w:ind w:left="567" w:firstLine="0"/>
      </w:pPr>
      <w:r w:rsidRPr="0050285D">
        <w:t xml:space="preserve">           «Άρθρο 720</w:t>
      </w:r>
      <w:r w:rsidRPr="0050285D">
        <w:rPr>
          <w:rStyle w:val="IGindeksgrny"/>
        </w:rPr>
        <w:t>2</w:t>
      </w:r>
      <w:r w:rsidRPr="0050285D">
        <w:t xml:space="preserve">. Παράγραφος 1. Εκτός εάν προβλέπεται διαφορετικά σε ειδικές διατάξεις, οι συνολικές άτοκες δαπάνες σε δανειακή σύμβαση μετρητών που έχει συναφθεί με φυσικό πρόσωπο και οι οποίες δεν συνδέονται άμεσα με την επιχειρηματική ή επαγγελματική δραστηριότητα του εν λόγω προσώπου δεν μπορούν να υπερβαίνουν το μέγιστο ποσό των άτοκων δαπανών που καθορίζονται στον τύπο: </w:t>
      </w:r>
    </w:p>
    <w:p w14:paraId="2F67F25F" w14:textId="77777777" w:rsidR="00AF3254" w:rsidRPr="0050285D" w:rsidRDefault="005D157C" w:rsidP="00EA5237">
      <w:pPr>
        <w:pStyle w:val="ZWMATFIZCHEMzmwzorumatfizlubchemartykuempunktem"/>
        <w:rPr>
          <w:rStyle w:val="Kkursywa"/>
        </w:rPr>
      </w:pPr>
      <w:r w:rsidRPr="0050285D">
        <w:rPr>
          <w:rStyle w:val="Kkursywa"/>
        </w:rPr>
        <w:t>MKP = K × n/R × 20%</w:t>
      </w:r>
    </w:p>
    <w:p w14:paraId="41C9FD6E" w14:textId="77777777" w:rsidR="00A749FE" w:rsidRPr="0050285D" w:rsidRDefault="00A749FE" w:rsidP="00792E99">
      <w:pPr>
        <w:pStyle w:val="ZLEGWMATFIZCHEMzmlegendywzorumatfizlubchemartykuempunktem"/>
      </w:pPr>
      <w:r w:rsidRPr="0050285D">
        <w:t>τα εκάστοτε σύμβολα νοούνται ως:</w:t>
      </w:r>
    </w:p>
    <w:p w14:paraId="7D0C3368" w14:textId="77777777" w:rsidR="00A749FE" w:rsidRPr="0050285D" w:rsidRDefault="00A749FE" w:rsidP="00792E99">
      <w:pPr>
        <w:pStyle w:val="ZLEGWMATFIZCHEMzmlegendywzorumatfizlubchemartykuempunktem"/>
      </w:pPr>
      <w:r w:rsidRPr="0050285D">
        <w:rPr>
          <w:rStyle w:val="Kkursywa"/>
        </w:rPr>
        <w:t>MKP</w:t>
      </w:r>
      <w:r w:rsidRPr="0050285D">
        <w:t xml:space="preserve"> – το μέγιστο ποσό άτοκων δαπανών,</w:t>
      </w:r>
    </w:p>
    <w:p w14:paraId="581D23CD" w14:textId="77777777" w:rsidR="00A749FE" w:rsidRPr="0050285D" w:rsidRDefault="00A749FE" w:rsidP="00792E99">
      <w:pPr>
        <w:pStyle w:val="ZLEGWMATFIZCHEMzmlegendywzorumatfizlubchemartykuempunktem"/>
      </w:pPr>
      <w:r w:rsidRPr="0050285D">
        <w:rPr>
          <w:rStyle w:val="Kkursywa"/>
        </w:rPr>
        <w:t>K</w:t>
      </w:r>
      <w:r w:rsidRPr="0050285D">
        <w:rPr>
          <w:i/>
        </w:rPr>
        <w:t xml:space="preserve"> </w:t>
      </w:r>
      <w:r w:rsidRPr="0050285D">
        <w:t xml:space="preserve">– το συνολικό ποσό του δανείου, το οποίο νοείται ως το άθροισμα όλων των μετρητών που δεν περιλαμβάνουν το συγχρηματοδοτούμενο κόστος δανείου που αποδεσμεύει ο πιστωτής στον δανειολήπτη βάσει συμφωνίας, </w:t>
      </w:r>
    </w:p>
    <w:p w14:paraId="70F35599" w14:textId="77777777" w:rsidR="00A749FE" w:rsidRPr="0050285D" w:rsidRDefault="00A749FE" w:rsidP="00792E99">
      <w:pPr>
        <w:pStyle w:val="ZLEGWMATFIZCHEMzmlegendywzorumatfizlubchemartykuempunktem"/>
      </w:pPr>
      <w:r w:rsidRPr="0050285D">
        <w:rPr>
          <w:rStyle w:val="Kkursywa"/>
        </w:rPr>
        <w:t>n</w:t>
      </w:r>
      <w:r w:rsidRPr="0050285D">
        <w:rPr>
          <w:i/>
        </w:rPr>
        <w:t xml:space="preserve"> </w:t>
      </w:r>
      <w:r w:rsidRPr="0050285D">
        <w:t>– η προθεσμία αποπληρωμής σε ημέρες από την ημερομηνία αποδέσμευσης του δανείου,</w:t>
      </w:r>
    </w:p>
    <w:p w14:paraId="4227BE86" w14:textId="77777777" w:rsidR="00A749FE" w:rsidRPr="0050285D" w:rsidRDefault="00A749FE" w:rsidP="00792E99">
      <w:pPr>
        <w:pStyle w:val="ZLEGWMATFIZCHEMzmlegendywzorumatfizlubchemartykuempunktem"/>
      </w:pPr>
      <w:r w:rsidRPr="0050285D">
        <w:rPr>
          <w:rStyle w:val="Kkursywa"/>
        </w:rPr>
        <w:t>R</w:t>
      </w:r>
      <w:r w:rsidRPr="0050285D">
        <w:t xml:space="preserve"> – ο αριθμός ημερών ανά έτος.</w:t>
      </w:r>
    </w:p>
    <w:p w14:paraId="09C502E9" w14:textId="77777777" w:rsidR="00A749FE" w:rsidRPr="0050285D" w:rsidRDefault="00A749FE" w:rsidP="00792E99">
      <w:pPr>
        <w:pStyle w:val="ZUSTzmustartykuempunktem"/>
      </w:pPr>
      <w:r w:rsidRPr="0050285D">
        <w:t>Παράγραφος 2. Οι άτοκες δαπάνες που αναφέρονται στην παράγραφο 1 δεν μπορούν να υπερβαίνουν το 25 % του συνολικού ποσού του δανείου καθ’ όλη τη διάρκεια αποπληρωμής του δανείου.</w:t>
      </w:r>
    </w:p>
    <w:p w14:paraId="660D4B28" w14:textId="77777777" w:rsidR="00A749FE" w:rsidRPr="0050285D" w:rsidRDefault="00A749FE" w:rsidP="00792E99">
      <w:pPr>
        <w:pStyle w:val="ZUSTzmustartykuempunktem"/>
      </w:pPr>
      <w:r w:rsidRPr="0050285D">
        <w:t>Παράγραφος 3. Εάν οι άτοκες δαπάνες υπερβαίνουν το ανώτατο ποσό των άτοκων δαπανών, όπως ορίζεται στις παραγράφους 1 ή 2, οι άτοκες δαπάνες καταβάλλονται έως το μέγιστο ποσό.</w:t>
      </w:r>
    </w:p>
    <w:p w14:paraId="2709254F" w14:textId="77777777" w:rsidR="00A749FE" w:rsidRPr="0050285D" w:rsidRDefault="00A749FE" w:rsidP="00792E99">
      <w:pPr>
        <w:pStyle w:val="ZUSTzmustartykuempunktem"/>
      </w:pPr>
      <w:r w:rsidRPr="0050285D">
        <w:t>Παράγραφος 4. Οι όροι της σύμβασης δεν μπορούν να αποκλείουν ή να περιορίζουν τις διατάξεις σχετικά με το μέγιστο ποσό των άτοκων δαπανών, ακόμη και αν επιλεγεί αλλοδαπό δίκαιο. Στην περίπτωση αυτή εφαρμόζονται οι διατάξεις του νόμου.</w:t>
      </w:r>
    </w:p>
    <w:p w14:paraId="24E91122" w14:textId="77777777" w:rsidR="00A749FE" w:rsidRPr="0050285D" w:rsidRDefault="00A749FE" w:rsidP="00A749FE">
      <w:pPr>
        <w:pStyle w:val="ZARTzmartartykuempunktem"/>
      </w:pPr>
      <w:r w:rsidRPr="0050285D">
        <w:t>«Άρθρο 720</w:t>
      </w:r>
      <w:r w:rsidRPr="0050285D">
        <w:rPr>
          <w:rStyle w:val="IGindeksgrny"/>
        </w:rPr>
        <w:t>3</w:t>
      </w:r>
      <w:r w:rsidRPr="0050285D">
        <w:t>. Παράγραφος 1. Εάν, στο πλαίσιο της σύναψης σύμβασης που αναφέρεται στο άρθρο 720</w:t>
      </w:r>
      <w:r w:rsidRPr="0050285D">
        <w:rPr>
          <w:rStyle w:val="IGindeksgrny"/>
        </w:rPr>
        <w:t>2</w:t>
      </w:r>
      <w:r w:rsidRPr="0050285D">
        <w:t xml:space="preserve"> παράγραφος 1, ο δανειολήπτης αναλαμβάνει να συστήσει εγγύηση για την αποπληρωμή του δανείου, η υποχρέωση προσδιορίζεται στη σύμβαση. Στην περίπτωση αυτή, η συμφωνία αναφέρει τον τρόπο εξασφάλισης και, ανάλογα με την περίπτωση, το περιουσιακό στοιχείο ή το δικαίωμα που αποτελεί το αντικείμενο της εγγύησης και την αξία της ή το άθροισμα της εγγύησης που καθορίζεται διαφορετικά.</w:t>
      </w:r>
    </w:p>
    <w:p w14:paraId="1C42F921" w14:textId="77777777" w:rsidR="00A749FE" w:rsidRPr="0050285D" w:rsidRDefault="00A749FE" w:rsidP="00792E99">
      <w:pPr>
        <w:pStyle w:val="ZUSTzmustartykuempunktem"/>
      </w:pPr>
      <w:r w:rsidRPr="0050285D">
        <w:lastRenderedPageBreak/>
        <w:t>Παράγραφος 2. Δικαιοπραξία που απαιτεί την παροχή εγγύησης κατά παράβαση της παραγράφου 1 είναι άκυρη.</w:t>
      </w:r>
    </w:p>
    <w:p w14:paraId="505C2E2B" w14:textId="77777777" w:rsidR="00A749FE" w:rsidRPr="0050285D" w:rsidRDefault="00A749FE" w:rsidP="00792E99">
      <w:pPr>
        <w:pStyle w:val="ZUSTzmustartykuempunktem"/>
      </w:pPr>
      <w:r w:rsidRPr="0050285D">
        <w:t>Παράγραφος 3. Το άθροισμα της ασφάλειας των απαιτήσεων βάσει της σύμβασης που αναφέρεται στο άρθρο 720</w:t>
      </w:r>
      <w:r w:rsidRPr="0050285D">
        <w:rPr>
          <w:rStyle w:val="IGindeksgrny"/>
        </w:rPr>
        <w:t>2</w:t>
      </w:r>
      <w:r w:rsidRPr="0050285D">
        <w:t xml:space="preserve"> παράγραφος 1 δεν μπορεί να υπερβαίνει το άθροισμα της αξίας του δανείου συν το μέγιστο επιτόκιο που υπολογίζεται απευθείας επί του ποσού αυτού για την περίοδο για την οποία χορηγήθηκε το δάνειο, τους μέγιστους τόκους υπερημερίας που υπολογίζονται επί του ποσού του δανείου για περίοδο έως 6 μηνών και το μέγιστο ποσό των άτοκων δαπανών, εκτός εάν ορίζεται διαφορετικά σε ειδική διάταξη.</w:t>
      </w:r>
    </w:p>
    <w:p w14:paraId="7B6416E3" w14:textId="77777777" w:rsidR="00A749FE" w:rsidRPr="0050285D" w:rsidRDefault="00A749FE" w:rsidP="00792E99">
      <w:pPr>
        <w:pStyle w:val="ZUSTzmustartykuempunktem"/>
      </w:pPr>
      <w:r w:rsidRPr="0050285D">
        <w:t>Παράγραφος 4. Οι παράγραφοι 1 έως 3 δεν εφαρμόζονται σε εγγύηση υπό τη μορφή υποθήκης ή ενεχύρου.</w:t>
      </w:r>
    </w:p>
    <w:p w14:paraId="49CEF88D" w14:textId="77777777" w:rsidR="00A749FE" w:rsidRPr="0050285D" w:rsidRDefault="00A749FE" w:rsidP="00A749FE">
      <w:pPr>
        <w:pStyle w:val="ZARTzmartartykuempunktem"/>
      </w:pPr>
      <w:r w:rsidRPr="0050285D">
        <w:t>«Άρθρο 720</w:t>
      </w:r>
      <w:r w:rsidRPr="0050285D">
        <w:rPr>
          <w:rStyle w:val="IGindeksgrny"/>
        </w:rPr>
        <w:t>4</w:t>
      </w:r>
      <w:r w:rsidRPr="0050285D">
        <w:t>. Πριν από τη σύναψη της συμφωνίας που αναφέρεται στο άρθρο 720</w:t>
      </w:r>
      <w:r w:rsidRPr="0050285D">
        <w:rPr>
          <w:rStyle w:val="IGindeksgrny"/>
        </w:rPr>
        <w:t>2</w:t>
      </w:r>
      <w:r w:rsidRPr="0050285D">
        <w:t xml:space="preserve"> παράγραφος 1, ο πιστωτής ενημερώνει τον δανειολήπτη με σαφή και κατανοητό τρόπο για το συνολικό κόστος των άτοκων δαπανών, το ποσό των τόκων και το ποσό των τόκων που υποχρεούται να καταβάλει κατά τη σύναψη της σύμβασης.</w:t>
      </w:r>
    </w:p>
    <w:p w14:paraId="24221D41" w14:textId="77777777" w:rsidR="00A749FE" w:rsidRPr="0050285D" w:rsidRDefault="00A749FE" w:rsidP="00A749FE">
      <w:pPr>
        <w:pStyle w:val="ZARTzmartartykuempunktem"/>
      </w:pPr>
      <w:r w:rsidRPr="0050285D">
        <w:t>Άρθρο 720</w:t>
      </w:r>
      <w:r w:rsidRPr="0050285D">
        <w:rPr>
          <w:rStyle w:val="IGindeksgrny"/>
        </w:rPr>
        <w:t>5</w:t>
      </w:r>
      <w:r w:rsidRPr="0050285D">
        <w:rPr>
          <w:rStyle w:val="IGindeksgrny"/>
          <w:vertAlign w:val="baseline"/>
        </w:rPr>
        <w:t>.</w:t>
      </w:r>
      <w:r w:rsidRPr="0050285D">
        <w:t xml:space="preserve"> Παράγραφος 1. </w:t>
      </w:r>
      <w:bookmarkStart w:id="0" w:name="_Hlk8137631"/>
      <w:r w:rsidRPr="0050285D">
        <w:t>Σε περίπτωση πρόωρης αποπληρωμής του δανείου που αναφέρεται στο άρθρο 720</w:t>
      </w:r>
      <w:r w:rsidRPr="0050285D">
        <w:rPr>
          <w:rStyle w:val="IGindeksgrny"/>
        </w:rPr>
        <w:t>2</w:t>
      </w:r>
      <w:r w:rsidRPr="0050285D">
        <w:t xml:space="preserve"> παράγραφος 1, δεν μπορούν να απαιτηθούν τόκοι για το υπόλοιπο διάστημα έως το τέλος της περιόδου για την οποία χορηγήθηκε το δάνειο βάσει της σύμβασης</w:t>
      </w:r>
      <w:bookmarkEnd w:id="0"/>
      <w:r w:rsidRPr="0050285D">
        <w:t>.</w:t>
      </w:r>
    </w:p>
    <w:p w14:paraId="4BC90CE5" w14:textId="77777777" w:rsidR="00742C91" w:rsidRPr="0050285D" w:rsidRDefault="00A749FE" w:rsidP="00742C91">
      <w:pPr>
        <w:pStyle w:val="ZUSTzmustartykuempunktem"/>
      </w:pPr>
      <w:r w:rsidRPr="0050285D">
        <w:t>Παράγραφος 2. Εάν το δάνειο αποπληρωθεί πριν από τη λήξη της προθεσμίας που ορίζεται στη σύμβαση, τα έξοδα που προκύπτουν από τους τόκους μειώνονται κατά τα έξοδα που αφορούν την περίοδο κατά την οποία μειώθηκε η διάρκεια της σύμβασης, ακόμη και αν ο δανειολήπτης επωμίστηκε τα έξοδα αυτά πριν από την αποπληρωμή.»·</w:t>
      </w:r>
    </w:p>
    <w:p w14:paraId="7B009590" w14:textId="77777777" w:rsidR="00A749FE" w:rsidRPr="0050285D" w:rsidRDefault="005F59FD" w:rsidP="00A749FE">
      <w:pPr>
        <w:pStyle w:val="PKTpunkt"/>
      </w:pPr>
      <w:r w:rsidRPr="0050285D">
        <w:t>2)</w:t>
      </w:r>
      <w:r w:rsidRPr="0050285D">
        <w:tab/>
        <w:t>μετά το άρθρο 724 προστίθεται το ακόλουθο άρθρο 724</w:t>
      </w:r>
      <w:r w:rsidRPr="0050285D">
        <w:rPr>
          <w:rStyle w:val="IGindeksgrny"/>
        </w:rPr>
        <w:t xml:space="preserve">1 </w:t>
      </w:r>
      <w:r w:rsidRPr="0050285D">
        <w:t>:</w:t>
      </w:r>
    </w:p>
    <w:p w14:paraId="6076B67D" w14:textId="77777777" w:rsidR="00A749FE" w:rsidRPr="0050285D" w:rsidRDefault="00A749FE" w:rsidP="00A749FE">
      <w:pPr>
        <w:pStyle w:val="ZARTzmartartykuempunktem"/>
      </w:pPr>
      <w:r w:rsidRPr="0050285D">
        <w:t>«Άρθρο 724</w:t>
      </w:r>
      <w:r w:rsidRPr="0050285D">
        <w:rPr>
          <w:rStyle w:val="IGindeksgrny"/>
        </w:rPr>
        <w:t>1</w:t>
      </w:r>
      <w:r w:rsidRPr="0050285D">
        <w:t>. Παράγραφος 1. Οι δανειακές διατάξεις εφαρμόζονται αντίστοιχα σε συμβάσεις που δεν διέπονται από άλλες διατάξεις δυνάμει των οποίων ένα χρηματικό ποσό μεταφέρεται σε φυσικό πρόσωπο με υποχρέωση αποπληρωμής του, οι οποίες δεν συνδέονται άμεσα με την επιχειρηματική ή επαγγελματική δραστηριότητα του εν λόγω προσώπου.</w:t>
      </w:r>
    </w:p>
    <w:p w14:paraId="4543B8F2" w14:textId="77777777" w:rsidR="00A749FE" w:rsidRPr="0050285D" w:rsidRDefault="00A749FE" w:rsidP="00792E99">
      <w:pPr>
        <w:pStyle w:val="ZUSTzmustartykuempunktem"/>
      </w:pPr>
      <w:r w:rsidRPr="0050285D">
        <w:t xml:space="preserve">Παράγραφος 2. Οι διατάξεις του παρόντος τίτλου εφαρμόζονται επίσης, αντιστοίχως, στις συμφωνίες, οι οποίες δεν διέπονται από άλλες διατάξεις, για μεταβίβαση σε φυσικό πρόσωπο, εξ επαχθούς αιτίας, οφειλών ή άλλων περιουσιακών δικαιωμάτων, η αξία των οποίων έχει καθοριστεί με χρηματικό ποσό με υποχρέωση </w:t>
      </w:r>
      <w:r w:rsidRPr="0050285D">
        <w:lastRenderedPageBreak/>
        <w:t>αποπληρωμής, εφόσον οι συμφωνίες αυτές δεν συνδέονται με την επιχειρηματική ή επαγγελματική δραστηριότητα του εν λόγω προσώπου. Στην περίπτωση αυτή, ως συνολική αξία του δανείου νοείται η αξία των εν λόγω απαιτήσεων ή δικαιωμάτων από την ημερομηνία του κανονισμού».</w:t>
      </w:r>
    </w:p>
    <w:p w14:paraId="521AE618" w14:textId="77777777" w:rsidR="00A749FE" w:rsidRPr="0050285D" w:rsidRDefault="00A749FE" w:rsidP="00A749FE">
      <w:pPr>
        <w:pStyle w:val="ARTartustawynprozporzdzenia"/>
      </w:pPr>
      <w:r w:rsidRPr="0050285D">
        <w:rPr>
          <w:rStyle w:val="Ppogrubienie"/>
        </w:rPr>
        <w:t>Άρθρο 2.</w:t>
      </w:r>
      <w:r w:rsidRPr="0050285D">
        <w:t xml:space="preserve"> Στον Κώδικα Πολιτικής Δικονομίας της 17ης Νοεμβρίου 1964 (Επίσημη Εφημερίδα του 2021 θέσεις 1805, 1981 και 2052) πραγματοποιούνται οι ακόλουθες τροποποιήσεις:</w:t>
      </w:r>
    </w:p>
    <w:p w14:paraId="6CF9F9D0" w14:textId="77777777" w:rsidR="00A749FE" w:rsidRPr="0050285D" w:rsidRDefault="00A749FE" w:rsidP="00A749FE">
      <w:pPr>
        <w:pStyle w:val="PKTpunkt"/>
      </w:pPr>
      <w:r w:rsidRPr="0050285D">
        <w:t>1)</w:t>
      </w:r>
      <w:r w:rsidRPr="0050285D">
        <w:tab/>
        <w:t>στο άρθρο 777:</w:t>
      </w:r>
    </w:p>
    <w:p w14:paraId="4CF18B43" w14:textId="77777777" w:rsidR="00A749FE" w:rsidRPr="0050285D" w:rsidRDefault="00A749FE" w:rsidP="00A749FE">
      <w:pPr>
        <w:pStyle w:val="LITlitera"/>
      </w:pPr>
      <w:r w:rsidRPr="0050285D">
        <w:t>α)</w:t>
      </w:r>
      <w:r w:rsidRPr="0050285D">
        <w:tab/>
        <w:t>η ακόλουθη δεύτερη πρόταση προστίθεται στην παράγραφο 2 και διατυπώνεται ως εξής:</w:t>
      </w:r>
    </w:p>
    <w:p w14:paraId="697855FD" w14:textId="77777777" w:rsidR="00A749FE" w:rsidRPr="0050285D" w:rsidRDefault="00A749FE" w:rsidP="00792E99">
      <w:pPr>
        <w:pStyle w:val="ZLITFRAGzmlitfragmentunpzdanialiter"/>
      </w:pPr>
      <w:r w:rsidRPr="0050285D">
        <w:t>«Στην περίπτωση αυτή, η συμβολαιογραφική πράξη αναφέρει την έννομη σχέση αναφορικά με την οποία ο οφειλέτης, την ημερομηνία κατά την οποία γεννήθηκε η υποχρέωση του οφειλέτη, υποβάλλει σε αναγκαστική εκτέλεση το περιεχόμενό της καθώς επίσης και, στην περίπτωση υποχρεώσεων που απορρέουν από αμοιβαίες συμφωνίες, το ευεργέτημα του πιστωτή μαζί με την ημερομηνία εκπλήρωσής της.»</w:t>
      </w:r>
    </w:p>
    <w:p w14:paraId="4887C425" w14:textId="77777777" w:rsidR="00A749FE" w:rsidRPr="0050285D" w:rsidRDefault="00A749FE" w:rsidP="00A749FE">
      <w:pPr>
        <w:pStyle w:val="LITlitera"/>
      </w:pPr>
      <w:r w:rsidRPr="0050285D">
        <w:t>β)</w:t>
      </w:r>
      <w:r w:rsidRPr="0050285D">
        <w:tab/>
        <w:t>μετά την παράγραφο 2 προστίθεται η ακόλουθη παράγραφος 2</w:t>
      </w:r>
      <w:r w:rsidRPr="0050285D">
        <w:rPr>
          <w:rStyle w:val="IGindeksgrny"/>
        </w:rPr>
        <w:t>1</w:t>
      </w:r>
      <w:r w:rsidRPr="0050285D">
        <w:t xml:space="preserve"> και διατυπώνεται ως εξής:</w:t>
      </w:r>
    </w:p>
    <w:p w14:paraId="1B7C953D" w14:textId="77777777" w:rsidR="00A749FE" w:rsidRPr="0050285D" w:rsidRDefault="00A749FE" w:rsidP="00792E99">
      <w:pPr>
        <w:pStyle w:val="ZLITUSTzmustliter"/>
      </w:pPr>
      <w:r w:rsidRPr="0050285D">
        <w:t>«Παράγραφος 2</w:t>
      </w:r>
      <w:r w:rsidRPr="0050285D">
        <w:rPr>
          <w:rStyle w:val="IGindeksgrny"/>
        </w:rPr>
        <w:t>1</w:t>
      </w:r>
      <w:r w:rsidRPr="0050285D">
        <w:t>. Όταν γίνεται δήλωση αναγκαστικής εκτέλεσης για την εξασφάλιση απαιτήσεων που απορρέουν από τη σύναψη από φυσικό πρόσωπο δανειακής σύμβασης η οποία δεν συνδέεται άμεσα με την επιχειρηματική ή επαγγελματική δραστηριότητα του εν λόγω προσώπου ή από τη σύναψη εκ μέρους του εν λόγω προσώπου άλλης σύμβασης στην οποία εφαρμόζονται αντίστοιχα διατάξεις σχετικά με το δάνειο, το χρηματικό ποσό που καταθέτει ο οφειλέτης στην αναγκαστική εκτέλεση δεν μπορεί να υπερβαίνει το άθροισμα της αξίας του δανείου συν τους μέγιστους τόκους που υπολογίζονται άμεσα επί του ποσού αυτού για την περίοδο για την οποία χορηγήθηκε το δάνειο, τους μέγιστους τόκους υπερημερίας που υπολογίζονται επί του ποσού του δανείου για περίοδο έως 6 μηνών και το μέγιστο ποσό των άτοκων δαπανών που προβλέπονται από τον νόμο."·</w:t>
      </w:r>
    </w:p>
    <w:p w14:paraId="1575F7D1" w14:textId="77777777" w:rsidR="00A749FE" w:rsidRPr="0050285D" w:rsidRDefault="00A749FE" w:rsidP="00A749FE">
      <w:pPr>
        <w:pStyle w:val="PKTpunkt"/>
      </w:pPr>
      <w:r w:rsidRPr="0050285D">
        <w:t>2)</w:t>
      </w:r>
      <w:r w:rsidRPr="0050285D">
        <w:tab/>
        <w:t>στο άρθρο 781, μετά την παράγραφο 1</w:t>
      </w:r>
      <w:r w:rsidRPr="0050285D">
        <w:rPr>
          <w:rStyle w:val="IGindeksgrny"/>
        </w:rPr>
        <w:t>3</w:t>
      </w:r>
      <w:r w:rsidRPr="0050285D">
        <w:t>, προστίθεται η ακόλουθη παράγραφος 1</w:t>
      </w:r>
      <w:r w:rsidRPr="0050285D">
        <w:rPr>
          <w:rStyle w:val="IGindeksgrny"/>
        </w:rPr>
        <w:t>4</w:t>
      </w:r>
      <w:r w:rsidRPr="0050285D">
        <w:t>:</w:t>
      </w:r>
    </w:p>
    <w:p w14:paraId="69B0B84F" w14:textId="77777777" w:rsidR="00A749FE" w:rsidRPr="0050285D" w:rsidRDefault="00A749FE" w:rsidP="00792E99">
      <w:pPr>
        <w:pStyle w:val="ZUSTzmustartykuempunktem"/>
      </w:pPr>
      <w:r w:rsidRPr="0050285D">
        <w:t>«Παράγραφος 1</w:t>
      </w:r>
      <w:r w:rsidRPr="0050285D">
        <w:rPr>
          <w:rStyle w:val="IGindeksgrny"/>
        </w:rPr>
        <w:t>4</w:t>
      </w:r>
      <w:r w:rsidRPr="0050285D">
        <w:t xml:space="preserve">. Έγγραφο που επιβεβαιώνει την έκδοση του αντικειμένου του δανείου στον δανειολήπτη ή στο πρόσωπο που ορίζεται από αυτόν θα πρέπει να επισυνάπτεται στην αίτηση για την έκδοση του εκτελεστού τίτλου που αναφέρεται στο </w:t>
      </w:r>
      <w:r w:rsidRPr="0050285D">
        <w:lastRenderedPageBreak/>
        <w:t>άρθρο 777 παράγραφος 1 σημεία 4-6 ή παράγραφος 2 σε σχέση με τη χορήγηση δανείου σε μετρητά που έχει συναφθεί με φυσικό πρόσωπο και δεν συνδέεται άμεσα με την επιχειρηματική ή επαγγελματική δραστηριότητα του εν λόγω προσώπου.».</w:t>
      </w:r>
    </w:p>
    <w:p w14:paraId="3B9B8F0F" w14:textId="77777777" w:rsidR="00A749FE" w:rsidRPr="0050285D" w:rsidRDefault="00A749FE" w:rsidP="007059E1">
      <w:pPr>
        <w:pStyle w:val="ARTartustawynprozporzdzenia"/>
      </w:pPr>
      <w:r w:rsidRPr="0050285D">
        <w:rPr>
          <w:rStyle w:val="Ppogrubienie"/>
        </w:rPr>
        <w:t>Άρθρο 3.</w:t>
      </w:r>
      <w:r w:rsidRPr="0050285D">
        <w:t> Στον περί νόμο ποινικού κώδικα της 6ης Ιουνίου 1997 (Επίσημη Εφημερίδα του 2020 θέσεις 1444 και 1517 και του 2021 θέσεις 1023 και 2054), προστίθεται η ακόλουθη παράγραφος 25 του άρθρου 115 ως εξής:</w:t>
      </w:r>
    </w:p>
    <w:p w14:paraId="59CBFC8D" w14:textId="77777777" w:rsidR="00A749FE" w:rsidRPr="0050285D" w:rsidRDefault="00A749FE" w:rsidP="004644B8">
      <w:pPr>
        <w:pStyle w:val="ZUSTzmustartykuempunktem"/>
      </w:pPr>
      <w:r w:rsidRPr="0050285D">
        <w:t>«Παράγραφος 25. Ως δαπάνες άλλες εκτός από τόκους νοούνται οι εξής:</w:t>
      </w:r>
    </w:p>
    <w:p w14:paraId="01A49FB8" w14:textId="2DA89168" w:rsidR="00A749FE" w:rsidRPr="0050285D" w:rsidRDefault="00A749FE" w:rsidP="00EA3878">
      <w:pPr>
        <w:pStyle w:val="ZPKTzmpktartykuempunktem"/>
      </w:pPr>
      <w:r w:rsidRPr="0050285D">
        <w:t>1)</w:t>
      </w:r>
      <w:r w:rsidRPr="0050285D">
        <w:tab/>
        <w:t>περιθώρια, προμήθειες ή αμοιβές που σχετίζονται με την κατάρτιση συμφωνίας από την οποία προκύπτει η χορήγηση παροχών σε χρήμα ή συμφωνία που σχετίζεται με την παροχή των εν λόγω παροχών ή τη διαχείριση τέτοιων συμφωνιών, ή άλλες τέτοιες δαπάνες,</w:t>
      </w:r>
    </w:p>
    <w:p w14:paraId="238FF7F0" w14:textId="77777777" w:rsidR="00A749FE" w:rsidRPr="0050285D" w:rsidRDefault="00A749FE" w:rsidP="00EA3878">
      <w:pPr>
        <w:pStyle w:val="ZPKTzmpktartykuempunktem"/>
      </w:pPr>
      <w:r w:rsidRPr="0050285D">
        <w:t>2)</w:t>
      </w:r>
      <w:r w:rsidRPr="0050285D">
        <w:tab/>
        <w:t>προμήθειες σχετικά με την αναβολή της ημερομηνίας αποπληρωμής της χορηγηθείσας παροχής σε χρήμα, την καθυστερημένη αποπληρωμή ή άλλες τέτοιες δαπάνες,</w:t>
      </w:r>
    </w:p>
    <w:p w14:paraId="65277E77" w14:textId="77777777" w:rsidR="00A749FE" w:rsidRPr="0050285D" w:rsidRDefault="00A749FE" w:rsidP="00EA3878">
      <w:pPr>
        <w:pStyle w:val="ZPKTzmpktartykuempunktem"/>
      </w:pPr>
      <w:r w:rsidRPr="0050285D">
        <w:t>3)</w:t>
      </w:r>
      <w:r w:rsidRPr="0050285D">
        <w:tab/>
        <w:t>δαπάνες για πρόσθετες υπηρεσίες, ιδίως δαπάνες ασφάλισης, δαπάνες που σχετίζονται με τη σύσταση εγγύησης για την αποπληρωμή παροχών σε χρήμα, δαπάνες απόκτησης πληροφοριών σχετικά με τη χορήγηση της παροχής σε χρήμα, εφόσον οι δαπάνες αυτές είναι αναγκαίες για τη σύναψη των συμφωνιών που αναφέρονται στο σημείο 1,</w:t>
      </w:r>
    </w:p>
    <w:p w14:paraId="372B7D20" w14:textId="77777777" w:rsidR="00A749FE" w:rsidRPr="0050285D" w:rsidRDefault="00A749FE" w:rsidP="00EA3878">
      <w:pPr>
        <w:pStyle w:val="ZPKTzmpktartykuempunktem"/>
      </w:pPr>
      <w:r w:rsidRPr="0050285D">
        <w:t>4)</w:t>
      </w:r>
      <w:r w:rsidRPr="0050285D">
        <w:tab/>
        <w:t>αμοιβή προσώπου που εκπροσώπησε το πρόσωπο που χορηγεί παροχές σε χρήμα κατά τη σύναψη των συμφωνιών που αναφέρονται στο σημείο 1 ή μέσω του οποίου ο πάροχος έχει συνάψει ή παράσχει τις εν λόγω συμφωνίες, τις οποίες αναλαμβάνει άμεσα ο αποδέκτης της υπηρεσίας</w:t>
      </w:r>
    </w:p>
    <w:p w14:paraId="1A6C0759" w14:textId="77777777" w:rsidR="00A749FE" w:rsidRPr="0050285D" w:rsidRDefault="00A749FE" w:rsidP="00EA3878">
      <w:pPr>
        <w:pStyle w:val="ZCZWSPPKTzmczciwsppktartykuempunktem"/>
      </w:pPr>
      <w:r w:rsidRPr="0050285D">
        <w:t>– εξαιρουμένων των συμβολαιογραφικών αμοιβών και των αμοιβών δημοσίου δικαίου που υποχρεούνται να καταβάλλουν τα συμβαλλόμενα μέρη των συμβάσεων που αναφέρονται στο σημείο 1 κατά τη σύναψη των συμβάσεων αυτών.».</w:t>
      </w:r>
    </w:p>
    <w:p w14:paraId="3D62A930" w14:textId="77777777" w:rsidR="00A749FE" w:rsidRPr="0050285D" w:rsidRDefault="00A749FE" w:rsidP="00A749FE">
      <w:pPr>
        <w:pStyle w:val="ARTartustawynprozporzdzenia"/>
      </w:pPr>
      <w:r w:rsidRPr="0050285D">
        <w:rPr>
          <w:rStyle w:val="Ppogrubienie"/>
        </w:rPr>
        <w:t>Άρθρο 4.</w:t>
      </w:r>
      <w:r w:rsidRPr="0050285D">
        <w:t xml:space="preserve"> Στο νόμο περί τραπεζικού δικαίου της 29ης Αυγούστου 1997 (Επίσημη Εφημερίδα του 2020 θέση 1896, όπως τροποποιήθηκε), πραγματοποιούνται οι ακόλουθες τροποποιήσεις:</w:t>
      </w:r>
      <w:r w:rsidR="002066D8" w:rsidRPr="0050285D">
        <w:rPr>
          <w:rStyle w:val="FootnoteReference"/>
        </w:rPr>
        <w:footnoteReference w:id="2"/>
      </w:r>
    </w:p>
    <w:p w14:paraId="0D0177B3" w14:textId="77777777" w:rsidR="00A749FE" w:rsidRPr="0050285D" w:rsidRDefault="00A749FE" w:rsidP="00A749FE">
      <w:pPr>
        <w:pStyle w:val="PKTpunkt"/>
      </w:pPr>
      <w:r w:rsidRPr="0050285D">
        <w:t>1)</w:t>
      </w:r>
      <w:r w:rsidRPr="0050285D">
        <w:tab/>
        <w:t>στο άρθρο 129ια, η παράγραφος 2 διατυπώνεται ως εξής:</w:t>
      </w:r>
    </w:p>
    <w:p w14:paraId="0C59B8AA" w14:textId="77777777" w:rsidR="00A749FE" w:rsidRPr="0050285D" w:rsidRDefault="00A749FE" w:rsidP="00A749FE">
      <w:pPr>
        <w:pStyle w:val="ZUSTzmustartykuempunktem"/>
      </w:pPr>
      <w:r w:rsidRPr="0050285D">
        <w:lastRenderedPageBreak/>
        <w:t>«2. Οι διατάξεις των άρθρων 1 έως 7, των άρθρων 9 έως 11, του άρθρου 40α παράγραφος 1, των άρθρων 49 έως 70, των άρθρων 73 έως 78γ, των άρθρων 80 έως 95, των άρθρων 101-112, του άρθρου 112γ, του άρθρου 112δ, του άρθρου 124, του άρθρου 124α, του άρθρου 133 παράγραφος 3, του άρθρου 137, του άρθρου 138, του άρθρου 139 παράγραφοι 1. 2 και 3, του άρθρου 141 και του άρθρου 171 παράγραφοι 4 έως 7 εφαρμόζονται στα υποκαταστήματα πιστωτικών ιδρυμάτων, αντίστοιχα.»·</w:t>
      </w:r>
    </w:p>
    <w:p w14:paraId="690E12CB" w14:textId="77777777" w:rsidR="00A749FE" w:rsidRPr="0050285D" w:rsidRDefault="00A749FE" w:rsidP="00A749FE">
      <w:pPr>
        <w:pStyle w:val="PKTpunkt"/>
      </w:pPr>
      <w:r w:rsidRPr="0050285D">
        <w:t>2)</w:t>
      </w:r>
      <w:r w:rsidRPr="0050285D">
        <w:tab/>
        <w:t>Το άρθρο 78β και το άρθρο 78γ προστίθενται μετά το άρθρο 78α και διατυπώνονται ως εξής:</w:t>
      </w:r>
    </w:p>
    <w:p w14:paraId="5BF3E90F" w14:textId="558C9985" w:rsidR="00A749FE" w:rsidRPr="0050285D" w:rsidRDefault="00A749FE" w:rsidP="00A749FE">
      <w:pPr>
        <w:pStyle w:val="ZARTzmartartykuempunktem"/>
      </w:pPr>
      <w:r w:rsidRPr="0050285D">
        <w:t>«Άρθρο 78β. 1. Το μέγιστο ποσό των άτοκων δαπανών της δανειακής σύμβασης ή του δανείου σε μετρητά που συνάπτεται με τον καταναλωτή δεν υπερβαίνει το μέγιστο ποσό των άτοκων δαπανών που αναφέρεται στο άρθρο 36α παράγραφοι 1 έως 2 του νόμου περί καταναλωτικής πίστης της 12ης Μαΐου 2011, ακόμη και αν οι διατάξεις του εν λόγω νόμου δεν εφαρμόζονται στη σύμβαση που πρόκειται να συναφθεί.</w:t>
      </w:r>
    </w:p>
    <w:p w14:paraId="3740D332" w14:textId="0DEA713D" w:rsidR="00A749FE" w:rsidRPr="0050285D" w:rsidRDefault="00A749FE" w:rsidP="00861C3B">
      <w:pPr>
        <w:pStyle w:val="ZUSTzmustartykuempunktem"/>
      </w:pPr>
      <w:r w:rsidRPr="0050285D">
        <w:t>2. Όταν οι άτοκες δαπάνες που προκύπτουν από δανειακή σύμβαση ή σύμβαση δανείου σε μετρητά που έχει συναφθεί με καταναλωτή υπερβαίνουν το μέγιστο ποσό των άτοκων δαπανών που υπολογίζονται όπως ορίζεται στο άρθρο 36α παράγραφοι 1 έως 2 του νόμου περί καταναλωτικής πίστης της 12ης Μαΐου 2011, εφαρμόζεται η παράγραφος 1 αντίστοιχα.</w:t>
      </w:r>
    </w:p>
    <w:p w14:paraId="4CF2EA79" w14:textId="77777777" w:rsidR="00A749FE" w:rsidRPr="0050285D" w:rsidRDefault="00A749FE" w:rsidP="00A749FE">
      <w:pPr>
        <w:pStyle w:val="ZARTzmartartykuempunktem"/>
      </w:pPr>
      <w:r w:rsidRPr="0050285D">
        <w:t>Άρθρο 78γ. Οι διατάξεις του άρθρου 720</w:t>
      </w:r>
      <w:r w:rsidRPr="0050285D">
        <w:rPr>
          <w:rStyle w:val="IGindeksgrny"/>
        </w:rPr>
        <w:t>3</w:t>
      </w:r>
      <w:r w:rsidRPr="0050285D">
        <w:t xml:space="preserve"> παράγραφος 3 του αστικού κώδικα δεν εφαρμόζονται σε δανειακή σύμβαση και χρηματικό δάνειο που χορηγείται από τράπεζα.».</w:t>
      </w:r>
    </w:p>
    <w:p w14:paraId="1E19FE79" w14:textId="36DF058B" w:rsidR="00703521" w:rsidRPr="0050285D" w:rsidRDefault="00A749FE" w:rsidP="00A749FE">
      <w:pPr>
        <w:pStyle w:val="ARTartustawynprozporzdzenia"/>
      </w:pPr>
      <w:r w:rsidRPr="0050285D">
        <w:rPr>
          <w:rStyle w:val="Ppogrubienie"/>
        </w:rPr>
        <w:t>Άρθρο 5.</w:t>
      </w:r>
      <w:r w:rsidRPr="0050285D">
        <w:t xml:space="preserve"> Ο </w:t>
      </w:r>
      <w:bookmarkStart w:id="1" w:name="_Hlk86070010"/>
      <w:r w:rsidRPr="0050285D">
        <w:t xml:space="preserve">νόμος για την εποπτεία της χρηματοπιστωτικής αγοράς </w:t>
      </w:r>
      <w:bookmarkEnd w:id="1"/>
      <w:r w:rsidRPr="0050285D">
        <w:t>της 21ης Ιουλίου 2006 (Επίσημη Εφημερίδα του 2020 θέση 2059 και Επίσημη Εφημερίδα του 2021 θέσεις 680, 815, 1598 και 2140) τροποποιείται ως εξής:</w:t>
      </w:r>
    </w:p>
    <w:p w14:paraId="66442B9E" w14:textId="77777777" w:rsidR="00A749FE" w:rsidRPr="0050285D" w:rsidRDefault="000B3A10" w:rsidP="000B3A10">
      <w:pPr>
        <w:pStyle w:val="PKTpunkt"/>
      </w:pPr>
      <w:r w:rsidRPr="0050285D">
        <w:t>1) Στο άρθρο 1 παράγραφος 2 εδάφιο 11, η τελεία αντικαθίσταται από άνω τελεία και προστίθεται το ακόλουθο εδάφιο 12:</w:t>
      </w:r>
    </w:p>
    <w:p w14:paraId="604A270F" w14:textId="24E47945" w:rsidR="00703521" w:rsidRPr="0050285D" w:rsidRDefault="00A749FE" w:rsidP="00A749FE">
      <w:pPr>
        <w:pStyle w:val="ZPKTzmpktartykuempunktem"/>
      </w:pPr>
      <w:r w:rsidRPr="0050285D">
        <w:t>«12)</w:t>
      </w:r>
      <w:r w:rsidRPr="0050285D">
        <w:tab/>
        <w:t>εποπτεία των πιστωτικών ιδρυμάτων σύμφωνα με τις διατάξεις του νόμου περί καταναλωτικής πίστης της 12ης Μαΐου 2011 (Επίσημη Εφημερίδα του 2019 θέση 1083, Επίσημη Εφημερίδα του 2020 θέση 2320 και Επίσημη Εφημερίδα του 2021 θέση 1655).»·</w:t>
      </w:r>
    </w:p>
    <w:p w14:paraId="17C9626A" w14:textId="77777777" w:rsidR="00A749FE" w:rsidRPr="0050285D" w:rsidRDefault="000B3A10" w:rsidP="000B3A10">
      <w:pPr>
        <w:pStyle w:val="PKTpunkt"/>
      </w:pPr>
      <w:r w:rsidRPr="0050285D">
        <w:t xml:space="preserve">2) στο άρθρο 6β παράγραφος 1 πρώτη πρόταση, η φράση «ή τα άρθρα 150 και 151 του νόμου για τις υπηρεσίες πληρωμών της 19ης Αυγούστου 2011» αντικαθίσταται από τη φράση </w:t>
      </w:r>
      <w:r w:rsidRPr="0050285D">
        <w:lastRenderedPageBreak/>
        <w:t>«</w:t>
      </w:r>
      <w:bookmarkStart w:id="2" w:name="_Hlk86069935"/>
      <w:r w:rsidRPr="0050285D">
        <w:t>, 150 και 151 του νόμου περί υπηρεσιών πληρωμών της 19ης Αυγούστου 2011 ή τα άρθρα 59η και 59θ του νόμου περί καταναλωτικής πίστης</w:t>
      </w:r>
      <w:bookmarkEnd w:id="2"/>
      <w:r w:rsidRPr="0050285D">
        <w:t>».</w:t>
      </w:r>
    </w:p>
    <w:p w14:paraId="23D12891" w14:textId="62E87149" w:rsidR="00A749FE" w:rsidRPr="0050285D" w:rsidRDefault="00A749FE" w:rsidP="00A749FE">
      <w:pPr>
        <w:pStyle w:val="ARTartustawynprozporzdzenia"/>
      </w:pPr>
      <w:r w:rsidRPr="0050285D">
        <w:rPr>
          <w:rStyle w:val="Ppogrubienie"/>
        </w:rPr>
        <w:t>Άρθρο 6.</w:t>
      </w:r>
      <w:r w:rsidRPr="0050285D">
        <w:t> Στο άρθρο 36, οι παράγραφοι 1α και 2 του νόμου περί συνεταιριστικής αποταμίευσης και πιστωτικών ενώσεων της 5ης Νοεμβρίου 2009 (Επίσημη Εφημερίδα του 2021 θέσεις 1844 και 2140) διατυπώνονται ως εξής:</w:t>
      </w:r>
    </w:p>
    <w:p w14:paraId="2A0E1506" w14:textId="77777777" w:rsidR="00A749FE" w:rsidRPr="0050285D" w:rsidRDefault="00A749FE" w:rsidP="00A749FE">
      <w:pPr>
        <w:pStyle w:val="ZUSTzmustartykuempunktem"/>
      </w:pPr>
      <w:r w:rsidRPr="0050285D">
        <w:t>«1α. Οι διατάξεις του άρθρου 75γ παράγραφοι 1 έως 5, του άρθρου 78β και του άρθρου 78γ του νόμου περί τραπεζών της 29ης Αυγούστου 1997 εφαρμόζονται αντίστοιχα στις δανειακές συμβάσεις που συνάπτονται από συνεταιριστικές αποταμιεύσεις και πιστωτικές ενώσεις.</w:t>
      </w:r>
    </w:p>
    <w:p w14:paraId="7949528E" w14:textId="77777777" w:rsidR="00A749FE" w:rsidRPr="0050285D" w:rsidRDefault="00A749FE" w:rsidP="00A749FE">
      <w:pPr>
        <w:pStyle w:val="ZUSTzmustartykuempunktem"/>
      </w:pPr>
      <w:r w:rsidRPr="0050285D">
        <w:t>2. Οι διατάξεις του άρθρου 69, του άρθρου 70, των άρθρων 74 έως 78, του άρθρου 78β και του άρθρου 78γ του νόμου περί τραπεζών της 29ης Αυγούστου 1997 εφαρμόζονται αντιστοίχως στις δανειακές συμβάσεις που συνάπτονται από συνεταιριστικές αποταμιεύσεις και πιστωτικές ενώσεις».</w:t>
      </w:r>
    </w:p>
    <w:p w14:paraId="0CF10774" w14:textId="77777777" w:rsidR="00A749FE" w:rsidRPr="0050285D" w:rsidRDefault="00A749FE" w:rsidP="00A749FE">
      <w:pPr>
        <w:pStyle w:val="ARTartustawynprozporzdzenia"/>
      </w:pPr>
      <w:r w:rsidRPr="0050285D">
        <w:rPr>
          <w:rStyle w:val="Ppogrubienie"/>
        </w:rPr>
        <w:t>Άρθρο 7.</w:t>
      </w:r>
      <w:r w:rsidRPr="0050285D">
        <w:t> Ο περί νόμος καταναλωτικών δανείων της 12ης Μαΐου 2011 (Επίσημη Εφημερίδα του 2019 θέση 1083, Επίσημη Εφημερίδα του 2020 θέση 2320 και Επίσημη Εφημερίδα του 2021 θέση 1655) τροποποιείται ως εξής:</w:t>
      </w:r>
    </w:p>
    <w:p w14:paraId="15B795FB" w14:textId="77777777" w:rsidR="00AF4785" w:rsidRPr="0050285D" w:rsidRDefault="00A749FE" w:rsidP="00D460F1">
      <w:pPr>
        <w:pStyle w:val="PKTpunkt"/>
      </w:pPr>
      <w:r w:rsidRPr="0050285D">
        <w:t>1)</w:t>
      </w:r>
      <w:r w:rsidRPr="0050285D">
        <w:tab/>
        <w:t>στο άρθρο 5, μετά το σημείο 3, προστίθεται το ακόλουθο σημείο 3α:</w:t>
      </w:r>
    </w:p>
    <w:p w14:paraId="3F01716F" w14:textId="77777777" w:rsidR="00AF4785" w:rsidRPr="0050285D" w:rsidRDefault="00AF4785" w:rsidP="00AF4785">
      <w:pPr>
        <w:pStyle w:val="PKTpunkt"/>
        <w:ind w:hanging="340"/>
      </w:pPr>
      <w:r w:rsidRPr="0050285D">
        <w:tab/>
        <w:t>«3α) συνδεδεμένο μέρος – συνδεδεμένο μέρος κατά την έννοια του κανονισμού (ΕΚ) αριθ. 1126/2008 της Επιτροπής, της 3ης Νοεμβρίου 2008, για την υιοθέτηση ορισμένων διεθνών λογιστικών προτύπων σύμφωνα με τον κανονισμό (ΕΚ) αριθ. 1606/2002 του Ευρωπαϊκού Κοινοβουλίου και του Συμβουλίου (ΕΕ L 320 της 29.11.2008, σ. 1, όπως τροποποιήθηκε</w:t>
      </w:r>
      <w:r w:rsidRPr="0050285D">
        <w:rPr>
          <w:vertAlign w:val="superscript"/>
        </w:rPr>
        <w:footnoteReference w:id="3"/>
      </w:r>
      <w:r w:rsidRPr="0050285D">
        <w:rPr>
          <w:vertAlign w:val="superscript"/>
        </w:rPr>
        <w:t>)</w:t>
      </w:r>
      <w:r w:rsidRPr="0050285D">
        <w:t>)·»·</w:t>
      </w:r>
    </w:p>
    <w:p w14:paraId="35699275" w14:textId="77777777" w:rsidR="00A749FE" w:rsidRPr="0050285D" w:rsidRDefault="00A749FE" w:rsidP="00A749FE">
      <w:pPr>
        <w:pStyle w:val="PKTpunkt"/>
      </w:pPr>
      <w:r w:rsidRPr="0050285D">
        <w:lastRenderedPageBreak/>
        <w:t>2)</w:t>
      </w:r>
      <w:r w:rsidRPr="0050285D">
        <w:tab/>
        <w:t>Το άρθρο 10α προστίθεται μετά το άρθρο 10 και διατυπώνεται ως εξής:</w:t>
      </w:r>
    </w:p>
    <w:p w14:paraId="2E2451E5" w14:textId="77777777" w:rsidR="00A749FE" w:rsidRPr="0050285D" w:rsidRDefault="00A749FE" w:rsidP="005E4C63">
      <w:pPr>
        <w:pStyle w:val="ZARTzmartartykuempunktem"/>
      </w:pPr>
      <w:r w:rsidRPr="0050285D">
        <w:t xml:space="preserve">«Άρθρο 10α. 1. Ο πιστωτής υποβάλλει τη χορήγηση καταναλωτικού δανείου σε θετική αξιολόγηση της πιστοληπτικής ικανότητας. Πριν από τη χορήγηση καταναλωτικού δανείου σε καταναλωτή, ο πιστωτής υποχρεούται να λάβει από τον καταναλωτή δήλωση σχετικά με τα έσοδα και τις δαπάνες του καταναλωτή στον βαθμό που απαιτείται για την αξιολόγηση της πιστοληπτικής ικανότητας του καταναλωτή που αναφέρεται στο άρθρο 9 και να αναλύσει τον πιστωτικό κίνδυνο. </w:t>
      </w:r>
    </w:p>
    <w:p w14:paraId="42668B4B" w14:textId="77777777" w:rsidR="00A749FE" w:rsidRPr="0050285D" w:rsidRDefault="00A749FE" w:rsidP="00A749FE">
      <w:pPr>
        <w:pStyle w:val="ZUSTzmustartykuempunktem"/>
      </w:pPr>
      <w:r w:rsidRPr="0050285D">
        <w:t>2. Ο πιστωτής επαληθεύει τη δήλωση που αναφέρεται στην παράγραφο 1.</w:t>
      </w:r>
    </w:p>
    <w:p w14:paraId="72FA9290" w14:textId="77777777" w:rsidR="00A749FE" w:rsidRPr="0050285D" w:rsidRDefault="00A749FE" w:rsidP="00A749FE">
      <w:pPr>
        <w:pStyle w:val="ZUSTzmustartykuempunktem"/>
      </w:pPr>
      <w:r w:rsidRPr="0050285D">
        <w:t>3. Η επαλήθευση που αναφέρεται στην παράγραφο 2 μπορεί να πραγματοποιείται, ιδίως, βάσει εγγράφων που καταρτίζει ο εργοδότης και προσκομίζει ο καταναλωτής ή η δημόσια διοίκηση, ή βάσει δεδομένων που συλλέγονται, υποβάλλονται σε επεξεργασία και ανταλλάσσονται από:</w:t>
      </w:r>
    </w:p>
    <w:p w14:paraId="11D581BF" w14:textId="77777777" w:rsidR="00A749FE" w:rsidRPr="0050285D" w:rsidRDefault="00A749FE" w:rsidP="005E4C63">
      <w:pPr>
        <w:pStyle w:val="ZPKTzmpktartykuempunktem"/>
      </w:pPr>
      <w:r w:rsidRPr="0050285D">
        <w:t>1)</w:t>
      </w:r>
      <w:r w:rsidRPr="0050285D">
        <w:tab/>
        <w:t>ιδρύματα που αναφέρονται στο άρθρο 105 παράγραφος 4 του νόμου περί τραπεζικού δικαίου της 29ης Αυγούστου 1997, ή</w:t>
      </w:r>
    </w:p>
    <w:p w14:paraId="46DF315C" w14:textId="7DD6A74F" w:rsidR="00A749FE" w:rsidRPr="0050285D" w:rsidRDefault="00A749FE" w:rsidP="005E4C63">
      <w:pPr>
        <w:pStyle w:val="ZPKTzmpktartykuempunktem"/>
      </w:pPr>
      <w:r w:rsidRPr="0050285D">
        <w:t>2)</w:t>
      </w:r>
      <w:r w:rsidRPr="0050285D">
        <w:tab/>
        <w:t>γραφεία επιχειρηματικών πληροφοριών που αναφέρονται στον νόμο της 9ης Απριλίου 2010 για την ανταλλαγή επιχειρηματικών πληροφοριών και οικονομικών δεδομένων (Επίσημη Εφημερίδα του 2021 θέση 2057).</w:t>
      </w:r>
    </w:p>
    <w:p w14:paraId="7B75805E" w14:textId="77777777" w:rsidR="00A749FE" w:rsidRPr="0050285D" w:rsidRDefault="00A749FE" w:rsidP="00A749FE">
      <w:pPr>
        <w:pStyle w:val="ZUSTzmustartykuempunktem"/>
      </w:pPr>
      <w:r w:rsidRPr="0050285D">
        <w:t>4. Η δήλωση του καταναλωτή μαζί με τις πληροφορίες που λαμβάνει ο πιστωτής επισυνάπτονται στη σύμβαση καταναλωτικού δανείου.</w:t>
      </w:r>
    </w:p>
    <w:p w14:paraId="65CA9034" w14:textId="77777777" w:rsidR="00A749FE" w:rsidRPr="0050285D" w:rsidRDefault="00A749FE" w:rsidP="00A749FE">
      <w:pPr>
        <w:pStyle w:val="ZUSTzmustartykuempunktem"/>
      </w:pPr>
      <w:r w:rsidRPr="0050285D">
        <w:t>5. Όταν ο πιστωτής έχει χορηγήσει καταναλωτικό δάνειο κατά παράβαση των διατάξεων των παραγράφων 1 και 2 ή όταν από τη δήλωση του καταναλωτή και τις πληροφορίες που έλαβε ο πιστωτής προκύπτει ότι, κατά την ημερομηνία σύναψης της σύμβασης καταναλωτικού δανείου, ο καταναλωτής είχε καθυστερήσει άλλη υποχρέωση σε μετρητά για διάστημα μεγαλύτερο των έξι μηνών και ότι το καταναλωτικό δάνειο δεν χρησιμοποιήθηκε για την εξόφληση των καθυστερούμενων οφειλών, τότε:</w:t>
      </w:r>
    </w:p>
    <w:p w14:paraId="270B170C" w14:textId="77777777" w:rsidR="00A749FE" w:rsidRPr="0050285D" w:rsidRDefault="00A749FE" w:rsidP="00664951">
      <w:pPr>
        <w:pStyle w:val="ZPKTzmpktartykuempunktem"/>
      </w:pPr>
      <w:r w:rsidRPr="0050285D">
        <w:t>1)</w:t>
      </w:r>
      <w:r w:rsidRPr="0050285D">
        <w:tab/>
        <w:t>η πώληση απαιτήσεων βάσει της συμφωνίας μέσω μεταβίβασης ή με άλλο τρόπο είναι άκυρη·</w:t>
      </w:r>
    </w:p>
    <w:p w14:paraId="6F80005F" w14:textId="05D7E15E" w:rsidR="00A749FE" w:rsidRPr="0050285D" w:rsidRDefault="00A749FE" w:rsidP="00664951">
      <w:pPr>
        <w:pStyle w:val="ZPKTzmpktartykuempunktem"/>
      </w:pPr>
      <w:r w:rsidRPr="0050285D">
        <w:t>2)</w:t>
      </w:r>
      <w:r w:rsidRPr="0050285D">
        <w:tab/>
        <w:t xml:space="preserve">η είσπραξη απαίτησης είναι παραδεκτή μόνο μετά την ημερομηνία πλήρους εξόφλησης της προγενέστερης οφειλής, τη λήξη της ή αφού το δικαστήριο διαπιστώσει οριστικά ότι η υποχρέωση δεν υφίσταται —χωρίς η απαγόρευση εκποίησης και είσπραξης της απαίτησης να αναστέλλει την προθεσμία </w:t>
      </w:r>
      <w:r w:rsidRPr="0050285D">
        <w:lastRenderedPageBreak/>
        <w:t>παραγραφής. Οι τόκοι ή οι άτοκες δαπάνες καθώς και άλλες δαπάνες που σχετίζονται με την απαίτηση δεν μπορούν να προστεθούν για το χρονικό διάστημα κατά το οποίο η απαίτηση δεν μπορεί να εκποιηθεί ή να εισπραχθεί.</w:t>
      </w:r>
    </w:p>
    <w:p w14:paraId="1C9B34A0" w14:textId="77777777" w:rsidR="00A749FE" w:rsidRPr="0050285D" w:rsidRDefault="00A749FE" w:rsidP="00A749FE">
      <w:pPr>
        <w:pStyle w:val="ZUSTzmustartykuempunktem"/>
      </w:pPr>
      <w:r w:rsidRPr="0050285D">
        <w:t>6. Οι περιστάσεις που αναφέρονται στην παράγραφο 5 εδάφιο 2 εξετάζονται από το δικαστήριο κατόπιν των ισχυρισμών του καταναλωτή.</w:t>
      </w:r>
    </w:p>
    <w:p w14:paraId="558DF72A" w14:textId="02DB87DC" w:rsidR="00A749FE" w:rsidRPr="0050285D" w:rsidRDefault="00A749FE" w:rsidP="00E66F6C">
      <w:pPr>
        <w:pStyle w:val="ZUSTzmustartykuempunktem"/>
      </w:pPr>
      <w:r w:rsidRPr="0050285D">
        <w:t>7. Ο πιστωτής που έχει χορηγήσει καταναλωτικό δάνειο παρέχει αμέσως πληροφορίες σχετικά με τη χορήγηση στο ίδρυμα που αναφέρεται στο άρθρο 105 παράγραφος 4 του νόμου περί τραπεζικού δικαίου της 29ης Αυγούστου 1997. Οι πληροφορίες σχετικά με τις καθυστερούμενες οφειλές του δανείου κοινοποιούνται στο εν λόγω ίδρυμα ή στο γραφείο επιχειρηματικών πληροφοριών που αναφέρεται στον νόμο της 9ης Απριλίου 2010 για την παροχή οικονομικών πληροφοριών και την ανταλλαγή οικονομικών δεδομένων.</w:t>
      </w:r>
    </w:p>
    <w:p w14:paraId="424FF574" w14:textId="77777777" w:rsidR="00A749FE" w:rsidRPr="0050285D" w:rsidRDefault="00A749FE" w:rsidP="00A749FE">
      <w:pPr>
        <w:pStyle w:val="ZUSTzmustartykuempunktem"/>
      </w:pPr>
      <w:r w:rsidRPr="0050285D">
        <w:t>8. Οι διατάξεις της παραγράφου 1-7 δεν εφαρμόζονται στους δανειστές που είναι τράπεζες ή συνεταιριστικές αποταμιεύσεις και πιστωτικές ενώσεις που χορηγούν καταναλωτικά δάνεια.»·</w:t>
      </w:r>
    </w:p>
    <w:p w14:paraId="10882BE6" w14:textId="77777777" w:rsidR="00A749FE" w:rsidRPr="0050285D" w:rsidRDefault="00A749FE" w:rsidP="00A749FE">
      <w:pPr>
        <w:pStyle w:val="PKTpunkt"/>
      </w:pPr>
      <w:r w:rsidRPr="0050285D">
        <w:t>3)</w:t>
      </w:r>
      <w:r w:rsidRPr="0050285D">
        <w:tab/>
        <w:t>στο άρθρο 30 παράγραφος 1, μετά το εδάφιο 10 προστίθεται το ακόλουθο εδάφιο 10α και διατυπώνεται ως εξής:</w:t>
      </w:r>
    </w:p>
    <w:p w14:paraId="5308D857" w14:textId="77777777" w:rsidR="00A749FE" w:rsidRPr="0050285D" w:rsidRDefault="00A749FE" w:rsidP="004644B8">
      <w:pPr>
        <w:pStyle w:val="ZPKTzmpktartykuempunktem"/>
      </w:pPr>
      <w:r w:rsidRPr="0050285D">
        <w:t>«10α)</w:t>
      </w:r>
      <w:r w:rsidRPr="0050285D">
        <w:tab/>
        <w:t>τον αριθμό τραπεζικού λογαριασμού για την εξόφληση της πίστωσης, εφόσον η σύμβαση προβλέπει την καταβολή δόσεων από τον ίδιο τον καταναλωτή·»·</w:t>
      </w:r>
    </w:p>
    <w:p w14:paraId="15606DE1" w14:textId="77777777" w:rsidR="00A749FE" w:rsidRPr="0050285D" w:rsidRDefault="00A749FE" w:rsidP="00A749FE">
      <w:pPr>
        <w:pStyle w:val="PKTpunkt"/>
      </w:pPr>
      <w:r w:rsidRPr="0050285D">
        <w:t>4)</w:t>
      </w:r>
      <w:r w:rsidRPr="0050285D">
        <w:tab/>
        <w:t>στο άρθρο 36α:</w:t>
      </w:r>
    </w:p>
    <w:p w14:paraId="2F641646" w14:textId="77777777" w:rsidR="00373FE7" w:rsidRPr="0050285D" w:rsidRDefault="00373FE7" w:rsidP="00D460F1">
      <w:pPr>
        <w:pStyle w:val="LITlitera"/>
      </w:pPr>
      <w:r w:rsidRPr="0050285D">
        <w:t>α)</w:t>
      </w:r>
      <w:r w:rsidRPr="0050285D">
        <w:tab/>
        <w:t>η παράγραφος 1 διατυπώνεται ως εξής:</w:t>
      </w:r>
    </w:p>
    <w:p w14:paraId="2DB7447C" w14:textId="77777777" w:rsidR="00951C78" w:rsidRPr="0050285D" w:rsidRDefault="00951C78" w:rsidP="00951C78">
      <w:pPr>
        <w:pStyle w:val="ZARTzmartartykuempunktem"/>
      </w:pPr>
      <w:bookmarkStart w:id="3" w:name="_Hlk85799826"/>
      <w:r w:rsidRPr="0050285D">
        <w:t xml:space="preserve">«1. </w:t>
      </w:r>
      <w:bookmarkEnd w:id="3"/>
      <w:r w:rsidRPr="0050285D">
        <w:t>Το μέγιστο κόστος άτοκων δαπανών καταναλωτικού δανείου για δάνεια με περίοδο αποπληρωμής τουλάχιστον 30 ημερών υπολογίζεται σύμφωνα με τον ακόλουθο τύπο:</w:t>
      </w:r>
    </w:p>
    <w:p w14:paraId="6ACB26B4" w14:textId="77777777" w:rsidR="00951C78" w:rsidRPr="0050285D" w:rsidRDefault="00951C78" w:rsidP="00951C78">
      <w:pPr>
        <w:pStyle w:val="ZWMATFIZCHEMzmwzorumatfizlubchemartykuempunktem"/>
        <w:rPr>
          <w:rStyle w:val="Kkursywa"/>
        </w:rPr>
      </w:pPr>
      <w:bookmarkStart w:id="4" w:name="_Hlk85800345"/>
      <w:r w:rsidRPr="0050285D">
        <w:rPr>
          <w:rStyle w:val="Kkursywa"/>
        </w:rPr>
        <w:t>MPKK = (K × 10 %) + (K × n/R × 10 %)</w:t>
      </w:r>
    </w:p>
    <w:bookmarkEnd w:id="4"/>
    <w:p w14:paraId="0E98C98B" w14:textId="77777777" w:rsidR="00951C78" w:rsidRPr="0050285D" w:rsidRDefault="00951C78" w:rsidP="00951C78">
      <w:pPr>
        <w:pStyle w:val="ZLEGWMATFIZCHEMzmlegendywzorumatfizlubchemartykuempunktem"/>
      </w:pPr>
      <w:r w:rsidRPr="0050285D">
        <w:t>τα εκάστοτε σύμβολα νοούνται ως:</w:t>
      </w:r>
    </w:p>
    <w:p w14:paraId="1678A09B" w14:textId="77777777" w:rsidR="00951C78" w:rsidRPr="0050285D" w:rsidRDefault="00951C78" w:rsidP="00951C78">
      <w:pPr>
        <w:pStyle w:val="ZLEGWMATFIZCHEMzmlegendywzorumatfizlubchemartykuempunktem"/>
      </w:pPr>
      <w:r w:rsidRPr="0050285D">
        <w:rPr>
          <w:rStyle w:val="Kkursywa"/>
        </w:rPr>
        <w:t>MPKK</w:t>
      </w:r>
      <w:r w:rsidRPr="0050285D">
        <w:t xml:space="preserve"> – το μέγιστο ποσό των άτοκων δαπανών δανείου,</w:t>
      </w:r>
    </w:p>
    <w:p w14:paraId="2CB61C3F" w14:textId="77777777" w:rsidR="00951C78" w:rsidRPr="0050285D" w:rsidRDefault="00951C78" w:rsidP="00951C78">
      <w:pPr>
        <w:pStyle w:val="ZLEGWMATFIZCHEMzmlegendywzorumatfizlubchemartykuempunktem"/>
      </w:pPr>
      <w:r w:rsidRPr="0050285D">
        <w:rPr>
          <w:rStyle w:val="Kkursywa"/>
        </w:rPr>
        <w:t>K</w:t>
      </w:r>
      <w:r w:rsidRPr="0050285D">
        <w:t xml:space="preserve"> – το συνολικό ποσό του δανείου,</w:t>
      </w:r>
    </w:p>
    <w:p w14:paraId="616670BB" w14:textId="77777777" w:rsidR="00951C78" w:rsidRPr="0050285D" w:rsidRDefault="00951C78" w:rsidP="00951C78">
      <w:pPr>
        <w:pStyle w:val="ZLEGWMATFIZCHEMzmlegendywzorumatfizlubchemartykuempunktem"/>
      </w:pPr>
      <w:r w:rsidRPr="0050285D">
        <w:rPr>
          <w:rStyle w:val="Kkursywa"/>
        </w:rPr>
        <w:t>n</w:t>
      </w:r>
      <w:r w:rsidRPr="0050285D">
        <w:t xml:space="preserve"> – η προθεσμία αποπληρωμής σε ημέρες,</w:t>
      </w:r>
    </w:p>
    <w:p w14:paraId="31FF9997" w14:textId="77777777" w:rsidR="00951C78" w:rsidRPr="0050285D" w:rsidRDefault="00951C78" w:rsidP="00951C78">
      <w:pPr>
        <w:pStyle w:val="ZLEGWMATFIZCHEMzmlegendywzorumatfizlubchemartykuempunktem"/>
      </w:pPr>
      <w:r w:rsidRPr="0050285D">
        <w:rPr>
          <w:rStyle w:val="Kkursywa"/>
        </w:rPr>
        <w:t xml:space="preserve">R </w:t>
      </w:r>
      <w:r w:rsidRPr="0050285D">
        <w:t>– ο αριθμός ημερών ανά έτος.»,</w:t>
      </w:r>
    </w:p>
    <w:p w14:paraId="35B3FFA9" w14:textId="77777777" w:rsidR="00373FE7" w:rsidRPr="0050285D" w:rsidRDefault="00373FE7" w:rsidP="00D460F1">
      <w:pPr>
        <w:pStyle w:val="LITlitera"/>
      </w:pPr>
      <w:r w:rsidRPr="0050285D">
        <w:t>β)</w:t>
      </w:r>
      <w:r w:rsidRPr="0050285D">
        <w:tab/>
        <w:t>μετά την παράγραφο 1 προστίθεται η ακόλουθη παράγραφος 1α και διατυπώνεται ως εξής:</w:t>
      </w:r>
    </w:p>
    <w:p w14:paraId="5563CD03" w14:textId="77777777" w:rsidR="00951C78" w:rsidRPr="0050285D" w:rsidRDefault="00373FE7" w:rsidP="00951C78">
      <w:pPr>
        <w:pStyle w:val="ZUSTzmustartykuempunktem"/>
      </w:pPr>
      <w:bookmarkStart w:id="5" w:name="_Hlk85799988"/>
      <w:r w:rsidRPr="0050285D">
        <w:lastRenderedPageBreak/>
        <w:t>«</w:t>
      </w:r>
      <w:bookmarkEnd w:id="5"/>
      <w:r w:rsidRPr="0050285D">
        <w:t>1α. Το μέγιστο κόστος άτοκων δαπανών καταναλωτικού δανείου με περίοδο αποπληρωμής μικρότερη των 30 ημερών υπολογίζεται σύμφωνα με τον ακόλουθο τύπο:</w:t>
      </w:r>
    </w:p>
    <w:p w14:paraId="70BCC507" w14:textId="77777777" w:rsidR="00951C78" w:rsidRPr="0050285D" w:rsidRDefault="00951C78" w:rsidP="00951C78">
      <w:pPr>
        <w:pStyle w:val="ZWMATFIZCHEMzmwzorumatfizlubchemartykuempunktem"/>
        <w:rPr>
          <w:rStyle w:val="Kkursywa"/>
        </w:rPr>
      </w:pPr>
      <w:r w:rsidRPr="0050285D">
        <w:rPr>
          <w:rStyle w:val="Kkursywa"/>
        </w:rPr>
        <w:t>MPKK = K x 5 %</w:t>
      </w:r>
    </w:p>
    <w:p w14:paraId="14DF8EB0" w14:textId="77777777" w:rsidR="00951C78" w:rsidRPr="0050285D" w:rsidRDefault="00951C78" w:rsidP="00951C78">
      <w:pPr>
        <w:pStyle w:val="ZLEGWMATFIZCHEMzmlegendywzorumatfizlubchemartykuempunktem"/>
      </w:pPr>
      <w:r w:rsidRPr="0050285D">
        <w:t>τα εκάστοτε σύμβολα νοούνται ως:</w:t>
      </w:r>
    </w:p>
    <w:p w14:paraId="5F71B434" w14:textId="77777777" w:rsidR="00951C78" w:rsidRPr="0050285D" w:rsidRDefault="00951C78" w:rsidP="00951C78">
      <w:pPr>
        <w:pStyle w:val="ZLEGWMATFIZCHEMzmlegendywzorumatfizlubchemartykuempunktem"/>
      </w:pPr>
      <w:r w:rsidRPr="0050285D">
        <w:rPr>
          <w:rStyle w:val="Kkursywa"/>
        </w:rPr>
        <w:t xml:space="preserve">MPKK </w:t>
      </w:r>
      <w:r w:rsidRPr="0050285D">
        <w:t>– το μέγιστο ποσό των άτοκων δαπανών δανείου,</w:t>
      </w:r>
    </w:p>
    <w:p w14:paraId="281B068F" w14:textId="77777777" w:rsidR="00951C78" w:rsidRPr="0050285D" w:rsidRDefault="00951C78" w:rsidP="00951C78">
      <w:pPr>
        <w:pStyle w:val="ZLEGWMATFIZCHEMzmlegendywzorumatfizlubchemartykuempunktem"/>
      </w:pPr>
      <w:r w:rsidRPr="0050285D">
        <w:rPr>
          <w:rStyle w:val="Kkursywa"/>
        </w:rPr>
        <w:t>K</w:t>
      </w:r>
      <w:r w:rsidRPr="0050285D">
        <w:t xml:space="preserve"> – το συνολικό ποσό του δανείου.»,</w:t>
      </w:r>
    </w:p>
    <w:p w14:paraId="2FD7635B" w14:textId="77777777" w:rsidR="00373FE7" w:rsidRPr="0050285D" w:rsidRDefault="00373FE7" w:rsidP="00D460F1">
      <w:pPr>
        <w:pStyle w:val="LITlitera"/>
      </w:pPr>
      <w:r w:rsidRPr="0050285D">
        <w:t>γ)</w:t>
      </w:r>
      <w:r w:rsidRPr="0050285D">
        <w:tab/>
        <w:t>οι παράγραφοι 2 και 3 διατυπώνονται ως εξής:</w:t>
      </w:r>
    </w:p>
    <w:p w14:paraId="750B77DE" w14:textId="77777777" w:rsidR="00951C78" w:rsidRPr="0050285D" w:rsidRDefault="00373FE7" w:rsidP="00D460F1">
      <w:pPr>
        <w:pStyle w:val="ZLITUSTzmustliter"/>
      </w:pPr>
      <w:r w:rsidRPr="0050285D">
        <w:t>«2. Οι άτοκες δαπάνες καταναλωτικού δανείου δεν μπορούν να υπερβαίνουν το 45 % του συνολικού ποσού του δανείου.</w:t>
      </w:r>
    </w:p>
    <w:p w14:paraId="5402695F" w14:textId="2BA48F10" w:rsidR="00373FE7" w:rsidRPr="0050285D" w:rsidRDefault="00373FE7" w:rsidP="0089620D">
      <w:pPr>
        <w:pStyle w:val="ZLITUSTzmustliter"/>
      </w:pPr>
      <w:r w:rsidRPr="0050285D">
        <w:t>3. Οι άτοκες δαπάνες καταναλωτικού δανείου που προκύπτουν από σύμβαση καταναλωτικού δανείου δεν καταβάλλονται για το μέρος</w:t>
      </w:r>
      <w:r w:rsidRPr="0050285D">
        <w:rPr>
          <w:rFonts w:ascii="Times New Roman" w:hAnsi="Times New Roman"/>
        </w:rPr>
        <w:t xml:space="preserve"> </w:t>
      </w:r>
      <w:r w:rsidRPr="0050285D">
        <w:t xml:space="preserve">που υπερβαίνει το μέγιστο ποσό των άτοκων δαπανών δανείου υπολογιζόμενο με τον τρόπο που ορίζεται στις παραγράφους 1-2.»· </w:t>
      </w:r>
    </w:p>
    <w:p w14:paraId="7B9146BD" w14:textId="77777777" w:rsidR="007655D2" w:rsidRPr="0050285D" w:rsidRDefault="008F3E2A" w:rsidP="00A749FE">
      <w:pPr>
        <w:pStyle w:val="PKTpunkt"/>
      </w:pPr>
      <w:r w:rsidRPr="0050285D">
        <w:t>5)</w:t>
      </w:r>
      <w:r w:rsidRPr="0050285D">
        <w:tab/>
        <w:t>στο άρθρο 36γ, η εισαγωγή της απαρίθμησης αντικαθίσταται ως εξής:</w:t>
      </w:r>
    </w:p>
    <w:p w14:paraId="0F53A9B7" w14:textId="77777777" w:rsidR="007655D2" w:rsidRPr="0050285D" w:rsidRDefault="007655D2" w:rsidP="00D460F1">
      <w:pPr>
        <w:pStyle w:val="ZARTzmartartykuempunktem"/>
      </w:pPr>
      <w:r w:rsidRPr="0050285D">
        <w:tab/>
        <w:t>«Όταν πιστωτής ή η συνδεδεμένη με αυτόν οντότητα έχει χορηγήσει περαιτέρω δάνεια σε καταναλωτή ο οποίος δεν έχει αποπληρώσει πλήρως το δάνειο εντός 120 ημερών από την ημερομηνία εκταμίευσης του πρώτου δανείου:»·</w:t>
      </w:r>
    </w:p>
    <w:p w14:paraId="17A27812" w14:textId="77777777" w:rsidR="00527F84" w:rsidRPr="0050285D" w:rsidRDefault="007655D2" w:rsidP="00A749FE">
      <w:pPr>
        <w:pStyle w:val="PKTpunkt"/>
      </w:pPr>
      <w:r w:rsidRPr="0050285D">
        <w:t>6)</w:t>
      </w:r>
      <w:r w:rsidRPr="0050285D">
        <w:tab/>
        <w:t>Το άρθρο 59α τροποποιείται ως εξής:</w:t>
      </w:r>
    </w:p>
    <w:p w14:paraId="4EE512EB" w14:textId="77777777" w:rsidR="00527F84" w:rsidRPr="0050285D" w:rsidRDefault="00527F84" w:rsidP="00527F84">
      <w:pPr>
        <w:pStyle w:val="PKTpunkt"/>
        <w:ind w:firstLine="57"/>
      </w:pPr>
      <w:r w:rsidRPr="0050285D">
        <w:t>α)</w:t>
      </w:r>
      <w:r w:rsidRPr="0050285D">
        <w:tab/>
        <w:t>οι παράγραφοι 1 και 2 διατυπώνονται ως εξής:</w:t>
      </w:r>
    </w:p>
    <w:p w14:paraId="4513AD0B" w14:textId="77777777" w:rsidR="00527F84" w:rsidRPr="0050285D" w:rsidRDefault="00527F84" w:rsidP="00527F84">
      <w:pPr>
        <w:pStyle w:val="PKTpunkt"/>
        <w:ind w:firstLine="483"/>
      </w:pPr>
      <w:r w:rsidRPr="0050285D">
        <w:t>«1. Ένα πιστωτικό ίδρυμα μπορεί να λειτουργεί μόνο με τη μορφή ανώνυμης εταιρείας.</w:t>
      </w:r>
    </w:p>
    <w:p w14:paraId="1EE25983" w14:textId="77777777" w:rsidR="00527F84" w:rsidRPr="0050285D" w:rsidRDefault="00527F84" w:rsidP="00527F84">
      <w:pPr>
        <w:pStyle w:val="PKTpunkt"/>
        <w:ind w:firstLine="483"/>
      </w:pPr>
      <w:r w:rsidRPr="0050285D">
        <w:t>2. Το ελάχιστο μετοχικό κεφάλαιο του πιστωτικού ιδρύματος ανέρχεται σε 1 000 000 PLN.»</w:t>
      </w:r>
    </w:p>
    <w:p w14:paraId="6C90BA3F" w14:textId="77777777" w:rsidR="00527F84" w:rsidRPr="0050285D" w:rsidRDefault="00527F84" w:rsidP="00527F84">
      <w:pPr>
        <w:pStyle w:val="PKTpunkt"/>
        <w:ind w:firstLine="57"/>
      </w:pPr>
      <w:r w:rsidRPr="0050285D">
        <w:t>β) η παράγραφος 4 αντικαθίσταται από το ακόλουθο κείμενο:</w:t>
      </w:r>
    </w:p>
    <w:p w14:paraId="074603EB" w14:textId="77777777" w:rsidR="00527F84" w:rsidRPr="0050285D" w:rsidRDefault="00527F84" w:rsidP="00527F84">
      <w:pPr>
        <w:pStyle w:val="PKTpunkt"/>
        <w:ind w:firstLine="483"/>
      </w:pPr>
      <w:r w:rsidRPr="0050285D">
        <w:t>«4. Μόνο πρόσωπο το οποίο δεν έχει καταδικαστεί νομίμως για αδίκημα κατά της αξιοπιστίας εγγράφων, περιουσιακών στοιχείων, εμπορικών συναλλαγών, χρηματικών συναλλαγών και κινητών αξιών ή για φορολογικό έγκλημα μπορεί να είναι μέλος του διοικητικού συμβουλίου, του εποπτικού συμβουλίου ή πληρεξούσιος πιστωτικού ιδρύματος.»</w:t>
      </w:r>
    </w:p>
    <w:p w14:paraId="2410F9C2" w14:textId="77777777" w:rsidR="00527F84" w:rsidRPr="0050285D" w:rsidRDefault="00D95A51" w:rsidP="00D460F1">
      <w:pPr>
        <w:pStyle w:val="PKTpunkt"/>
        <w:ind w:firstLine="57"/>
      </w:pPr>
      <w:r w:rsidRPr="0050285D">
        <w:t>γ) στην παράγραφο 5 εδάφιο 1, η φράση «μέλη του διοικητικού συμβουλίου, του εποπτικού συμβουλίου» αντικαθίσταται από τη φράση «μέλη του διοικητικού συμβουλίου και του εποπτικού συμβουλίου» και η φράση «και της ελεγκτικής επιτροπής» διαγράφεται.</w:t>
      </w:r>
    </w:p>
    <w:p w14:paraId="3A4A4179" w14:textId="5B436F03" w:rsidR="00527F84" w:rsidRPr="0050285D" w:rsidRDefault="00D95A51" w:rsidP="00D95A51">
      <w:pPr>
        <w:pStyle w:val="PKTpunkt"/>
        <w:ind w:left="0" w:firstLine="0"/>
      </w:pPr>
      <w:r w:rsidRPr="0050285D">
        <w:lastRenderedPageBreak/>
        <w:t xml:space="preserve">7) </w:t>
      </w:r>
      <w:r w:rsidR="0050285D">
        <w:tab/>
      </w:r>
      <w:r w:rsidRPr="0050285D">
        <w:t>Το άρθρο 59αγ τροποποιείται ως εξής:</w:t>
      </w:r>
    </w:p>
    <w:p w14:paraId="4DBE8910" w14:textId="77777777" w:rsidR="00D95A51" w:rsidRPr="0050285D" w:rsidRDefault="00D95A51" w:rsidP="00D95A51">
      <w:pPr>
        <w:pStyle w:val="PKTpunkt"/>
        <w:ind w:left="567" w:firstLine="0"/>
      </w:pPr>
      <w:r w:rsidRPr="0050285D">
        <w:t>α) στην παράγραφο 2 εδάφιο 1, οι λέξεις «εταιρείες περιορισμένης ευθύνης ή» διαγράφονται,</w:t>
      </w:r>
    </w:p>
    <w:p w14:paraId="219CF6F1" w14:textId="77777777" w:rsidR="00D95A51" w:rsidRPr="0050285D" w:rsidRDefault="00D95A51" w:rsidP="00D95A51">
      <w:pPr>
        <w:pStyle w:val="PKTpunkt"/>
        <w:ind w:left="567" w:firstLine="0"/>
      </w:pPr>
      <w:r w:rsidRPr="0050285D">
        <w:t>β) η παράγραφος 3 αντικαθίσταται από το ακόλουθο κείμενο:</w:t>
      </w:r>
    </w:p>
    <w:p w14:paraId="1DBA4402" w14:textId="77777777" w:rsidR="00D95A51" w:rsidRPr="0050285D" w:rsidRDefault="00D95A51" w:rsidP="00D460F1">
      <w:pPr>
        <w:pStyle w:val="PKTpunkt"/>
        <w:ind w:left="567" w:firstLine="426"/>
      </w:pPr>
      <w:r w:rsidRPr="0050285D">
        <w:t xml:space="preserve">«3. Στην αίτηση που αναφέρεται στην παράγραφο 1 επισυνάπτεται πιστοποιητικό από το εθνικό ποινικό μητρώο που βεβαιώνει ότι ένα μέλος του διοικητικού συμβουλίου, του εποπτικού συμβουλίου ή του πληρεξουσίου ενός πιστωτικού ιδρύματος δεν έχει ποινικό μητρώο όσον αφορά τα αδικήματα που αναφέρονται στο άρθρο 59α παράγραφος 4, καθώς και έγγραφα που αποδεικνύουν τη συμμόρφωση με τους όρους που αναφέρονται στο άρθρο 59α παράγραφοι 1 και 2 από την οντότητα που ζητεί να εγγραφεί στο μητρώο πιστωτικών ιδρυμάτων.»·  </w:t>
      </w:r>
    </w:p>
    <w:p w14:paraId="0DCFCD02" w14:textId="4506A4B9" w:rsidR="00A749FE" w:rsidRPr="0050285D" w:rsidRDefault="006202A1" w:rsidP="00A749FE">
      <w:pPr>
        <w:pStyle w:val="PKTpunkt"/>
      </w:pPr>
      <w:r w:rsidRPr="0050285D">
        <w:t xml:space="preserve">8) </w:t>
      </w:r>
      <w:r w:rsidR="0050285D">
        <w:tab/>
      </w:r>
      <w:r w:rsidRPr="0050285D">
        <w:t>στο άρθρο 59αε εδάφιο 2 στοιχείο δ) η τελεία αντικαθίσταται από άνω τελεία και προστίθεται το εδάφιο 3 ως εξής:</w:t>
      </w:r>
    </w:p>
    <w:p w14:paraId="77F875C1" w14:textId="77777777" w:rsidR="001E2696" w:rsidRPr="0050285D" w:rsidRDefault="00A749FE" w:rsidP="004A4142">
      <w:pPr>
        <w:pStyle w:val="ZPKTzmpktartykuempunktem"/>
      </w:pPr>
      <w:r w:rsidRPr="0050285D">
        <w:t>«3)</w:t>
      </w:r>
      <w:r w:rsidRPr="0050285D">
        <w:tab/>
        <w:t>σημείωση σχετικά με τη διαγραφή από το μητρώο.»·</w:t>
      </w:r>
    </w:p>
    <w:p w14:paraId="11CA5784" w14:textId="77777777" w:rsidR="001E2696" w:rsidRPr="0050285D" w:rsidRDefault="006202A1" w:rsidP="001E2696">
      <w:pPr>
        <w:pStyle w:val="PKTpunkt"/>
      </w:pPr>
      <w:r w:rsidRPr="0050285D">
        <w:t>9)</w:t>
      </w:r>
      <w:r w:rsidRPr="0050285D">
        <w:tab/>
        <w:t>τα ακόλουθα άρθρα 59γα έως 59γγ προστίθενται μετά το άρθρο 59γ και έχουν ως εξής:</w:t>
      </w:r>
    </w:p>
    <w:p w14:paraId="1A8C13BC" w14:textId="77777777" w:rsidR="001E2696" w:rsidRPr="0050285D" w:rsidRDefault="00F978F4" w:rsidP="001E2696">
      <w:pPr>
        <w:pStyle w:val="ZARTzmartartykuempunktem"/>
      </w:pPr>
      <w:r w:rsidRPr="0050285D">
        <w:t>«Άρθρο 59γα.» Τα κεφάλαια που διατίθενται για τη χορήγηση καταναλωτικού δανείου από πιστωτικά ιδρύματα δεν προέρχονται από τη δραστηριότητα συγκέντρωσης κεφαλαίων άλλων φυσικών προσώπων, νομικών οντοτήτων ή οργανισμών χωρίς νομική προσωπικότητα, συμπεριλαμβανομένης της έκδοσης ομολόγων ή άλλων χρεωστικών τίτλων και μη τεκμηριωμένων πηγών.</w:t>
      </w:r>
    </w:p>
    <w:p w14:paraId="0ADDD04B" w14:textId="77777777" w:rsidR="001E2696" w:rsidRPr="0050285D" w:rsidRDefault="00F978F4" w:rsidP="001E2696">
      <w:pPr>
        <w:pStyle w:val="ZARTzmartartykuempunktem"/>
      </w:pPr>
      <w:r w:rsidRPr="0050285D">
        <w:t xml:space="preserve">Άρθρο 59γβ. 1. Ένα πιστωτικό ίδρυμα σε σχέση με καταναλωτικά δάνεια που χορηγούνται με πράξεις ή παραλείψεις των υπαλλήλων του, των πρακτόρων δανείων μέσω των οποίων χορηγεί καταναλωτικά δάνεια ή άλλων επιχειρήσεων που ασκούν δραστηριότητες σχετικές με τη χορήγηση καταναλωτικών δανείων για λογαριασμό του, ευθύνεται έναντι των δανειοληπτών ως προς τις πράξεις του, συμπεριλαμβανομένων εκείνων που συνδέονται με την απαίτηση καταβολής άτοκων δαπανών από τον δανειολήπτη σε ποσό υψηλότερο από το επιτρεπόμενο, ή με τη σύναψη συμφωνίας που υποχρεώνει τον δανειολήπτη να το πράξει έναντι του πιστωτικού ιδρύματος. </w:t>
      </w:r>
    </w:p>
    <w:p w14:paraId="7A8C7B2D" w14:textId="77777777" w:rsidR="001E2696" w:rsidRPr="0050285D" w:rsidRDefault="00F978F4" w:rsidP="001E2696">
      <w:pPr>
        <w:pStyle w:val="ZARTzmartartykuempunktem"/>
      </w:pPr>
      <w:r w:rsidRPr="0050285D">
        <w:t>2.  Η ευθύνη που αναφέρεται στην παράγραφο 1 δεν μπορεί να αποκλειστεί ή να περιοριστεί.</w:t>
      </w:r>
    </w:p>
    <w:p w14:paraId="7A5E5472" w14:textId="77777777" w:rsidR="001E2696" w:rsidRPr="0050285D" w:rsidRDefault="00F978F4" w:rsidP="00C228BC">
      <w:pPr>
        <w:pStyle w:val="ZARTzmartartykuempunktem"/>
      </w:pPr>
      <w:r w:rsidRPr="0050285D">
        <w:t>Άρθρο 59κθ. Το βάρος της απόδειξης ότι το πιστωτικό ίδρυμα έχει συμμορφωθεί με τις εκ του νόμου υποχρεώσεις του έναντι των καταναλωτών παραμένει στο εν λόγω ίδρυμα.»·</w:t>
      </w:r>
    </w:p>
    <w:p w14:paraId="0FDA9739" w14:textId="77777777" w:rsidR="00F978F4" w:rsidRPr="0050285D" w:rsidRDefault="00694A6F" w:rsidP="001E2696">
      <w:pPr>
        <w:pStyle w:val="PKTpunkt"/>
      </w:pPr>
      <w:r w:rsidRPr="0050285D">
        <w:lastRenderedPageBreak/>
        <w:t>10)</w:t>
      </w:r>
      <w:r w:rsidRPr="0050285D">
        <w:tab/>
        <w:t>Το άρθρο 59δ τροποποιείται ως εξής:</w:t>
      </w:r>
    </w:p>
    <w:p w14:paraId="4FE81848" w14:textId="77777777" w:rsidR="00E91981" w:rsidRPr="0050285D" w:rsidRDefault="00E91981" w:rsidP="00020454">
      <w:pPr>
        <w:pStyle w:val="LITlitera"/>
      </w:pPr>
      <w:r w:rsidRPr="0050285D">
        <w:tab/>
      </w:r>
      <w:r w:rsidRPr="0050285D">
        <w:tab/>
        <w:t>α) η παράγραφος 1 διατυπώνεται ως εξής:</w:t>
      </w:r>
    </w:p>
    <w:p w14:paraId="15F8734D" w14:textId="77777777" w:rsidR="00E91981" w:rsidRPr="0050285D" w:rsidRDefault="00E91981" w:rsidP="00E91981">
      <w:pPr>
        <w:pStyle w:val="PKTpunkt"/>
        <w:keepNext/>
        <w:keepLines/>
        <w:ind w:left="567" w:firstLine="426"/>
      </w:pPr>
      <w:r w:rsidRPr="0050285D">
        <w:t>«1. Οντότητα εγκατεστημένη στο έδαφος κράτους μέλους της Ευρωπαϊκής Ένωσης πλην της Δημοκρατίας της Πολωνίας, στο έδαφος της Ελβετικής Συνομοσπονδίας ή κράτους μέλους της Ευρωπαϊκής Συμφωνίας Ελευθέρων Συναλλαγών (ΕΖΕΣ), συμβαλλόμενου μέρους της συμφωνίας για τον Ευρωπαϊκό Οικονομικό Χώρο μπορεί, σύμφωνα με τους κανόνες που καθορίζονται στην πράξη, να ασκεί δραστηριότητα στο έδαφος της Δημοκρατίας της Πολωνίας στον τομέα της χορήγησης καταναλωτικών δανείων, εφόσον πληροί τις προϋποθέσεις που αναφέρονται στο άρθρο 59α παράγραφοι 2 έως 4.»·</w:t>
      </w:r>
    </w:p>
    <w:p w14:paraId="776C0F16" w14:textId="77777777" w:rsidR="00E91981" w:rsidRPr="0050285D" w:rsidRDefault="00E91981" w:rsidP="00020454">
      <w:pPr>
        <w:pStyle w:val="LITlitera"/>
      </w:pPr>
      <w:r w:rsidRPr="0050285D">
        <w:t>β) οι παράγραφοι 1α και 1β προστίθενται μετά την παράγραφο 1 και έχουν ως εξής:</w:t>
      </w:r>
    </w:p>
    <w:p w14:paraId="078BAF17" w14:textId="77777777" w:rsidR="00694A6F" w:rsidRPr="0050285D" w:rsidRDefault="00E91981" w:rsidP="00020454">
      <w:pPr>
        <w:pStyle w:val="ZUSTzmustartykuempunktem"/>
      </w:pPr>
      <w:r w:rsidRPr="0050285D">
        <w:t>«1α. Η οντότητα που αναφέρεται στην παράγραφο 1 κοινοποιεί στην πολωνική αρχή χρηματοπιστωτικής εποπτείας την πρόθεσή της να αναλάβει τη δραστηριότητα χορήγησης καταναλωτικών δανείων στο έδαφος της Δημοκρατίας της Πολωνίας το αργότερο δύο μήνες πριν από την ανάληψη της δραστηριότητας αυτής.</w:t>
      </w:r>
    </w:p>
    <w:p w14:paraId="14C8AEA5" w14:textId="77777777" w:rsidR="00F978F4" w:rsidRPr="0050285D" w:rsidRDefault="002824C4" w:rsidP="00020454">
      <w:pPr>
        <w:pStyle w:val="ZUSTzmustartykuempunktem"/>
      </w:pPr>
      <w:r w:rsidRPr="0050285D">
        <w:t>1β. Στην κοινοποίηση που αναφέρεται στην παράγραφο 2, η οντότητα που αναφέρεται στην παράγραφο 1 προσδιορίζει τις αρμόδιες κρατικές εποπτικές αρχές που αναφέρονται στην παράγραφο 1 οι οποίες έχουν οριστεί να εποπτεύουν την εν λόγω οντότητα όσον αφορά τις δραστηριότητες καταναλωτικών δανείων ή ενημερώνει ότι η νομοθεσία του κράτους που αναφέρεται στην παράγραφο 1 δεν προβλέπει τον ορισμό των εν λόγω αρχών.»·</w:t>
      </w:r>
    </w:p>
    <w:p w14:paraId="71E0A6A3" w14:textId="77777777" w:rsidR="00A749FE" w:rsidRPr="0050285D" w:rsidRDefault="00694A6F" w:rsidP="0038019E">
      <w:pPr>
        <w:pStyle w:val="PKTpunkt"/>
        <w:keepNext/>
        <w:keepLines/>
      </w:pPr>
      <w:r w:rsidRPr="0050285D">
        <w:t>11)</w:t>
      </w:r>
      <w:r w:rsidRPr="0050285D">
        <w:tab/>
        <w:t>μετά το κεφάλαιο 5αα προστίθεται το ακόλουθο κεφάλαιο 5αβ:</w:t>
      </w:r>
    </w:p>
    <w:p w14:paraId="5265ABFB" w14:textId="77777777" w:rsidR="00A749FE" w:rsidRPr="0050285D" w:rsidRDefault="00A749FE" w:rsidP="0038019E">
      <w:pPr>
        <w:pStyle w:val="ZROZDZODDZOZNzmoznrozdzoddzartykuempunktem"/>
      </w:pPr>
      <w:r w:rsidRPr="0050285D">
        <w:t>Κεφάλαιο 5αβ</w:t>
      </w:r>
    </w:p>
    <w:p w14:paraId="2183A443" w14:textId="77777777" w:rsidR="00A749FE" w:rsidRPr="0050285D" w:rsidRDefault="00A749FE" w:rsidP="0038019E">
      <w:pPr>
        <w:pStyle w:val="ZROZDZODDZPRZEDMzmprzedmrozdzoddzartykuempunktem"/>
      </w:pPr>
      <w:bookmarkStart w:id="6" w:name="_Hlk86066595"/>
      <w:r w:rsidRPr="0050285D">
        <w:t xml:space="preserve">Εποπτεία των δραστηριοτήτων των πιστωτικών ιδρυμάτων </w:t>
      </w:r>
      <w:bookmarkEnd w:id="6"/>
    </w:p>
    <w:p w14:paraId="52415D47" w14:textId="77777777" w:rsidR="00051F22" w:rsidRPr="0050285D" w:rsidRDefault="00051F22" w:rsidP="00051F22">
      <w:pPr>
        <w:pStyle w:val="ZARTzmartartykuempunktem"/>
      </w:pPr>
      <w:r w:rsidRPr="0050285D">
        <w:t xml:space="preserve">Άρθρο 59δστ. 1. Οι δραστηριότητες των </w:t>
      </w:r>
      <w:bookmarkStart w:id="7" w:name="_Hlk86069638"/>
      <w:r w:rsidRPr="0050285D">
        <w:t>πιστωτικών ιδρυμάτων στο πλαίσιο της χορήγησης καταναλωτικών δανείων</w:t>
      </w:r>
      <w:bookmarkEnd w:id="7"/>
      <w:r w:rsidRPr="0050285D">
        <w:t xml:space="preserve"> εποπτεύονται από την πολωνική αρχή χρηματοπιστωτικής εποπτείας.</w:t>
      </w:r>
    </w:p>
    <w:p w14:paraId="30A45CD0" w14:textId="77777777" w:rsidR="00051F22" w:rsidRPr="0050285D" w:rsidRDefault="00051F22" w:rsidP="00020454">
      <w:pPr>
        <w:pStyle w:val="ZUSTzmustartykuempunktem"/>
      </w:pPr>
      <w:r w:rsidRPr="0050285D">
        <w:t>2. Σκοπός της εποπτείας των δραστηριοτήτων των πιστωτικών ιδρυμάτων είναι ο έλεγχος και η επιβολή της συμμόρφωσης των δραστηριοτήτων αυτών με τον νόμο.</w:t>
      </w:r>
    </w:p>
    <w:p w14:paraId="2C89603F" w14:textId="77777777" w:rsidR="00051F22" w:rsidRPr="0050285D" w:rsidRDefault="00051F22" w:rsidP="00051F22">
      <w:pPr>
        <w:pStyle w:val="ZARTzmartartykuempunktem"/>
      </w:pPr>
      <w:r w:rsidRPr="0050285D">
        <w:t>Άρθρο 59δζ. 1. Το πιστωτικό ίδρυμα υποβάλλει στην πολωνική αρχή χρηματοπιστωτικής εποπτείας τριμηνιαίες και ετήσιες εκθέσεις δραστηριοτήτων σχετικά με τα καταναλωτικά δάνεια, συμπεριλαμβανομένων πληροφοριών σχετικά με:</w:t>
      </w:r>
    </w:p>
    <w:p w14:paraId="2D3E0BB5" w14:textId="77777777" w:rsidR="00051F22" w:rsidRPr="0050285D" w:rsidRDefault="00051F22" w:rsidP="00020454">
      <w:pPr>
        <w:pStyle w:val="ZPKTzmpktartykuempunktem"/>
      </w:pPr>
      <w:r w:rsidRPr="0050285D">
        <w:lastRenderedPageBreak/>
        <w:t>1)</w:t>
      </w:r>
      <w:r w:rsidRPr="0050285D">
        <w:tab/>
      </w:r>
      <w:bookmarkStart w:id="8" w:name="_Hlk86070273"/>
      <w:r w:rsidRPr="0050285D">
        <w:t>τα χορηγούμενα καταναλωτικά δάνεια, συμπεριλαμβανομένου του αριθμού τους, λαμβανομένου υπόψη του αριθμού των δανείων που αναφέρονται στο άρθρο 36β, της αξίας, του χρονοδιαγράμματος και της νομισματικής διάρθρωσης, καθώς και των καθυστερήσεων στις αποπληρωμές·</w:t>
      </w:r>
    </w:p>
    <w:p w14:paraId="4053E8C9" w14:textId="77777777" w:rsidR="00051F22" w:rsidRPr="0050285D" w:rsidRDefault="00051F22" w:rsidP="00020454">
      <w:pPr>
        <w:pStyle w:val="ZPKTzmpktartykuempunktem"/>
      </w:pPr>
      <w:r w:rsidRPr="0050285D">
        <w:t>2)</w:t>
      </w:r>
      <w:r w:rsidRPr="0050285D">
        <w:tab/>
        <w:t>συμβάσεις καταναλωτικών δανείων που συνάπτονται, συμπεριλαμβανομένου του αριθμού, του είδους και του καθεστώτος τους·</w:t>
      </w:r>
    </w:p>
    <w:p w14:paraId="6E162C2D" w14:textId="77777777" w:rsidR="00051F22" w:rsidRPr="0050285D" w:rsidRDefault="00051F22" w:rsidP="00020454">
      <w:pPr>
        <w:pStyle w:val="ZPKTzmpktartykuempunktem"/>
      </w:pPr>
      <w:r w:rsidRPr="0050285D">
        <w:t>3)</w:t>
      </w:r>
      <w:r w:rsidRPr="0050285D">
        <w:tab/>
        <w:t>τον αριθμό των πελατών στους οποίους χορηγήθηκε καταναλωτικό δάνειο, λαμβανομένου υπόψη του αριθμού των πελατών στους οποίους χορηγήθηκε το δάνειο που αναφέρεται στο άρθρο 36β·</w:t>
      </w:r>
    </w:p>
    <w:p w14:paraId="63A9AD49" w14:textId="77777777" w:rsidR="00051F22" w:rsidRPr="0050285D" w:rsidRDefault="00051F22" w:rsidP="00020454">
      <w:pPr>
        <w:pStyle w:val="ZPKTzmpktartykuempunktem"/>
      </w:pPr>
      <w:r w:rsidRPr="0050285D">
        <w:t>4)</w:t>
      </w:r>
      <w:r w:rsidRPr="0050285D">
        <w:tab/>
        <w:t>το σύνολο των εσόδων που προέρχονται από τη χορήγηση καταναλωτικών δανείων με χωριστά έσοδα που αποκτήθηκαν σε σχέση με τις άτοκες δαπάνες του δανείου·</w:t>
      </w:r>
    </w:p>
    <w:p w14:paraId="7F69BBEE" w14:textId="77777777" w:rsidR="00051F22" w:rsidRPr="0050285D" w:rsidRDefault="00051F22" w:rsidP="00020454">
      <w:pPr>
        <w:pStyle w:val="ZPKTzmpktartykuempunktem"/>
      </w:pPr>
      <w:r w:rsidRPr="0050285D">
        <w:t>5)</w:t>
      </w:r>
      <w:r w:rsidRPr="0050285D">
        <w:tab/>
        <w:t>τον ισολογισμό, αναφέροντας τις πηγές χρηματοδότησης των δραστηριοτήτων καταναλωτικών δανείων·</w:t>
      </w:r>
    </w:p>
    <w:p w14:paraId="165BA7AD" w14:textId="77777777" w:rsidR="00051F22" w:rsidRPr="0050285D" w:rsidRDefault="00051F22" w:rsidP="00020454">
      <w:pPr>
        <w:pStyle w:val="ZPKTzmpktartykuempunktem"/>
      </w:pPr>
      <w:r w:rsidRPr="0050285D">
        <w:t>6)</w:t>
      </w:r>
      <w:r w:rsidRPr="0050285D">
        <w:tab/>
        <w:t>τα πρόσωπα που αναφέρονται στο άρθρο 59α παράγραφος 4, καθώς και πληροφορίες σχετικά με τη συμμόρφωσή τους με τις απαιτήσεις που ορίζονται στην παρούσα διάταξη</w:t>
      </w:r>
      <w:bookmarkEnd w:id="8"/>
      <w:r w:rsidRPr="0050285D">
        <w:t>.</w:t>
      </w:r>
    </w:p>
    <w:p w14:paraId="553C6865" w14:textId="77777777" w:rsidR="00051F22" w:rsidRPr="0050285D" w:rsidRDefault="00051F22" w:rsidP="00020454">
      <w:pPr>
        <w:pStyle w:val="ZUSTzmustartykuempunktem"/>
      </w:pPr>
      <w:r w:rsidRPr="0050285D">
        <w:t>2. Οι εκθέσεις που αναφέρονται στην παράγραφο 1 υποβάλλονται στην πολωνική αρχή χρηματοπιστωτικής εποπτείας σε ηλεκτρονική μορφή μόνο με τη χρήση των εντύπων αναφοράς και των διαύλων επικοινωνίας που παρέχονται από την πολωνική αρχή χρηματοπιστωτικής εποπτείας.</w:t>
      </w:r>
    </w:p>
    <w:p w14:paraId="097DCEA6" w14:textId="77777777" w:rsidR="00051F22" w:rsidRPr="0050285D" w:rsidRDefault="00051F22" w:rsidP="00020454">
      <w:pPr>
        <w:pStyle w:val="ZUSTzmustartykuempunktem"/>
      </w:pPr>
      <w:r w:rsidRPr="0050285D">
        <w:t>3. Ο υπουργός Χρηματοπιστωτικών Ιδρυμάτων καθορίζει, μέσω κανονισμού, το λεπτομερές πεδίο εφαρμογής και τις προθεσμίες για την υποβολή των πληροφοριών που αναφέρονται στην παράγραφο 1 και υποδείγματα για την υποβολή εκθέσεων, προκειμένου να διασφαλίζεται ότι η πολωνική αρχή χρηματοπιστωτικής εποπτείας έχει πρόσβαση στα δεδομένα που είναι αναγκαία για την αποτελεσματική εποπτεία των δραστηριοτήτων των πιστωτικών ιδρυμάτων.</w:t>
      </w:r>
    </w:p>
    <w:p w14:paraId="3A6D759F" w14:textId="77777777" w:rsidR="00051F22" w:rsidRPr="0050285D" w:rsidRDefault="00051F22" w:rsidP="00410E03">
      <w:pPr>
        <w:pStyle w:val="ZARTzmartartykuempunktem"/>
      </w:pPr>
      <w:r w:rsidRPr="0050285D">
        <w:t>Άρθρο 59δη. 1. Στο πλαίσιο της εποπτείας της, η πολωνική αρχή χρηματοπιστωτικής εποπτείας μπορεί:</w:t>
      </w:r>
    </w:p>
    <w:p w14:paraId="14461AE6" w14:textId="77777777" w:rsidR="00051F22" w:rsidRPr="0050285D" w:rsidRDefault="00051F22" w:rsidP="00020454">
      <w:pPr>
        <w:pStyle w:val="ZPKTzmpktartykuempunktem"/>
      </w:pPr>
      <w:r w:rsidRPr="0050285D">
        <w:t>1)</w:t>
      </w:r>
      <w:r w:rsidRPr="0050285D">
        <w:tab/>
        <w:t>να απαιτεί την παροχή ή την περιοδική παροχή πληροφοριών, εγγράφων ή δεδομένων αναγκαίων για τον σκοπό που αναφέρεται στο άρθρο 59δστ παράγραφος 2, εκτός από τις πληροφορίες που αναφέρονται στο άρθρο 59δζ παράγραφος 1 από το πιστωτικό ίδρυμα·</w:t>
      </w:r>
    </w:p>
    <w:p w14:paraId="60829DA1" w14:textId="77777777" w:rsidR="00051F22" w:rsidRPr="0050285D" w:rsidRDefault="00051F22" w:rsidP="00020454">
      <w:pPr>
        <w:pStyle w:val="ZPKTzmpktartykuempunktem"/>
      </w:pPr>
      <w:r w:rsidRPr="0050285D">
        <w:lastRenderedPageBreak/>
        <w:t>2)</w:t>
      </w:r>
      <w:r w:rsidRPr="0050285D">
        <w:tab/>
        <w:t>να εκδίδει συστάσεις προς το πιστωτικό ίδρυμα για να διασφαλίσει ότι οι λειτουργίες που σχετίζονται με τη χορήγηση καταναλωτικών δανείων συμμορφώνονται με τον νόμο.</w:t>
      </w:r>
    </w:p>
    <w:p w14:paraId="0DE60C8C" w14:textId="77777777" w:rsidR="00051F22" w:rsidRPr="0050285D" w:rsidRDefault="00051F22" w:rsidP="00020454">
      <w:pPr>
        <w:pStyle w:val="ZUSTzmustartykuempunktem"/>
      </w:pPr>
      <w:r w:rsidRPr="0050285D">
        <w:t>2. Τα μέτρα που εκτελούνται στο πλαίσιο της εποπτείας δεν θίγουν τις συμφωνίες που συνάπτονται από πιστωτικά ιδρύματα δυνάμει του νόμου.</w:t>
      </w:r>
    </w:p>
    <w:p w14:paraId="4D7C0F48" w14:textId="77777777" w:rsidR="00051F22" w:rsidRPr="0050285D" w:rsidRDefault="00051F22" w:rsidP="00051F22">
      <w:pPr>
        <w:pStyle w:val="ZARTzmartartykuempunktem"/>
      </w:pPr>
      <w:r w:rsidRPr="0050285D">
        <w:t>Άρθρο 59δι. 1. Σε περίπτωση που διαπιστωθεί ότι το πιστωτικό ίδρυμα δεν συμμορφώνεται με την υποχρέωση ενημέρωσης που αναφέρεται στο άρθρο 59δζ παράγραφος 1 ή στο άρθρο 59δη παράγραφος 1 ή συμμορφώνεται με αυτήν εσφαλμένα ή δεν έχει συμμορφωθεί με τις συστάσεις που αναφέρονται στο άρθρο 59δη παράγραφος 1 εδάφιο 2 εντός της προβλεπόμενης προθεσμίας, και εφόσον διαπιστωθεί ότι οι δραστηριότητες του πιστωτικού ιδρύματος, συμπεριλαμβανομένων εκείνων που πραγματοποιούνται με τη συμμετοχή πράκτορα δανείων, ασκούνται κατά παράβαση του νόμου ή κατά παράβαση των όρων που προβλέπονται στον νόμο, η πολωνική αρχή χρηματοπιστωτικής εποπτείας μπορεί:</w:t>
      </w:r>
    </w:p>
    <w:p w14:paraId="2B630E61" w14:textId="77777777" w:rsidR="00051F22" w:rsidRPr="0050285D" w:rsidRDefault="00051F22" w:rsidP="00020454">
      <w:pPr>
        <w:pStyle w:val="ZPKTzmpktartykuempunktem"/>
      </w:pPr>
      <w:r w:rsidRPr="0050285D">
        <w:t>1)</w:t>
      </w:r>
      <w:r w:rsidRPr="0050285D">
        <w:tab/>
        <w:t>να επιβάλει χρηματική ποινή έως 150 000 PLN στο μέλος του διοικητικού συμβουλίου του πιστωτικού ιδρύματος που είναι άμεσα υπεύθυνο για τις διαπιστωθείσες παρατυπίες·</w:t>
      </w:r>
    </w:p>
    <w:p w14:paraId="122B752F" w14:textId="77777777" w:rsidR="00051F22" w:rsidRPr="0050285D" w:rsidRDefault="00051F22" w:rsidP="00020454">
      <w:pPr>
        <w:pStyle w:val="ZPKTzmpktartykuempunktem"/>
      </w:pPr>
      <w:r w:rsidRPr="0050285D">
        <w:t>2)</w:t>
      </w:r>
      <w:r w:rsidRPr="0050285D">
        <w:tab/>
        <w:t>να επιβάλει πρόστιμο ύψους έως 15 000 000 PLN στο πιστωτικό ίδρυμα·</w:t>
      </w:r>
    </w:p>
    <w:p w14:paraId="283B4CAA" w14:textId="77777777" w:rsidR="00051F22" w:rsidRPr="0050285D" w:rsidRDefault="00051F22" w:rsidP="00020454">
      <w:pPr>
        <w:pStyle w:val="ZPKTzmpktartykuempunktem"/>
      </w:pPr>
      <w:r w:rsidRPr="0050285D">
        <w:t>3)</w:t>
      </w:r>
      <w:r w:rsidRPr="0050285D">
        <w:tab/>
        <w:t>να ζητήσει από το αρμόδιο όργανο του πιστωτικού ιδρύματος να απολύσει το μέλος του διοικητικού συμβουλίου που αναφέρεται στο σημείο 1·</w:t>
      </w:r>
    </w:p>
    <w:p w14:paraId="05F8DF44" w14:textId="77777777" w:rsidR="00051F22" w:rsidRPr="0050285D" w:rsidRDefault="00051F22" w:rsidP="00020454">
      <w:pPr>
        <w:pStyle w:val="ZPKTzmpktartykuempunktem"/>
      </w:pPr>
      <w:r w:rsidRPr="0050285D">
        <w:t>4)</w:t>
      </w:r>
      <w:r w:rsidRPr="0050285D">
        <w:tab/>
        <w:t>να αναστείλει μέλος του διοικητικού συμβουλίου που αναφέρεται στο σημείο 1 έως ότου ληφθεί απόφαση σχετικά με την αίτηση που αναφέρεται στο σημείο 3· η αναστολή συνίσταται στον αποκλεισμό από τη λήψη αποφάσεων όσον αφορά τα δικαιώματα ιδιοκτησίας και τις υποχρεώσεις της εν λόγω οντότητας·</w:t>
      </w:r>
    </w:p>
    <w:p w14:paraId="3799EE73" w14:textId="77777777" w:rsidR="00051F22" w:rsidRPr="0050285D" w:rsidRDefault="00051F22" w:rsidP="00020454">
      <w:pPr>
        <w:pStyle w:val="ZPKTzmpktartykuempunktem"/>
      </w:pPr>
      <w:r w:rsidRPr="0050285D">
        <w:t>5)</w:t>
      </w:r>
      <w:r w:rsidRPr="0050285D">
        <w:tab/>
        <w:t>να διαγράψει το πιστωτικό ίδρυμα από το μητρώο των πιστωτικών ιδρυμάτων και, σε περίπτωση ταυτόχρονης εγγραφής του στο μητρώο των πρακτόρων καταναλωτικών δανείων, και από το εν λόγω μητρώο.</w:t>
      </w:r>
    </w:p>
    <w:p w14:paraId="275D74D7" w14:textId="77777777" w:rsidR="00051F22" w:rsidRPr="0050285D" w:rsidRDefault="00051F22" w:rsidP="00020454">
      <w:pPr>
        <w:pStyle w:val="ZUSTzmustartykuempunktem"/>
      </w:pPr>
      <w:r w:rsidRPr="0050285D">
        <w:t>2. Οι κυρώσεις που αναφέρονται στην παράγραφο 1 επιβάλλονται με διοικητική απόφαση.</w:t>
      </w:r>
    </w:p>
    <w:p w14:paraId="47582563" w14:textId="77777777" w:rsidR="00051F22" w:rsidRPr="0050285D" w:rsidRDefault="00051F22" w:rsidP="00020454">
      <w:pPr>
        <w:pStyle w:val="ZUSTzmustartykuempunktem"/>
      </w:pPr>
      <w:r w:rsidRPr="0050285D">
        <w:t>3. Οι διοικητικές αποφάσεις για τα θέματα που αναφέρονται στην παράγραφο 1 εδάφια 3 έως 5 είναι άμεσα εκτελεστές.</w:t>
      </w:r>
    </w:p>
    <w:p w14:paraId="1B9F132B" w14:textId="77777777" w:rsidR="00051F22" w:rsidRPr="0050285D" w:rsidRDefault="00051F22" w:rsidP="00020454">
      <w:pPr>
        <w:pStyle w:val="ZUSTzmustartykuempunktem"/>
      </w:pPr>
      <w:r w:rsidRPr="0050285D">
        <w:lastRenderedPageBreak/>
        <w:t>4. Η χρηματική ποινή που αναφέρεται στην παράγραφο 1 εδάφιο 1 μπορεί επίσης να επιβληθεί μετά τη λήξη των καθηκόντων του ως μέλους του διοικητικού συμβουλίου, εάν η παράβαση διαπράχθηκε κατά την άσκηση της εν λόγω λειτουργίας.</w:t>
      </w:r>
    </w:p>
    <w:p w14:paraId="40AF280C" w14:textId="77777777" w:rsidR="00051F22" w:rsidRPr="0050285D" w:rsidRDefault="00051F22" w:rsidP="00051F22">
      <w:pPr>
        <w:pStyle w:val="ZARTzmartartykuempunktem"/>
      </w:pPr>
      <w:r w:rsidRPr="0050285D">
        <w:t>5. Η χρηματική ποινή που αναφέρεται στην παράγραφο 1 εδάφιο 2 μπορεί επίσης να επιβληθεί σε περίπτωση διαγραφής της οντότητας από το μητρώο των πιστωτικών ιδρυμάτων.</w:t>
      </w:r>
    </w:p>
    <w:p w14:paraId="1AA01C85" w14:textId="77777777" w:rsidR="00051F22" w:rsidRPr="0050285D" w:rsidRDefault="00051F22" w:rsidP="009B2992">
      <w:pPr>
        <w:pStyle w:val="ZARTzmartartykuempunktem"/>
      </w:pPr>
      <w:r w:rsidRPr="0050285D">
        <w:t>6. Οι διατάξεις του τμήματος IVα του νόμου περί κώδικα διοικητικής δικονομίας της 14ης Ιουνίου 1960 (Επίσημη Εφημερίδα του 2021 θέσεις 735, 1491 και 2052) εφαρμόζονται για τις διοικητικές χρηματικές κυρώσεις που αναφέρονται στην παράγραφο 1 εδάφια 1 και 2.</w:t>
      </w:r>
    </w:p>
    <w:p w14:paraId="0B72CAB9" w14:textId="77777777" w:rsidR="00051F22" w:rsidRPr="0050285D" w:rsidRDefault="00051F22" w:rsidP="004C6235">
      <w:pPr>
        <w:pStyle w:val="ZARTzmartartykuempunktem"/>
      </w:pPr>
      <w:r w:rsidRPr="0050285D">
        <w:t>7. Η πολωνική αρχή χρηματοπιστωτικής εποπτείας ανακοινώνει πληροφορίες σχετικά με την επιβολή των κυρώσεων που αναφέρονται στην παράγραφο 1, εκτός εάν η γνωστοποίηση των πληροφοριών αυτών θίγει δυσανάλογα το έννομο συμφέρον των ενδιαφερόμενων μερών. Το ονοματεπώνυμο του προσώπου στο οποίο επιβάλλεται το πρόστιμο που αναφέρεται στην παράγραφο 1 ή 4 δημοσιοποιείται όταν η απόφαση επί της υπόθεσης είναι τελεσίδικη.</w:t>
      </w:r>
    </w:p>
    <w:p w14:paraId="4DD7DBB8" w14:textId="77777777" w:rsidR="003B69C7" w:rsidRPr="0050285D" w:rsidRDefault="003B69C7" w:rsidP="004C6235">
      <w:pPr>
        <w:pStyle w:val="ZARTzmartartykuempunktem"/>
      </w:pPr>
      <w:r w:rsidRPr="0050285D">
        <w:t>8. Οι πληροφορίες που αναφέρονται στην παράγραφο 7 δημοσιεύονται στον ιστότοπο της πολωνικής αρχής χρηματοπιστωτικής εποπτείας επί 5 έτη από την ημερομηνία κοινοποίησής τους, με εξαίρεση ότι οι πληροφορίες σχετικά με το όνομα του προσώπου στο οποίο επιβλήθηκε η ποινή δημοσιεύονται στον εν λόγω ιστότοπο για ένα έτος.</w:t>
      </w:r>
    </w:p>
    <w:p w14:paraId="6D150ABE" w14:textId="3AF7B905" w:rsidR="00051F22" w:rsidRPr="0050285D" w:rsidRDefault="00051F22" w:rsidP="00051F22">
      <w:pPr>
        <w:pStyle w:val="ZARTzmartartykuempunktem"/>
      </w:pPr>
      <w:r w:rsidRPr="0050285D">
        <w:t>Άρθρο 59δι.  1.  Οι πληροφορίες που λαμβάνονται ή δημιουργούνται σε σχέση με την άσκηση εποπτείας, η χορήγηση, η γνωστοποίηση ή η επιβεβαίωση των οποίων θα μπορούσε να βλάψει τα εκ του νόμου προστατευόμενα συμφέροντα οντοτήτων τις οποίες αφορούν άμεσα ή έμμεσα οι εν λόγω πληροφορίες, ή να δυσχεράνει την άσκηση της εποπτείας των πιστωτικών ιδρυμάτων, συνιστούν επαγγελματικό απόρρητο που προστατεύεται σύμφωνα με τις διατάξεις του άρθρου 16 του νόμου περί εποπτείας της χρηματοπιστωτικής αγοράς της 21ης Ιουλίου 2006 (Επίσημη Εφημερίδα του 2020, θέση 2059, και Επίσημη Εφημερίδα του 2021, θέσεις 680, 815, 1598 και 2140).</w:t>
      </w:r>
    </w:p>
    <w:p w14:paraId="5B4A0040" w14:textId="77777777" w:rsidR="00051F22" w:rsidRPr="0050285D" w:rsidRDefault="00051F22" w:rsidP="00051F22">
      <w:pPr>
        <w:pStyle w:val="ZARTzmartartykuempunktem"/>
      </w:pPr>
      <w:r w:rsidRPr="0050285D">
        <w:t>2.  Η υποχρέωση προστασίας του απορρήτου που αναφέρεται στην παράγραφο 1 δεν θίγει:</w:t>
      </w:r>
    </w:p>
    <w:p w14:paraId="40F88060" w14:textId="4C81D434" w:rsidR="00051F22" w:rsidRPr="0050285D" w:rsidRDefault="00051F22" w:rsidP="00020454">
      <w:pPr>
        <w:pStyle w:val="ZPKTzmpktartykuempunktem"/>
      </w:pPr>
      <w:r w:rsidRPr="0050285D">
        <w:t>1) την παροχή των αναγκαίων πληροφοριών για την επίτευξη του στόχου που αναφέρεται στο άρθρο 59δστ παράγραφος 2·</w:t>
      </w:r>
    </w:p>
    <w:p w14:paraId="1861B6A6" w14:textId="77777777" w:rsidR="00051F22" w:rsidRPr="0050285D" w:rsidRDefault="00051F22" w:rsidP="00020454">
      <w:pPr>
        <w:pStyle w:val="ZPKTzmpktartykuempunktem"/>
      </w:pPr>
      <w:r w:rsidRPr="0050285D">
        <w:lastRenderedPageBreak/>
        <w:t>2) την παροχή πληροφοριών στις περιπτώσεις που αναφέρονται στο άρθρο 59δ ια·</w:t>
      </w:r>
    </w:p>
    <w:p w14:paraId="77A8B4A0" w14:textId="77777777" w:rsidR="00051F22" w:rsidRPr="0050285D" w:rsidRDefault="00051F22" w:rsidP="00020454">
      <w:pPr>
        <w:pStyle w:val="ZPKTzmpktartykuempunktem"/>
      </w:pPr>
      <w:r w:rsidRPr="0050285D">
        <w:t>3) την υποβολή καταγγελίας για υπόνοια εγκληματικής πράξης·</w:t>
      </w:r>
    </w:p>
    <w:p w14:paraId="1E26526B" w14:textId="77777777" w:rsidR="00051F22" w:rsidRPr="0050285D" w:rsidRDefault="00051F22" w:rsidP="00020454">
      <w:pPr>
        <w:pStyle w:val="ZPKTzmpktartykuempunktem"/>
      </w:pPr>
      <w:r w:rsidRPr="0050285D">
        <w:t>4) την παροχή πληροφοριών σε πρόσωπο, αρχή ή άλλη οντότητα σύμφωνα με χωριστές διατάξεις.</w:t>
      </w:r>
    </w:p>
    <w:p w14:paraId="3F3482C0" w14:textId="77777777" w:rsidR="00051F22" w:rsidRPr="0050285D" w:rsidRDefault="00051F22" w:rsidP="00051F22">
      <w:pPr>
        <w:pStyle w:val="ZARTzmartartykuempunktem"/>
      </w:pPr>
      <w:r w:rsidRPr="0050285D">
        <w:t>3.  Στην περίπτωση πληροφοριών που προστατεύονται βάσει χωριστών διατάξεων, η παροχή και η διαβίβαση των πληροφοριών που αναφέρονται στην παράγραφο 1 από την πολωνική αρχή χρηματοπιστωτικής εποπτείας δεν παραβιάζει τις αρχές προστασίας που καθορίζονται στις εν λόγω διατάξεις.</w:t>
      </w:r>
    </w:p>
    <w:p w14:paraId="5C88DC36" w14:textId="77777777" w:rsidR="00051F22" w:rsidRPr="0050285D" w:rsidRDefault="00051F22" w:rsidP="00051F22">
      <w:pPr>
        <w:pStyle w:val="ZARTzmartartykuempunktem"/>
      </w:pPr>
      <w:r w:rsidRPr="0050285D">
        <w:t>Άρθρο 59δκ. 1. Η πολωνική αρχή χρηματοπιστωτικής εποπτείας μπορεί να παρέχει πληροφορίες που λαμβάνονται σε σχέση με την εκτέλεση των καθηκόντων που απορρέουν από τον νόμο:</w:t>
      </w:r>
    </w:p>
    <w:p w14:paraId="0974E301" w14:textId="77777777" w:rsidR="00051F22" w:rsidRPr="0050285D" w:rsidRDefault="00051F22" w:rsidP="00020454">
      <w:pPr>
        <w:pStyle w:val="ZPKTzmpktartykuempunktem"/>
      </w:pPr>
      <w:r w:rsidRPr="0050285D">
        <w:t>1) στις αρμόδιες εποπτικές αρχές στις περιπτώσεις που αναφέρονται στο άρθρο 59διγ·</w:t>
      </w:r>
    </w:p>
    <w:p w14:paraId="6435599B" w14:textId="77777777" w:rsidR="00051F22" w:rsidRPr="0050285D" w:rsidRDefault="00051F22" w:rsidP="00020454">
      <w:pPr>
        <w:pStyle w:val="ZPKTzmpktartykuempunktem"/>
      </w:pPr>
      <w:r w:rsidRPr="0050285D">
        <w:t>2) στις αρχές και τα θεσμικά όργανα της Ευρωπαϊκής Ένωσης που είναι αρμόδια για θέματα σχετικά με τις δραστηριότητες καταναλωτικών δανείων και την εποπτεία των οντοτήτων που ασκούν τις δραστηριότητες αυτές.</w:t>
      </w:r>
    </w:p>
    <w:p w14:paraId="6DBB6AA5" w14:textId="77777777" w:rsidR="00051F22" w:rsidRPr="0050285D" w:rsidRDefault="00051F22" w:rsidP="00AA2991">
      <w:pPr>
        <w:pStyle w:val="ZUSTzmustartykuempunktem"/>
      </w:pPr>
      <w:r w:rsidRPr="0050285D">
        <w:t>2.  Οι πληροφορίες που αναφέρονται στην παράγραφο 1 παρέχονται εάν:</w:t>
      </w:r>
    </w:p>
    <w:p w14:paraId="49F725E4" w14:textId="77777777" w:rsidR="00051F22" w:rsidRPr="0050285D" w:rsidRDefault="00051F22" w:rsidP="003D3005">
      <w:pPr>
        <w:pStyle w:val="ZPKTzmpktartykuempunktem"/>
      </w:pPr>
      <w:r w:rsidRPr="0050285D">
        <w:t>1) οι παρεχόμενες πληροφορίες χρησιμοποιούνται μόνο για τους σκοπούς των καθηκόντων που επιτελούν οι εν λόγω αρχές σχετικά με τη δραστηριότητα χορήγησης καταναλωτικών δανείων ή την εποπτεία οντοτήτων που ασκούν τέτοιες δραστηριότητες·</w:t>
      </w:r>
    </w:p>
    <w:p w14:paraId="29756FAD" w14:textId="77777777" w:rsidR="00051F22" w:rsidRPr="0050285D" w:rsidRDefault="00051F22" w:rsidP="003D3005">
      <w:pPr>
        <w:pStyle w:val="ZPKTzmpktartykuempunktem"/>
      </w:pPr>
      <w:r w:rsidRPr="0050285D">
        <w:t>2) διασφαλίζεται ότι η παροχή των πληροφοριών που λαμβάνονται εκτός αυτών των φορέων θα είναι δυνατή μόνο με την προηγούμενη συγκατάθεση της πολωνικής αρχής χρηματοπιστωτικής εποπτείας·</w:t>
      </w:r>
    </w:p>
    <w:p w14:paraId="1949FD24" w14:textId="77777777" w:rsidR="00266E8E" w:rsidRPr="0050285D" w:rsidRDefault="00051F22" w:rsidP="003D3005">
      <w:pPr>
        <w:pStyle w:val="ZPKTzmpktartykuempunktem"/>
      </w:pPr>
      <w:r w:rsidRPr="0050285D">
        <w:t>3) αυτό ισχύει με την επιφύλαξη της προστασίας των πληροφοριών που απορρέουν από χωριστές διατάξεις.</w:t>
      </w:r>
    </w:p>
    <w:p w14:paraId="468117E2" w14:textId="77777777" w:rsidR="00051F22" w:rsidRPr="0050285D" w:rsidRDefault="00051F22" w:rsidP="00051F22">
      <w:pPr>
        <w:pStyle w:val="ZARTzmartartykuempunktem"/>
      </w:pPr>
      <w:r w:rsidRPr="0050285D">
        <w:t>Άρθρο 59 διβ. 1. Όταν διαπιστώνεται ότι μια οντότητα που αναφέρεται στο άρθρο 59δ παράγραφος 1, όταν ασκεί δραστηριότητες στη Δημοκρατία της Πολωνίας στον τομέα της χορήγησης καταναλωτικών δανείων, παραβαίνει τις διατάξεις του νόμου ή ασκεί τη δραστηριότητα αυτή κατά παράβαση των όρων του νόμου, η πολωνική αρχή χρηματοπιστωτικής εποπτείας μπορεί:</w:t>
      </w:r>
    </w:p>
    <w:p w14:paraId="617E0FB8" w14:textId="77777777" w:rsidR="00051F22" w:rsidRPr="0050285D" w:rsidRDefault="00051F22" w:rsidP="003D3005">
      <w:pPr>
        <w:pStyle w:val="ZPKTzmpktartykuempunktem"/>
      </w:pPr>
      <w:r w:rsidRPr="0050285D">
        <w:t>1)</w:t>
      </w:r>
      <w:r w:rsidRPr="0050285D">
        <w:tab/>
        <w:t>να ζητήσει εγγράφως από την οντότητα να συμμορφωθεί με τις διατάξεις της πολωνικής νομοθεσίας και να ορίσει προθεσμία για την αποκατάσταση των παρατυπιών που διαπιστώθηκαν·</w:t>
      </w:r>
    </w:p>
    <w:p w14:paraId="3C2DDEC9" w14:textId="77777777" w:rsidR="00051F22" w:rsidRPr="0050285D" w:rsidRDefault="00051F22" w:rsidP="003D3005">
      <w:pPr>
        <w:pStyle w:val="ZPKTzmpktartykuempunktem"/>
      </w:pPr>
      <w:r w:rsidRPr="0050285D">
        <w:lastRenderedPageBreak/>
        <w:t>2)</w:t>
      </w:r>
      <w:r w:rsidRPr="0050285D">
        <w:tab/>
        <w:t>να απαγορεύσει τη λειτουργία της οντότητας στο έδαφος της Δημοκρατίας της Πολωνίας στο πλαίσιο της χορήγησης καταναλωτικών δανείων.</w:t>
      </w:r>
    </w:p>
    <w:p w14:paraId="46C88FCC" w14:textId="77777777" w:rsidR="00051F22" w:rsidRPr="0050285D" w:rsidRDefault="00051F22" w:rsidP="00AA2991">
      <w:pPr>
        <w:pStyle w:val="ZUSTzmustartykuempunktem"/>
      </w:pPr>
      <w:r w:rsidRPr="0050285D">
        <w:t>2. Η κύρωση που αναφέρεται στην παράγραφο 1 εδάφιο 2 επιβάλλεται με διοικητική απόφαση. Η απόφαση αυτή είναι άμεσα εκτελεστή. Η πολωνική αρχή χρηματοπιστωτικής εποπτείας ανακοινώνει την απόφαση.</w:t>
      </w:r>
    </w:p>
    <w:p w14:paraId="17416997" w14:textId="77777777" w:rsidR="00051F22" w:rsidRPr="0050285D" w:rsidRDefault="00051F22" w:rsidP="00051F22">
      <w:pPr>
        <w:pStyle w:val="ZARTzmartartykuempunktem"/>
      </w:pPr>
      <w:r w:rsidRPr="0050285D">
        <w:t>Άρθρο 59 διγ. 1. Προκειμένου να διασφαλιστεί ότι οι δραστηριότητες της οντότητας που αναφέρεται στο άρθρο 59δ παράγραφος 1 συνάδουν με τις διατάξεις του νόμου και ότι οι ενέργειες που αναφέρονται στο άρθρο 59δ ιβ παράγραφος 1 εκτελούνται έναντι της εν λόγω οντότητας, η πολωνική αρχή χρηματοπιστωτικής εποπτείας μπορεί να συνεργάζεται με τις αρμόδιες εποπτικές αρχές του κράτους που αναφέρονται στο άρθρο 59δ παράγραφος 1, εφόσον οι εν λόγω αρχές έχουν οριστεί.</w:t>
      </w:r>
    </w:p>
    <w:p w14:paraId="437C8F96" w14:textId="77777777" w:rsidR="00051F22" w:rsidRPr="0050285D" w:rsidRDefault="00051F22" w:rsidP="00AA2991">
      <w:pPr>
        <w:pStyle w:val="ZUSTzmustartykuempunktem"/>
      </w:pPr>
      <w:r w:rsidRPr="0050285D">
        <w:t>2. Η πολωνική αρχή χρηματοπιστωτικής εποπτείας μπορεί να συνεργάζεται με τις αρμόδιες εποπτικές αρχές των κρατών που αναφέρονται στο άρθρο 59δ παράγραφος 1, εφόσον οι αρχές αυτές έχουν οριστεί, όσον αφορά τις δραστηριότητες των πιστωτικών ιδρυμάτων στο έδαφός τους.</w:t>
      </w:r>
    </w:p>
    <w:p w14:paraId="1C9D3D25" w14:textId="77777777" w:rsidR="00051F22" w:rsidRPr="0050285D" w:rsidRDefault="00051F22" w:rsidP="00AA2991">
      <w:pPr>
        <w:pStyle w:val="ZUSTzmustartykuempunktem"/>
      </w:pPr>
      <w:r w:rsidRPr="0050285D">
        <w:t>3. Στο πλαίσιο της συνεργασίας που αναφέρεται στις παραγράφους 1 και 2, η πολωνική αρχή χρηματοπιστωτικής εποπτείας μπορεί να κοινοποιεί στις αρμόδιες εποπτικές αρχές, κατόπιν αιτήματος ή με δική της πρωτοβουλία, τις πληροφορίες που λαμβάνονται κατά την εκτέλεση καθηκόντων δυνάμει του νόμου, οι οποίες είναι αναγκαίες για την επίτευξη των στόχων της εν λόγω συνεργασίας.</w:t>
      </w:r>
    </w:p>
    <w:p w14:paraId="573F6B23" w14:textId="77777777" w:rsidR="00051F22" w:rsidRPr="0050285D" w:rsidRDefault="00051F22" w:rsidP="00051F22">
      <w:pPr>
        <w:pStyle w:val="ZARTzmartartykuempunktem"/>
      </w:pPr>
      <w:r w:rsidRPr="0050285D">
        <w:t>Άρθρο 59δ ιδ. Η πολωνική αρχή χρηματοπιστωτικής εποπτείας και τα πρόσωπα που ασκούν δραστηριότητες εποπτείας δεν ευθύνονται για ζημίες που προκύπτουν από νόμιμη πράξη ή παράλειψη η οποία συνδέεται με την εποπτεία που ασκεί η πολωνική αρχή χρηματοπιστωτικής εποπτείας.</w:t>
      </w:r>
    </w:p>
    <w:p w14:paraId="36FE0E7C" w14:textId="77777777" w:rsidR="00C13165" w:rsidRPr="0050285D" w:rsidRDefault="00051F22" w:rsidP="00777043">
      <w:pPr>
        <w:pStyle w:val="ZARTzmartartykuempunktem"/>
      </w:pPr>
      <w:r w:rsidRPr="0050285D">
        <w:t xml:space="preserve">Άρθρο 59δ ιε. 1. Τα πιστωτικά ιδρύματα υποχρεούνται να συνεισφέρουν στο κόστος εποπτείας με ποσό που δεν υπερβαίνει το 0,5 % του αθροίσματος των εσόδων από πιστωτικές πράξεις, ή τουλάχιστον με 5 000 EUR. </w:t>
      </w:r>
    </w:p>
    <w:p w14:paraId="4B7E6CAF" w14:textId="6311180D" w:rsidR="00051F22" w:rsidRPr="0050285D" w:rsidRDefault="00C13165" w:rsidP="00AA2991">
      <w:pPr>
        <w:pStyle w:val="ZUSTzmustartykuempunktem"/>
      </w:pPr>
      <w:r w:rsidRPr="0050285D">
        <w:t>2. Τα πιστωτικά ιδρύματα υποβάλλουν στην πολωνική αρχή χρηματοπιστωτικής εποπτείας δηλώσεις πληρωμής για την κάλυψη των εποπτικών δαπανών. Το άρθρο 59δζ παράγραφος 2 εφαρμόζεται αντίστοιχα.</w:t>
      </w:r>
    </w:p>
    <w:p w14:paraId="75CBDF6B" w14:textId="2BA3AE19" w:rsidR="00051F22" w:rsidRPr="0050285D" w:rsidRDefault="00C1127D" w:rsidP="00051F22">
      <w:pPr>
        <w:pStyle w:val="ZARTzmartartykuempunktem"/>
      </w:pPr>
      <w:r w:rsidRPr="0050285D">
        <w:t>3. Ο Πρωθυπουργός καθορίζει με κανονισμό τα ακόλουθα:</w:t>
      </w:r>
    </w:p>
    <w:p w14:paraId="2946FA8B" w14:textId="77777777" w:rsidR="00051F22" w:rsidRPr="0050285D" w:rsidRDefault="00051F22" w:rsidP="000B3A10">
      <w:pPr>
        <w:pStyle w:val="ZPKTzmpktartykuempunktem"/>
      </w:pPr>
      <w:r w:rsidRPr="0050285D">
        <w:t>1)</w:t>
      </w:r>
      <w:r w:rsidRPr="0050285D">
        <w:tab/>
        <w:t>τις προθεσμίες πληρωμής, το ποσό και τον τρόπο υπολογισμού των πληρωμών που αναφέρονται στην παράγραφο 1,</w:t>
      </w:r>
    </w:p>
    <w:p w14:paraId="230664EA" w14:textId="77777777" w:rsidR="00051F22" w:rsidRPr="0050285D" w:rsidRDefault="00051F22" w:rsidP="000B3A10">
      <w:pPr>
        <w:pStyle w:val="ZPKTzmpktartykuempunktem"/>
      </w:pPr>
      <w:r w:rsidRPr="0050285D">
        <w:lastRenderedPageBreak/>
        <w:t>2)</w:t>
      </w:r>
      <w:r w:rsidRPr="0050285D">
        <w:tab/>
        <w:t>τη μέθοδο και τις προθεσμίες για τον διακανονισμό των πληρωμών που αναφέρονται στην παράγραφο 1,</w:t>
      </w:r>
    </w:p>
    <w:p w14:paraId="475A243F" w14:textId="415ABD17" w:rsidR="00051F22" w:rsidRPr="0050285D" w:rsidRDefault="00051F22" w:rsidP="000B3A10">
      <w:pPr>
        <w:pStyle w:val="ZPKTzmpktartykuempunktem"/>
      </w:pPr>
      <w:r w:rsidRPr="0050285D">
        <w:t>3)</w:t>
      </w:r>
      <w:r w:rsidRPr="0050285D">
        <w:tab/>
        <w:t>τη δήλωση του δείγματος για την πραγματοποίηση της πληρωμής για την κάλυψη των δαπανών εποπτείας</w:t>
      </w:r>
    </w:p>
    <w:p w14:paraId="5F477B71" w14:textId="77777777" w:rsidR="00231778" w:rsidRPr="0050285D" w:rsidRDefault="00051F22" w:rsidP="00051F22">
      <w:pPr>
        <w:pStyle w:val="ZARTzmartartykuempunktem"/>
      </w:pPr>
      <w:r w:rsidRPr="0050285D">
        <w:t>— προκειμένου να διασφαλιστεί ότι το ποσό των εισφορών για την κάλυψη των δαπανών εποπτείας δεν αυξάνει σημαντικά τις λειτουργικές δαπάνες των οντοτήτων που υποχρεούνται να τις καταβάλουν, την ανάγκη διασφάλισης της αποτελεσματικότητας της εποπτείας και τη δυνατότητα υποβολής πληροφοριών σχετικά με την πληρωμή των δαπανών εποπτείας υπό μορφή ηλεκτρονικού εγγράφου κατά την έννοια του άρθρου 3 παράγραφος 2 του νόμου της 17ης Φεβρουαρίου 2005 για τη μηχανοργάνωση των δραστηριοτήτων των φορέων που εκτελούν δημόσια καθήκοντα.</w:t>
      </w:r>
    </w:p>
    <w:p w14:paraId="31584312" w14:textId="1AA24BED" w:rsidR="00051F22" w:rsidRPr="0050285D" w:rsidRDefault="00051F22" w:rsidP="00051F22">
      <w:pPr>
        <w:pStyle w:val="ZARTzmartartykuempunktem"/>
      </w:pPr>
      <w:r w:rsidRPr="0050285D">
        <w:t>Άρθρο 59δ ιστ. 1. Ένα πιστωτικό ίδρυμα που δεν συμμορφώνεται με την υποχρέωση που αναφέρεται στο άρθρο 59δζ παράγραφος 1 εδάφιο 4 καταβάλλει χρηματική ποινή ύψους 5 000 PLN στην πολωνική αρχή χρηματοπιστωτικής εποπτείας. Η καταβολή του προστίμου δεν εξαιρείται από την υποχρέωση που αναφέρεται στο άρθρο 59δζ παράγραφος 1 εδάφιο 4.</w:t>
      </w:r>
    </w:p>
    <w:p w14:paraId="2211C5DC" w14:textId="77777777" w:rsidR="00051F22" w:rsidRPr="0050285D" w:rsidRDefault="00051F22" w:rsidP="00051F22">
      <w:pPr>
        <w:pStyle w:val="ZARTzmartartykuempunktem"/>
      </w:pPr>
      <w:r w:rsidRPr="0050285D">
        <w:t>2. Το ισοδύναμο σε PLN, εκφρασμένο σε ευρώ, του ποσού που αναφέρεται στην παράγραφο 1 μετατρέπεται με βάση τη μέση συναλλαγματική ισοτιμία του ευρώ που ανακοίνωσε η Εθνική Τράπεζα της Πολωνίας την τελευταία εργάσιμη ημέρα του έτους που προηγείται του ημερολογιακού έτους κατά το οποίο γεννήθηκε η υποχρέωση.</w:t>
      </w:r>
    </w:p>
    <w:p w14:paraId="1EE044DE" w14:textId="0F2810FF" w:rsidR="00051F22" w:rsidRPr="0050285D" w:rsidRDefault="00051F22" w:rsidP="00051F22">
      <w:pPr>
        <w:pStyle w:val="ZARTzmartartykuempunktem"/>
      </w:pPr>
      <w:r w:rsidRPr="0050285D">
        <w:t xml:space="preserve">3. Εάν η εποπτική αρχή διαπιστώσει ότι το πιστωτικό ίδρυμα δεν έχει συμμορφωθεί με την υποχρέωση που αναφέρεται στο άρθρο 59δζ παράγραφος 1 εδάφιο 4, η πολωνική αρχή χρηματοπιστωτικής εποπτείας ζητεί από το ίδρυμα να καταβάλει το πρόστιμο που αναφέρεται στην παράγραφο 1 εντός 30 ημερών και ζητεί την άμεση εφαρμογή της υποχρέωσης που αναφέρεται στο άρθρο 59δζ παράγραφος 1 εδάφιο 4, παρέχοντας πληροφορίες σχετικά με το περιεχόμενο της παραγράφου 1 δεύτερη πρόταση. </w:t>
      </w:r>
    </w:p>
    <w:p w14:paraId="7E5ED7C2" w14:textId="5EBA8E0A" w:rsidR="00064251" w:rsidRPr="0050285D" w:rsidRDefault="00051F22" w:rsidP="00AD28B5">
      <w:pPr>
        <w:pStyle w:val="ZCZWSPPKTzmczciwsppktartykuempunktem"/>
      </w:pPr>
      <w:r w:rsidRPr="0050285D">
        <w:t>4. Το πρόστιμο που αναφέρεται στην παράγραφο 1 υπόκειται σε αναγκαστική εκτέλεση σύμφωνα με τις διατάξεις του νόμου περί διαδικασιών αναγκαστικής εκτέλεσης της 17ης Ιουνίου 1966.</w:t>
      </w:r>
    </w:p>
    <w:p w14:paraId="1CBEB81D" w14:textId="0C0A22E0" w:rsidR="00AF0342" w:rsidRPr="0050285D" w:rsidRDefault="00064251" w:rsidP="00AD28B5">
      <w:pPr>
        <w:pStyle w:val="ZCZWSPPKTzmczciwsppktartykuempunktem"/>
      </w:pPr>
      <w:r w:rsidRPr="0050285D">
        <w:t xml:space="preserve">5. Εάν η μη συμμόρφωση με την υποχρέωση που αναφέρεται στο άρθρο 59δζ παράγραφος 1 εδάφιο 4 συνεπάγεται την επιβολή της κύρωσης που αναφέρεται στο άρθρο 59δι παράγραφος 1 εδάφιο 2 στο πιστωτικό ίδρυμα, κατά τον καθορισμό του </w:t>
      </w:r>
      <w:r w:rsidRPr="0050285D">
        <w:lastRenderedPageBreak/>
        <w:t>ύψους της χρηματικής ποινής λαμβάνεται υπόψη το ποσό της καταβληθείσας χρηματικής ποινής όπως αναφέρεται στην παράγραφο 1.»·</w:t>
      </w:r>
    </w:p>
    <w:p w14:paraId="5BAA049A" w14:textId="77777777" w:rsidR="00AF0342" w:rsidRPr="0050285D" w:rsidRDefault="00AF0342" w:rsidP="00AF0342">
      <w:pPr>
        <w:pStyle w:val="ZCZWSPPKTzmczciwsppktartykuempunktem"/>
        <w:ind w:hanging="510"/>
      </w:pPr>
      <w:r w:rsidRPr="0050285D">
        <w:t>12) Το άρθρο 59ι προστίθεται μετά το άρθρο 59θ και διατυπώνεται ως εξής:</w:t>
      </w:r>
    </w:p>
    <w:p w14:paraId="247F8082" w14:textId="77777777" w:rsidR="00AF0342" w:rsidRPr="0050285D" w:rsidRDefault="00AF0342" w:rsidP="00AF0342">
      <w:pPr>
        <w:pStyle w:val="ZCZWSPPKTzmczciwsppktartykuempunktem"/>
        <w:ind w:firstLine="57"/>
      </w:pPr>
      <w:r w:rsidRPr="0050285D">
        <w:t>«Άρθρο 59ι.» 1. Όποιος, ως υπεύθυνος σε πιστωτικό ίδρυμα για την παροχή πληροφοριών στην πολωνική αρχή χρηματοπιστωτικής εποπτείας, παρέχει ανακριβείς πληροφορίες ή με άλλο τρόπο παραπλανεί την αρχή, τιμωρείται με χρηματική ποινή έως 1 000 000 PLN ή φυλάκιση έως 2 ετών, ή και τα δύο.</w:t>
      </w:r>
    </w:p>
    <w:p w14:paraId="4A71B8AB" w14:textId="63715781" w:rsidR="00A749FE" w:rsidRPr="0050285D" w:rsidRDefault="00AF0342" w:rsidP="00AF0342">
      <w:pPr>
        <w:pStyle w:val="ZCZWSPPKTzmczciwsppktartykuempunktem"/>
        <w:ind w:firstLine="57"/>
      </w:pPr>
      <w:r w:rsidRPr="0050285D">
        <w:t>2. Εάν ο δράστης ενεργήσει ακούσια, τιμωρείται με χρηματική ποινή έως 500 000 PLN ή φυλάκιση έως ένα έτος ή και τα δύο.»</w:t>
      </w:r>
    </w:p>
    <w:p w14:paraId="07C64FDE" w14:textId="77777777" w:rsidR="00A749FE" w:rsidRPr="0050285D" w:rsidRDefault="00A749FE" w:rsidP="00A749FE">
      <w:pPr>
        <w:pStyle w:val="ARTartustawynprozporzdzenia"/>
      </w:pPr>
      <w:r w:rsidRPr="0050285D">
        <w:rPr>
          <w:rStyle w:val="Ppogrubienie"/>
        </w:rPr>
        <w:t>Άρθρο 8.</w:t>
      </w:r>
      <w:r w:rsidRPr="0050285D">
        <w:t> Το άρθρο 3 του νόμου για την αντίστροφη ενυπόθηκη πίστη της 23ης Οκτωβρίου 2014 (Επίσημη Εφημερίδα του 2016 θέση 786 και Επίσημη Εφημερίδα του 2020 θέση 2320) έχει ως εξής:</w:t>
      </w:r>
    </w:p>
    <w:p w14:paraId="5DF29FA9" w14:textId="77777777" w:rsidR="00A749FE" w:rsidRPr="0050285D" w:rsidRDefault="00A749FE" w:rsidP="00AD28B5">
      <w:pPr>
        <w:pStyle w:val="ZARTzmartartykuempunktem"/>
      </w:pPr>
      <w:r w:rsidRPr="0050285D">
        <w:t xml:space="preserve">«Άρθρο 3. Σε θέματα που αφορούν </w:t>
      </w:r>
      <w:bookmarkStart w:id="9" w:name="highlightHit_21"/>
      <w:bookmarkEnd w:id="9"/>
      <w:r w:rsidRPr="0050285D">
        <w:t xml:space="preserve">την αντίστροφη </w:t>
      </w:r>
      <w:bookmarkStart w:id="10" w:name="highlightHit_22"/>
      <w:bookmarkStart w:id="11" w:name="highlightHit_23"/>
      <w:bookmarkEnd w:id="10"/>
      <w:bookmarkEnd w:id="11"/>
      <w:r w:rsidRPr="0050285D">
        <w:t>ενυπόθηκη πίστη, το άρθρο 69 παράγραφοι 1 και 2, το άρθρο 70, τα άρθρα 74-75α, 76α, 77, 78 και 78α του νόμου περί τραπεζικού δικαίου της 29ης Αυγούστου 1997 και το άρθρο 387</w:t>
      </w:r>
      <w:r w:rsidRPr="0050285D">
        <w:rPr>
          <w:rStyle w:val="IGindeksgrny"/>
        </w:rPr>
        <w:t>1</w:t>
      </w:r>
      <w:r w:rsidRPr="0050285D">
        <w:t xml:space="preserve"> του νόμου περί αστικού κώδικα της 23ης Απριλίου 1964 (Επίσημη Εφημερίδα του 2020 θέσεις 1740 και 2320 και Επίσημη Εφημερίδα του 2021 θέση 1509) δεν εφαρμόζονται.»</w:t>
      </w:r>
    </w:p>
    <w:p w14:paraId="3FE3F016" w14:textId="77777777" w:rsidR="00A749FE" w:rsidRPr="0050285D" w:rsidRDefault="00A749FE" w:rsidP="00AD28B5">
      <w:pPr>
        <w:pStyle w:val="ARTartustawynprozporzdzenia"/>
      </w:pPr>
      <w:r w:rsidRPr="0050285D">
        <w:rPr>
          <w:rStyle w:val="Ppogrubienie"/>
        </w:rPr>
        <w:t>Άρθρο 9.</w:t>
      </w:r>
      <w:r w:rsidRPr="0050285D">
        <w:t xml:space="preserve"> Στο άρθρο 63 του νόμου περί ενυπόθηκης πίστης και εποπτείας των μεσιτών και πρακτόρων ενυπόθηκων δανείων, της 23ης Μαρτίου 2017, (Επίσημη Εφημερίδα 2020 θέσεις 1027 και 2320):</w:t>
      </w:r>
    </w:p>
    <w:p w14:paraId="267E3FBB" w14:textId="77777777" w:rsidR="00A749FE" w:rsidRPr="0050285D" w:rsidRDefault="005968F2" w:rsidP="00AD28B5">
      <w:pPr>
        <w:pStyle w:val="PKTpunkt"/>
      </w:pPr>
      <w:r w:rsidRPr="0050285D">
        <w:t>1)</w:t>
      </w:r>
      <w:r w:rsidRPr="0050285D">
        <w:tab/>
        <w:t>στην παράγραφο 3 εδάφιο 2 στοιχείο ε), η τελεία αντικαθίσταται από άνω τελεία και το σημείο 3 προστίθεται ως εξής:</w:t>
      </w:r>
    </w:p>
    <w:p w14:paraId="545FA433" w14:textId="77777777" w:rsidR="00A749FE" w:rsidRPr="0050285D" w:rsidRDefault="00A749FE" w:rsidP="00AD28B5">
      <w:pPr>
        <w:pStyle w:val="ZPKTzmpktartykuempunktem"/>
      </w:pPr>
      <w:r w:rsidRPr="0050285D">
        <w:t>«3)</w:t>
      </w:r>
      <w:r w:rsidRPr="0050285D">
        <w:tab/>
        <w:t>σημείωση σχετικά με τη διαγραφή από το μητρώο.»·</w:t>
      </w:r>
    </w:p>
    <w:p w14:paraId="742B2C5D" w14:textId="77777777" w:rsidR="00A749FE" w:rsidRPr="0050285D" w:rsidRDefault="005968F2" w:rsidP="00AD28B5">
      <w:pPr>
        <w:pStyle w:val="PKTpunkt"/>
      </w:pPr>
      <w:r w:rsidRPr="0050285D">
        <w:t>2)</w:t>
      </w:r>
      <w:r w:rsidRPr="0050285D">
        <w:tab/>
        <w:t>η τελεία της παραγράφου 4 εδάφιο 3 αντικαθίσταται από άνω τελεία και το εδάφιο 4 προστίθεται ως εξής:</w:t>
      </w:r>
    </w:p>
    <w:p w14:paraId="3751E4F2" w14:textId="77777777" w:rsidR="00A749FE" w:rsidRPr="0050285D" w:rsidRDefault="00A749FE" w:rsidP="00AD28B5">
      <w:pPr>
        <w:pStyle w:val="ZPKTzmpktartykuempunktem"/>
      </w:pPr>
      <w:r w:rsidRPr="0050285D">
        <w:t>«4)</w:t>
      </w:r>
      <w:r w:rsidRPr="0050285D">
        <w:tab/>
        <w:t xml:space="preserve"> σημείωση σχετικά με τη διαγραφή από το μητρώο.».</w:t>
      </w:r>
    </w:p>
    <w:p w14:paraId="5BC8E6D0" w14:textId="7F1DB0EA" w:rsidR="00A749FE" w:rsidRPr="0050285D" w:rsidRDefault="00A749FE" w:rsidP="00A749FE">
      <w:pPr>
        <w:pStyle w:val="ARTartustawynprozporzdzenia"/>
      </w:pPr>
      <w:bookmarkStart w:id="12" w:name="_Hlk83806295"/>
      <w:r w:rsidRPr="0050285D">
        <w:rPr>
          <w:rStyle w:val="Ppogrubienie"/>
        </w:rPr>
        <w:t>Άρθρο 10.</w:t>
      </w:r>
      <w:r w:rsidRPr="0050285D">
        <w:t> </w:t>
      </w:r>
      <w:bookmarkStart w:id="13" w:name="_Hlk88754472"/>
      <w:r w:rsidRPr="0050285D">
        <w:t>Οι διατάξεις των νόμων που τροποποιούνται στο άρθρο 1, στο άρθρο 4, στο άρθρο 6 και στο άρθρο 7, όπως τροποποιούνται με τον παρόντα νόμο, δεν εφαρμόζονται στα καταναλωτικά δάνεια και στις δανειακές συμβάσεις που έχουν συναφθεί πριν από την έναρξη ισχύος του παρόντος νόμου.</w:t>
      </w:r>
    </w:p>
    <w:bookmarkEnd w:id="13"/>
    <w:p w14:paraId="00EC7660" w14:textId="4F100EAD" w:rsidR="00A749FE" w:rsidRPr="0050285D" w:rsidRDefault="00A749FE" w:rsidP="008D1B58">
      <w:pPr>
        <w:pStyle w:val="ARTartustawynprozporzdzenia"/>
      </w:pPr>
      <w:r w:rsidRPr="0050285D">
        <w:rPr>
          <w:rStyle w:val="Ppogrubienie"/>
        </w:rPr>
        <w:t>Άρθρο 11.</w:t>
      </w:r>
      <w:r w:rsidRPr="0050285D">
        <w:t> </w:t>
      </w:r>
      <w:bookmarkEnd w:id="12"/>
      <w:r w:rsidRPr="0050285D">
        <w:t xml:space="preserve">Πιστωτικό ίδρυμα που ασκεί δραστηριότητα χορήγησης καταναλωτικού δανείου πριν από την ημερομηνία έναρξης ισχύος του παρόντος νόμου, πραγματοποιεί την </w:t>
      </w:r>
      <w:r w:rsidRPr="0050285D">
        <w:lastRenderedPageBreak/>
        <w:t xml:space="preserve">πρώτη πληρωμή για το 2022, όπως αναφέρεται στο άρθρο 59δ παράγραφος 1 του νόμου που τροποποιείται στο άρθρο 7, όπως τροποποιήθηκε με τον παρόντα νόμο, έως την 1η Φεβρουαρίου 2023. </w:t>
      </w:r>
    </w:p>
    <w:p w14:paraId="518B8064" w14:textId="50293DC2" w:rsidR="00E52E6D" w:rsidRPr="0050285D" w:rsidRDefault="00F179EC" w:rsidP="004A6A1A">
      <w:pPr>
        <w:pStyle w:val="USTustnpkodeksu"/>
      </w:pPr>
      <w:r w:rsidRPr="0050285D">
        <w:rPr>
          <w:b/>
        </w:rPr>
        <w:t xml:space="preserve">Άρθρο 12. </w:t>
      </w:r>
      <w:r w:rsidRPr="0050285D">
        <w:t>1.</w:t>
      </w:r>
      <w:r w:rsidRPr="0050285D">
        <w:rPr>
          <w:b/>
        </w:rPr>
        <w:t xml:space="preserve"> </w:t>
      </w:r>
      <w:r w:rsidRPr="0050285D">
        <w:t>Πιστωτικό ίδρυμα εγγεγραμμένο στο μητρώο που αναφέρεται στο άρθρο 59αα παράγραφος 1 του νόμου που τροποποιήθηκε στο άρθρο 7, πριν από την ημερομηνία έναρξης ισχύος του άρθρου 7 παράγραφοι 6, 7, 9 και 10 του παρόντος νόμου, το οποίο, κατά την ημερομηνία έναρξης ισχύος των διατάξεων αυτών, δεν πληροί τις απαιτήσεις που ορίζονται σε αυτό, μπορεί να συνεχίσει να λειτουργεί στον τομέα της χορήγησης καταναλωτικών δανείων έως τις 31 Δεκεμβρίου 2022.</w:t>
      </w:r>
    </w:p>
    <w:p w14:paraId="6FC963D7" w14:textId="77777777" w:rsidR="008554DF" w:rsidRPr="0050285D" w:rsidRDefault="00E52E6D" w:rsidP="00A749FE">
      <w:pPr>
        <w:pStyle w:val="USTustnpkodeksu"/>
      </w:pPr>
      <w:r w:rsidRPr="0050285D">
        <w:t xml:space="preserve">2. Έως τις 30 Νοεμβρίου 2022, τα πιστωτικά ιδρύματα που αναφέρονται στην παράγραφο 1 ενημερώνουν την πολωνική αρχή χρηματοπιστωτικής εποπτείας για τα μέτρα που έλαβαν προκειμένου να συμμορφωθούν με τις απαιτήσεις </w:t>
      </w:r>
      <w:bookmarkStart w:id="14" w:name="_Hlk85806381"/>
      <w:r w:rsidRPr="0050285D">
        <w:t>που αναφέρονται στο άρθρο 59α παράγραφοι 1 και 2 του νόμου που τροποποιείται στο άρθρο 7, όπως τροποποιήθηκε με τον παρόντα νόμο</w:t>
      </w:r>
      <w:bookmarkEnd w:id="14"/>
      <w:r w:rsidRPr="0050285D">
        <w:t xml:space="preserve">.  </w:t>
      </w:r>
    </w:p>
    <w:p w14:paraId="1C0819A8" w14:textId="14721374" w:rsidR="009A295A" w:rsidRPr="0050285D" w:rsidRDefault="00C106D5" w:rsidP="00346832">
      <w:pPr>
        <w:pStyle w:val="USTustnpkodeksu"/>
      </w:pPr>
      <w:r w:rsidRPr="0050285D">
        <w:t xml:space="preserve">3. Ένα πιστωτικό ίδρυμα το οποίο, από την 1η Ιανουαρίου 2023, δεν πληροί τις προϋποθέσεις του άρθρου 59α παράγραφοι 1 και 2 του νόμου που τροποποιείται στο άρθρο 7, όπως τροποποιήθηκε με τον παρόντα νόμο, διαγράφεται από το μητρώο που αναφέρεται στο άρθρο 59αα παράγραφος 1 του νόμου που τροποποιείται με το άρθρο 7 του παρόντος νόμου. </w:t>
      </w:r>
    </w:p>
    <w:p w14:paraId="776111E5" w14:textId="4433124D" w:rsidR="00285FC3" w:rsidRPr="0050285D" w:rsidRDefault="00285FC3" w:rsidP="00346832">
      <w:pPr>
        <w:pStyle w:val="USTustnpkodeksu"/>
      </w:pPr>
      <w:r w:rsidRPr="0050285D">
        <w:t>4. Οι διαδικασίες εγγραφής στο μητρώο του άρθρου 59αα παράγραφος 1 του τροποποιηθέντος με το άρθρο 7 νόμου, οι οποίες ξεκίνησαν και δεν ολοκληρώθηκαν πριν από την ημερομηνία έναρξης ισχύος των παραγράφων 6, 7, 9 και 10 του άρθρου 7 του παρόντος νόμου, ακυρώνονται εφόσον ο αιτών δεν συμμορφώνεται με τις απαιτήσεις που ορίζονται σε αυτό κατά την ημερομηνία έναρξης ισχύος των εν λόγω διατάξεων.</w:t>
      </w:r>
    </w:p>
    <w:p w14:paraId="7DCD00E5" w14:textId="59331CCF" w:rsidR="00F179EC" w:rsidRPr="0050285D" w:rsidRDefault="00A749FE" w:rsidP="00AD28B5">
      <w:pPr>
        <w:pStyle w:val="ARTartustawynprozporzdzenia"/>
      </w:pPr>
      <w:r w:rsidRPr="0050285D">
        <w:rPr>
          <w:rStyle w:val="Ppogrubienie"/>
        </w:rPr>
        <w:t>Άρθρο 13.</w:t>
      </w:r>
      <w:r w:rsidRPr="0050285D">
        <w:t xml:space="preserve"> Ο νόμος τίθεται σε ισχύ 6 μήνες από τη δημοσίευσή του, εκτός από:</w:t>
      </w:r>
    </w:p>
    <w:p w14:paraId="3CA83A3E" w14:textId="495E6637" w:rsidR="00F179EC" w:rsidRPr="0050285D" w:rsidRDefault="00F02735" w:rsidP="00D460F1">
      <w:pPr>
        <w:pStyle w:val="ARTartustawynprozporzdzenia"/>
        <w:numPr>
          <w:ilvl w:val="0"/>
          <w:numId w:val="47"/>
        </w:numPr>
      </w:pPr>
      <w:r w:rsidRPr="0050285D">
        <w:t>το άρθρο 7 εδάφια 4</w:t>
      </w:r>
      <w:bookmarkStart w:id="15" w:name="_Hlk86070982"/>
      <w:r w:rsidRPr="0050285D">
        <w:t>-7, 9 και 10</w:t>
      </w:r>
      <w:bookmarkEnd w:id="15"/>
      <w:r w:rsidRPr="0050285D">
        <w:t xml:space="preserve"> που τίθενται σε ισχύ 30 ημέρες μετά την ημερομηνία δημοσίευσης·</w:t>
      </w:r>
    </w:p>
    <w:p w14:paraId="1CCF297A" w14:textId="77777777" w:rsidR="00A749FE" w:rsidRDefault="00F179EC" w:rsidP="00D460F1">
      <w:pPr>
        <w:pStyle w:val="ARTartustawynprozporzdzenia"/>
        <w:numPr>
          <w:ilvl w:val="0"/>
          <w:numId w:val="47"/>
        </w:numPr>
      </w:pPr>
      <w:r w:rsidRPr="0050285D">
        <w:t>το άρθρο 7 παράγραφος 11 που τίθεται σε ισχύ την 1η Ιανουαρίου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w:t>
      </w:r>
      <w:r>
        <w:tab/>
        <w:t>Ο νόμος τροποποιεί τις ακόλουθες πράξεις: τον νόμο περί αστικού κώδικα της 23ης Απριλίου 1964, τον νόμο περί κώδικα πολιτικής δικονομίας της 17ης Νοεμβρίου 1964, τον νόμο περί ποινικού κώδικα της 6ης Ιουνίου 1997, τον νόμο περί τραπεζικού δικαίου της 29ης Αυγούστου 1997, τον νόμο περί εποπτείας της χρηματοπιστωτικής αγοράς της 21ης Ιουλίου 2006, τον νόμο περί συνεταιριστικής αποταμίευσης και πιστωτικών ενώσεων της 5ης Νοεμβρίου 2009, τον νόμο περί καταναλωτικής πίστης της 12ης Μαΐου 2011, τον νόμο για την αντίστροφη ενυπόθηκη πίστη της 23ης Οκτωβρίου 2014 και τον νόμο της 23ης Μαρτίου 2017 περί ενυπόθηκης πίστης και εποπτείας των μεσιτών και πρακτόρων ενυπόθηκων δανείων.</w:t>
      </w:r>
    </w:p>
  </w:footnote>
  <w:footnote w:id="2">
    <w:p w14:paraId="0EFB2BB2" w14:textId="77777777" w:rsidR="002066D8" w:rsidRPr="00C43A60" w:rsidRDefault="002066D8" w:rsidP="002066D8">
      <w:pPr>
        <w:pStyle w:val="ODNONIKtreodnonika"/>
      </w:pPr>
      <w:r>
        <w:rPr>
          <w:rStyle w:val="FootnoteReference"/>
        </w:rPr>
        <w:footnoteRef/>
      </w:r>
      <w:r>
        <w:rPr>
          <w:rStyle w:val="IGindeksgrny"/>
        </w:rPr>
        <w:t>)</w:t>
      </w:r>
      <w:r>
        <w:t xml:space="preserve"> </w:t>
      </w:r>
      <w:r>
        <w:t xml:space="preserve">Οι τροποποιήσεις του ενοποιημένου κειμένου του νόμου δημοσιεύθηκαν στην Επίσημη Εφημερίδα του 2020 θέσεις 2320 και 2419 και στην Επίσημη Εφημερίδα του 2021 θέσεις 432, 680, 815, 1177, 1598, 1626, 1666 και 2052.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w:t>
      </w:r>
      <w:r>
        <w:tab/>
      </w:r>
      <w:r>
        <w:t>Οι τροποποιήσεις του παρόντος κανονισμού δημοσιεύθηκαν στην ΕΕ L 338 της 17.12.2008, σ. 10, 17, 21 και 25, ΕΕ L 339 της 18.12.2008, σ. 3, ΕΕ L 17 της 22.1.2009, σ. 23, ΕΕ L 21 της 24.1.2009, σ. 10 και 16, ΕΕ L 80 της 26.3.2009, σ. 5, ΕΕ L 139 της 5.6.2009, σ. 6, ΕΕ L 149 της 12.6.2009, σ. 6 και 22, ΕΕ L 191 της 23.7.2009, σ. 5, ΕΕ L 239 της 10.9.2009, σ. 48, ΕΕ L 244 της 16.9.2009, σ. 6, ΕΕ L 311 της 26.11.2009, σ. 6, ΕΕ L 312 της 27.11.2009, σ. 8, ΕΕ L 314 της 1.12.2009, σ. 15, 21 και 43, ΕΕ L 347 της 24.12.2009, σ. 23, ΕΕ L 77 της 24.3.2010, σ. 33 και 42, ΕΕ L 157 της 24.6.2010, σ. 3, ΕΕ L 166 της 1.7.2010, σ. 6, ΕΕ L 186 της 20.7.2010, σ. 1 και 10, ΕΕ L 193 της 24.7.2010, σ. 1, ΕΕ L 46 της 19.2.2011, σ. 1, ΕΕ L 305 της 23.11.2011, σ. 16, σ. 1, ΕΕ L 146 της 6.6.2012, σ. 1, ΕΕ L 360 της 29.12.2012, σ. 1, 78 και 145, ΕΕ L 61 της 5.3.2013, σ. 6, ΕΕ L 90 της 28.3.2013, σ. 78, ΕΕ L 95 της 5.4.2013, σ. 9, ΕΕ L 312 της 21.11.2013, σ. 1, ΕΕ L 346 της 20.12.2013, σ. 38 και 42, ΕΕ L 175 της 14.6.2014, σ. 9, ΕΕ L 365 της 19.12.2014, σ. 120, ΕΕ L 5 της 9.1.2015, σ. 1 και 11, ΕΕ L 306 της 24.11.2015, σ. 7, ΕΕ L 307 της 25.11.2015, σ. 11, ΕΕ L 317 της 3.12.2015, σ. 19, ΕΕ L 330 της 16.12.2015, σ. 20, ΕΕ L 333 της 19.12.2015, σ. 97, ΕΕ L 336 της 23.12.2015, σ. 49, ΕΕ L 257 της 23.9.2016, σ. 1, ΕΕ L 295 της 29.10.2016, σ. 19, ΕΕ L 323 της 29.11.2016, σ. 1, ΕΕ L 291 της 9.11.2017, σ. 1, 63, 72, 84 και 89, ΕΕ L 34 της 8.2.2018, σ. 1, ΕΕ L 55 της 27.2.2018, σ. 21, ΕΕ L 72 της 15.3.2018, σ. 13, ΕΕ L 82 της 26.3.208, σ. 3, ΕΕ L 87 της 3.4.2018, σ. 3, ΕΕ L 265 της 24.10.2018, σ. 3, ΕΕ L 39 της 11.2.2019, σ. 1, ΕΕ L 72 της 14.3.2019, σ. 6, ΕΕ L 73 της 15.3.2019, σ. 93, ΕΕ L 316 της 6.12.2019, σ. 10, ΕΕ L 318 της 10.12.2019, σ. 74, ΕΕ L 12 της 16.1.2020, σ. 5, ΕΕ L 127 z 22.4.2020, σ. 13, ΕΕ L 331 της 12.10.2020, σ. 20, ΕΕ L 425 της 16.12.2020, σ. 10, ΕΕ L 11 της 14.1.2021, σ. 7, και ΕΕ L 305 της 31.8.2021, σ.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85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l-GR"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21</TotalTime>
  <Pages>20</Pages>
  <Words>6052</Words>
  <Characters>34501</Characters>
  <Application>Microsoft Office Word</Application>
  <DocSecurity>0</DocSecurity>
  <Lines>287</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Liana Brili</cp:lastModifiedBy>
  <cp:revision>4</cp:revision>
  <cp:lastPrinted>2021-12-10T10:53:00Z</cp:lastPrinted>
  <dcterms:created xsi:type="dcterms:W3CDTF">2021-12-27T13:39:00Z</dcterms:created>
  <dcterms:modified xsi:type="dcterms:W3CDTF">2022-01-17T14:17:00Z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