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Projeto de 10 de dezembro de 2021</w:t>
      </w:r>
    </w:p>
    <w:p w14:paraId="5C35B594" w14:textId="77777777" w:rsidR="00A749FE" w:rsidRPr="00C770BB" w:rsidRDefault="00A749FE" w:rsidP="00A749FE">
      <w:pPr>
        <w:pStyle w:val="OZNRODZAKTUtznustawalubrozporzdzenieiorganwydajcy"/>
      </w:pPr>
      <w:r>
        <w:t>LEI</w:t>
      </w:r>
    </w:p>
    <w:p w14:paraId="1383CC47" w14:textId="77777777" w:rsidR="00A749FE" w:rsidRPr="00C770BB" w:rsidRDefault="00A749FE" w:rsidP="00A749FE">
      <w:pPr>
        <w:pStyle w:val="DATAAKTUdatauchwalenialubwydaniaaktu"/>
      </w:pPr>
      <w:r>
        <w:t>de</w:t>
      </w:r>
    </w:p>
    <w:p w14:paraId="42408DA5" w14:textId="77777777" w:rsidR="00A749FE" w:rsidRPr="006E6C77" w:rsidRDefault="00A749FE" w:rsidP="00A749FE">
      <w:pPr>
        <w:pStyle w:val="TYTUAKTUprzedmiotregulacjiustawylubrozporzdzenia"/>
      </w:pPr>
      <w:r>
        <w:t>que altera determinadas Leis a fim de evitar a usura</w:t>
      </w:r>
      <w:r w:rsidRPr="00792E99">
        <w:rPr>
          <w:rStyle w:val="IGPindeksgrnyipogrubienie"/>
        </w:rPr>
        <w:footnoteReference w:id="1"/>
      </w:r>
      <w:r>
        <w:rPr>
          <w:rStyle w:val="IGPindeksgrnyipogrubienie"/>
        </w:rPr>
        <w:t>)</w:t>
      </w:r>
    </w:p>
    <w:p w14:paraId="4186C237" w14:textId="77777777" w:rsidR="00A749FE" w:rsidRPr="009D5640" w:rsidRDefault="00A749FE" w:rsidP="00A749FE">
      <w:pPr>
        <w:pStyle w:val="ARTartustawynprozporzdzenia"/>
      </w:pPr>
      <w:r>
        <w:rPr>
          <w:rStyle w:val="Ppogrubienie"/>
        </w:rPr>
        <w:t>Artigo 1.</w:t>
      </w:r>
      <w:r>
        <w:t> A Lei do Código Civil, de 23 de abril de 1964 (Jornal Oficial 2020, pontos 1740 e 2320, e Jornal Oficial de 2021, ponto 1509), é alterada do seguinte modo:</w:t>
      </w:r>
    </w:p>
    <w:p w14:paraId="69D59890" w14:textId="77777777" w:rsidR="00A749FE" w:rsidRPr="009D5640" w:rsidRDefault="00236A11" w:rsidP="00A749FE">
      <w:pPr>
        <w:pStyle w:val="PKTpunkt"/>
      </w:pPr>
      <w:r>
        <w:t>1)</w:t>
      </w:r>
      <w:r>
        <w:tab/>
        <w:t>a seguir ao artigo 720, é aditado o seguinte artigo 720</w:t>
      </w:r>
      <w:r>
        <w:rPr>
          <w:rStyle w:val="IGindeksgrny"/>
        </w:rPr>
        <w:t xml:space="preserve">1 </w:t>
      </w:r>
      <w:r>
        <w:t>–720</w:t>
      </w:r>
      <w:r>
        <w:rPr>
          <w:rStyle w:val="IGindeksgrny"/>
        </w:rPr>
        <w:t xml:space="preserve">5 </w:t>
      </w:r>
      <w:r>
        <w:t>:</w:t>
      </w:r>
    </w:p>
    <w:p w14:paraId="424AAB52" w14:textId="77777777" w:rsidR="00A749FE" w:rsidRPr="009D5640" w:rsidRDefault="00A749FE" w:rsidP="00A749FE">
      <w:pPr>
        <w:pStyle w:val="ZARTzmartartykuempunktem"/>
      </w:pPr>
      <w:r>
        <w:t>‘Artigo 720</w:t>
      </w:r>
      <w:r>
        <w:rPr>
          <w:rStyle w:val="IGindeksgrny"/>
        </w:rPr>
        <w:t>1</w:t>
      </w:r>
      <w:r>
        <w:t>. Artigo 1. A disposição do Artigo 720, n.º 1, não exclui o direito do credor em numerário de reclamar juros e não juros ao mutuário, sob reserva das seguintes disposições.</w:t>
      </w:r>
    </w:p>
    <w:p w14:paraId="459B4EEB" w14:textId="77777777" w:rsidR="00A749FE" w:rsidRPr="00F13574" w:rsidRDefault="00A749FE" w:rsidP="00A749FE">
      <w:pPr>
        <w:pStyle w:val="ZARTzmartartykuempunktem"/>
      </w:pPr>
      <w:r>
        <w:t>Artigo 2. Os custos que não sejam juros relacionados com a celebração de um contrato de empréstimo em numerário devem ser entendidos como os seguintes decorrentes desse ou de outro acordo, ou de qualquer outra transação jurídica:</w:t>
      </w:r>
    </w:p>
    <w:p w14:paraId="722F56F3" w14:textId="77777777" w:rsidR="00A749FE" w:rsidRPr="00F13574" w:rsidRDefault="00A749FE" w:rsidP="00792E99">
      <w:pPr>
        <w:pStyle w:val="ZPKTzmpktartykuempunktem"/>
      </w:pPr>
      <w:r>
        <w:t>1)</w:t>
      </w:r>
      <w:r>
        <w:tab/>
        <w:t>margens, comissões ou tarifas relacionadas com a preparação de um contrato de empréstimo, a concessão ou a gestão de um empréstimo, ou custos de natureza semelhante,</w:t>
      </w:r>
    </w:p>
    <w:p w14:paraId="1D27905B" w14:textId="77777777" w:rsidR="00A749FE" w:rsidRDefault="00A749FE" w:rsidP="00792E99">
      <w:pPr>
        <w:pStyle w:val="ZPKTzmpktartykuempunktem"/>
      </w:pPr>
      <w:r>
        <w:t>2)</w:t>
      </w:r>
      <w:r>
        <w:tab/>
        <w:t>comissões relacionadas com o diferimento da data de reembolso do empréstimo, o seu reembolso tardio ou custos de natureza semelhante,</w:t>
      </w:r>
    </w:p>
    <w:p w14:paraId="11D9B214" w14:textId="77777777" w:rsidR="00A749FE" w:rsidRDefault="00A749FE" w:rsidP="00792E99">
      <w:pPr>
        <w:pStyle w:val="ZPKTzmpktartykuempunktem"/>
      </w:pPr>
      <w:r>
        <w:t>3)</w:t>
      </w:r>
      <w:r>
        <w:tab/>
        <w:t>custos de serviços adicionais, em especial custos de seguro, custos relacionados com a constituição de uma garantia para o empréstimo, custos de obtenção de informações sobre o mutuário, sempre que esses custos sejam necessários para a celebração do acordo</w:t>
      </w:r>
    </w:p>
    <w:p w14:paraId="67915386" w14:textId="77777777" w:rsidR="00A749FE" w:rsidRDefault="00A749FE" w:rsidP="00792E99">
      <w:pPr>
        <w:pStyle w:val="ZCZWSPPKTzmczciwsppktartykuempunktem"/>
      </w:pPr>
      <w:r>
        <w:t>– excluindo os honorários notariais e as contribuições de direito público que as partes são obrigadas a pagar no âmbito da celebração do acordo.</w:t>
      </w:r>
    </w:p>
    <w:p w14:paraId="4D3E269A" w14:textId="77777777" w:rsidR="00A749FE" w:rsidRDefault="00A749FE" w:rsidP="00792E99">
      <w:pPr>
        <w:pStyle w:val="ZUSTzmustartykuempunktem"/>
      </w:pPr>
      <w:r>
        <w:t xml:space="preserve">Artigo 3. Se, no momento da celebração do acordo, o credor for representado pelo agente ou por outra pessoa através da qual o mutuante celebra um contrato ou por quem cumpre as suas obrigações, os custos que não sejam juros associados à celebração do </w:t>
      </w:r>
      <w:r>
        <w:lastRenderedPageBreak/>
        <w:t>contrato de empréstimo incluem igualmente a remuneração do agente ou dessa pessoa, desde que seja paga pelo mutuário.</w:t>
      </w:r>
    </w:p>
    <w:p w14:paraId="645BC380" w14:textId="77777777" w:rsidR="00AF3254" w:rsidRDefault="00AF3254" w:rsidP="00AF3254">
      <w:pPr>
        <w:pStyle w:val="ZARTzmartartykuempunktem"/>
        <w:ind w:left="567" w:firstLine="0"/>
      </w:pPr>
      <w:r>
        <w:t xml:space="preserve">           Artigo 720</w:t>
      </w:r>
      <w:r>
        <w:rPr>
          <w:rStyle w:val="IGindeksgrny"/>
        </w:rPr>
        <w:t>2</w:t>
      </w:r>
      <w:r>
        <w:t xml:space="preserve">. Artigo 1. Salvo disposição em contrário prevista em disposições especiais, o total dos custos não juros de um contrato de empréstimo em numerário celebrado com uma pessoa singular que não esteja diretamente relacionado com a atividade comercial ou profissional dessa pessoa não pode exceder o montante máximo dos custos que não sejam juros especificado na fórmula: </w:t>
      </w:r>
    </w:p>
    <w:p w14:paraId="2F67F25F" w14:textId="77777777" w:rsidR="00AF3254" w:rsidRPr="00346832" w:rsidRDefault="005D157C" w:rsidP="00EA5237">
      <w:pPr>
        <w:pStyle w:val="ZWMATFIZCHEMzmwzorumatfizlubchemartykuempunktem"/>
        <w:rPr>
          <w:rStyle w:val="Kkursywa"/>
        </w:rPr>
      </w:pPr>
      <w:r>
        <w:rPr>
          <w:rStyle w:val="Kkursywa"/>
        </w:rPr>
        <w:t>MKP = K × n/R × 20%</w:t>
      </w:r>
    </w:p>
    <w:p w14:paraId="41C9FD6E" w14:textId="77777777" w:rsidR="00A749FE" w:rsidRPr="009A3043" w:rsidRDefault="00A749FE" w:rsidP="00792E99">
      <w:pPr>
        <w:pStyle w:val="ZLEGWMATFIZCHEMzmlegendywzorumatfizlubchemartykuempunktem"/>
      </w:pPr>
      <w:r>
        <w:t>em que os símbolos individuais devem ser entendidos como:</w:t>
      </w:r>
    </w:p>
    <w:p w14:paraId="7D0C3368" w14:textId="77777777" w:rsidR="00A749FE" w:rsidRPr="00C770BB" w:rsidRDefault="00A749FE" w:rsidP="00792E99">
      <w:pPr>
        <w:pStyle w:val="ZLEGWMATFIZCHEMzmlegendywzorumatfizlubchemartykuempunktem"/>
      </w:pPr>
      <w:r>
        <w:rPr>
          <w:rStyle w:val="Kkursywa"/>
        </w:rPr>
        <w:t>MKP</w:t>
      </w:r>
      <w:r>
        <w:t xml:space="preserve"> – o montante máximo dos custos sem juros,</w:t>
      </w:r>
    </w:p>
    <w:p w14:paraId="581D23CD" w14:textId="77777777" w:rsidR="00A749FE" w:rsidRPr="00C770BB" w:rsidRDefault="00A749FE" w:rsidP="00792E99">
      <w:pPr>
        <w:pStyle w:val="ZLEGWMATFIZCHEMzmlegendywzorumatfizlubchemartykuempunktem"/>
      </w:pPr>
      <w:r>
        <w:rPr>
          <w:rStyle w:val="Kkursywa"/>
        </w:rPr>
        <w:t>K</w:t>
      </w:r>
      <w:r>
        <w:rPr>
          <w:i/>
        </w:rPr>
        <w:t xml:space="preserve"> </w:t>
      </w:r>
      <w:r>
        <w:t xml:space="preserve">– o montante total do empréstimo, entendido como a soma de todos os fundos, não incluindo os custos do empréstimo cofinanciados que o credor libera ao mutuário ao abrigo do acordo, </w:t>
      </w:r>
    </w:p>
    <w:p w14:paraId="70F35599" w14:textId="77777777" w:rsidR="00A749FE" w:rsidRDefault="00A749FE" w:rsidP="00792E99">
      <w:pPr>
        <w:pStyle w:val="ZLEGWMATFIZCHEMzmlegendywzorumatfizlubchemartykuempunktem"/>
      </w:pPr>
      <w:r>
        <w:rPr>
          <w:rStyle w:val="Kkursywa"/>
        </w:rPr>
        <w:t>n</w:t>
      </w:r>
      <w:r>
        <w:rPr>
          <w:i/>
        </w:rPr>
        <w:t xml:space="preserve"> </w:t>
      </w:r>
      <w:r>
        <w:t>– prazo de reembolso expresso em dias a contar da data de libertação do empréstimo,</w:t>
      </w:r>
    </w:p>
    <w:p w14:paraId="4227BE86" w14:textId="77777777" w:rsidR="00A749FE" w:rsidRDefault="00A749FE" w:rsidP="00792E99">
      <w:pPr>
        <w:pStyle w:val="ZLEGWMATFIZCHEMzmlegendywzorumatfizlubchemartykuempunktem"/>
      </w:pPr>
      <w:r>
        <w:rPr>
          <w:rStyle w:val="Kkursywa"/>
        </w:rPr>
        <w:t>R</w:t>
      </w:r>
      <w:r>
        <w:t xml:space="preserve"> – número de dias por ano.</w:t>
      </w:r>
    </w:p>
    <w:p w14:paraId="09C502E9" w14:textId="77777777" w:rsidR="00A749FE" w:rsidRDefault="00A749FE" w:rsidP="00792E99">
      <w:pPr>
        <w:pStyle w:val="ZUSTzmustartykuempunktem"/>
      </w:pPr>
      <w:r>
        <w:t>Artigo 2. Os custos sem juros referidos no parágrafo 1 não podem exceder 25% do montante total do empréstimo durante todo o período de reembolso do empréstimo.</w:t>
      </w:r>
    </w:p>
    <w:p w14:paraId="660D4B28" w14:textId="77777777" w:rsidR="00A749FE" w:rsidRDefault="00A749FE" w:rsidP="00792E99">
      <w:pPr>
        <w:pStyle w:val="ZUSTzmustartykuempunktem"/>
      </w:pPr>
      <w:r>
        <w:t>Artigo 3. Se os custos que não sejam juros excederem o montante máximo dos custos que não sejam juros, tal como previsto nos parágrafos 1 ou 2, os custos que não sejam juros devem ser pagos até ao montante máximo.</w:t>
      </w:r>
    </w:p>
    <w:p w14:paraId="2709254F" w14:textId="77777777" w:rsidR="00A749FE" w:rsidRDefault="00A749FE" w:rsidP="00792E99">
      <w:pPr>
        <w:pStyle w:val="ZUSTzmustartykuempunktem"/>
      </w:pPr>
      <w:r>
        <w:t>Artigo 4. Os termos do acordo não podem excluir ou limitar as disposições sobre o montante máximo de custos que não sejam juros, mesmo que uma lei estrangeira seja escolhida. Neste caso, são aplicáveis as disposições da Lei.</w:t>
      </w:r>
    </w:p>
    <w:p w14:paraId="24E91122" w14:textId="77777777" w:rsidR="00A749FE" w:rsidRDefault="00A749FE" w:rsidP="00A749FE">
      <w:pPr>
        <w:pStyle w:val="ZARTzmartartykuempunktem"/>
      </w:pPr>
      <w:r>
        <w:t>Artigo 720</w:t>
      </w:r>
      <w:r>
        <w:rPr>
          <w:rStyle w:val="IGindeksgrny"/>
        </w:rPr>
        <w:t>3</w:t>
      </w:r>
      <w:r>
        <w:t>. Artigo 1. Se, no âmbito da celebração de um acordo a que se refere o artigo 720</w:t>
      </w:r>
      <w:r>
        <w:rPr>
          <w:rStyle w:val="IGindeksgrny"/>
        </w:rPr>
        <w:t>2</w:t>
      </w:r>
      <w:r>
        <w:t xml:space="preserve"> Nº. 1, o mutuário se comprometer a constituir uma garantia para o reembolso do empréstimo, a obrigação deve ser especificada no contrato. Nesse caso, o acordo deve indicar o modo de garantia e, consoante o caso, o bem ou o direito que constituem o objeto da garantia e o seu valor ou a soma da garantia determinada em contrário.</w:t>
      </w:r>
    </w:p>
    <w:p w14:paraId="1C42F921" w14:textId="77777777" w:rsidR="00A749FE" w:rsidRDefault="00A749FE" w:rsidP="00792E99">
      <w:pPr>
        <w:pStyle w:val="ZUSTzmustartykuempunktem"/>
      </w:pPr>
      <w:r>
        <w:t>Artigo 2. Uma transação jurídica que exija a constituição de uma garantia em violação do parágrafo 1 é inválida.</w:t>
      </w:r>
    </w:p>
    <w:p w14:paraId="505C2E2B" w14:textId="77777777" w:rsidR="00A749FE" w:rsidRDefault="00A749FE" w:rsidP="00792E99">
      <w:pPr>
        <w:pStyle w:val="ZUSTzmustartykuempunktem"/>
      </w:pPr>
      <w:r>
        <w:t>Artigo 3. A soma da garantia dos créditos ao abrigo da convenção referida no artigo 720</w:t>
      </w:r>
      <w:r>
        <w:rPr>
          <w:rStyle w:val="IGindeksgrny"/>
        </w:rPr>
        <w:t>2</w:t>
      </w:r>
      <w:r>
        <w:t xml:space="preserve"> Nº. 1 não pode exceder a soma do valor do empréstimo acrescido dos juros </w:t>
      </w:r>
      <w:r>
        <w:lastRenderedPageBreak/>
        <w:t>máximos calculados diretamente sobre esse montante para o período para o qual o empréstimo foi concedido, os juros de mora máximos calculados sobre o montante do empréstimo por um período máximo de seis meses e o montante máximo dos custos não juros, salvo disposição em contrário.</w:t>
      </w:r>
    </w:p>
    <w:p w14:paraId="7B6416E3" w14:textId="77777777" w:rsidR="00A749FE" w:rsidRPr="006E0AD2" w:rsidRDefault="00A749FE" w:rsidP="00792E99">
      <w:pPr>
        <w:pStyle w:val="ZUSTzmustartykuempunktem"/>
      </w:pPr>
      <w:r>
        <w:t>Artigo 4. Os Parágrafos 1 a 3 não se aplicam a uma garantia sob a forma de hipoteca ou de penhor registado.</w:t>
      </w:r>
    </w:p>
    <w:p w14:paraId="49CEF88D" w14:textId="77777777" w:rsidR="00A749FE" w:rsidRDefault="00A749FE" w:rsidP="00A749FE">
      <w:pPr>
        <w:pStyle w:val="ZARTzmartartykuempunktem"/>
      </w:pPr>
      <w:r>
        <w:t>Artigo 720</w:t>
      </w:r>
      <w:r>
        <w:rPr>
          <w:rStyle w:val="IGindeksgrny"/>
        </w:rPr>
        <w:t>4</w:t>
      </w:r>
      <w:r>
        <w:t>. Antes da celebração do acordo a que se refere o Artigo 720</w:t>
      </w:r>
      <w:r>
        <w:rPr>
          <w:rStyle w:val="IGindeksgrny"/>
        </w:rPr>
        <w:t>2</w:t>
      </w:r>
      <w:r>
        <w:t xml:space="preserve"> Nº. 1, o credor deve informar o mutuário, de forma inequívoca e compreensível, dos custos totais que não sejam juros, do montante dos juros e do montante dos juros que devem pagar no âmbito da celebração do acordo.</w:t>
      </w:r>
    </w:p>
    <w:p w14:paraId="24221D41" w14:textId="77777777" w:rsidR="00A749FE" w:rsidRPr="00AC1405" w:rsidRDefault="00A749FE" w:rsidP="00A749FE">
      <w:pPr>
        <w:pStyle w:val="ZARTzmartartykuempunktem"/>
      </w:pPr>
      <w:r>
        <w:t>Artigo 720</w:t>
      </w:r>
      <w:r>
        <w:rPr>
          <w:rStyle w:val="IGindeksgrny"/>
        </w:rPr>
        <w:t>5</w:t>
      </w:r>
      <w:r>
        <w:rPr>
          <w:rStyle w:val="IGindeksgrny"/>
          <w:vertAlign w:val="baseline"/>
        </w:rPr>
        <w:t>.</w:t>
      </w:r>
      <w:r>
        <w:t xml:space="preserve"> Artigo 1. </w:t>
      </w:r>
      <w:bookmarkStart w:id="0" w:name="_Hlk8137631"/>
      <w:r>
        <w:t>Em caso de reembolso antecipado do empréstimo referido no Artigo 720</w:t>
      </w:r>
      <w:r>
        <w:rPr>
          <w:rStyle w:val="IGindeksgrny"/>
        </w:rPr>
        <w:t>2</w:t>
      </w:r>
      <w:r>
        <w:t xml:space="preserve"> Nº. 1, não podem ser reclamados juros para o período remanescente até ao final do período para o qual o empréstimo foi concedido ao abrigo do contrato</w:t>
      </w:r>
      <w:bookmarkEnd w:id="0"/>
      <w:r>
        <w:t>.</w:t>
      </w:r>
    </w:p>
    <w:p w14:paraId="4BC90CE5" w14:textId="77777777" w:rsidR="00742C91" w:rsidRDefault="00A749FE" w:rsidP="00742C91">
      <w:pPr>
        <w:pStyle w:val="ZUSTzmustartykuempunktem"/>
      </w:pPr>
      <w:r>
        <w:t>Artigo 2. Se o empréstimo for reembolsado antes do termo do prazo estipulado no contrato, os custos que não sejam juros incorridos serão deduzidos dos custos relacionados com o período em que a duração do contrato foi reduzida, mesmo que o mutuário tenha suportado esses custos antes do reembolso.’;</w:t>
      </w:r>
    </w:p>
    <w:p w14:paraId="7B009590" w14:textId="77777777" w:rsidR="00A749FE" w:rsidRDefault="005F59FD" w:rsidP="00A749FE">
      <w:pPr>
        <w:pStyle w:val="PKTpunkt"/>
      </w:pPr>
      <w:r>
        <w:t>2)</w:t>
      </w:r>
      <w:r>
        <w:tab/>
        <w:t>a seguir ao Artigo 724 é aditado o seguinte Artigo 724</w:t>
      </w:r>
      <w:r>
        <w:rPr>
          <w:rStyle w:val="IGindeksgrny"/>
        </w:rPr>
        <w:t xml:space="preserve">1 </w:t>
      </w:r>
      <w:r>
        <w:t>:</w:t>
      </w:r>
    </w:p>
    <w:p w14:paraId="6076B67D" w14:textId="77777777" w:rsidR="00A749FE" w:rsidRDefault="00A749FE" w:rsidP="00A749FE">
      <w:pPr>
        <w:pStyle w:val="ZARTzmartartykuempunktem"/>
      </w:pPr>
      <w:r>
        <w:t>‘Artigo 724</w:t>
      </w:r>
      <w:r>
        <w:rPr>
          <w:rStyle w:val="IGindeksgrny"/>
        </w:rPr>
        <w:t>1</w:t>
      </w:r>
      <w:r>
        <w:t>. Artigo 1. As disposições em matéria de empréstimos aplicam-se, respetivamente, aos contratos não regidos por outras disposições, nos termos das quais uma quantia em dinheiro é transferida para uma pessoa singular com a obrigação de o reembolsar, que não estejam diretamente relacionadas com a sua atividade comercial ou profissional.</w:t>
      </w:r>
    </w:p>
    <w:p w14:paraId="4543B8F2" w14:textId="77777777" w:rsidR="00A749FE" w:rsidRPr="00C770BB" w:rsidRDefault="00A749FE" w:rsidP="00792E99">
      <w:pPr>
        <w:pStyle w:val="ZUSTzmustartykuempunktem"/>
      </w:pPr>
      <w:r>
        <w:t>Artigo 2. As disposições do presente título aplicam-se igualmente, respetivamente, aos acordos, não regidos por outras disposições, de transferência para uma pessoa singular, a título oneroso, de dívidas ou outros direitos de propriedade cujo valor tenha sido determinado por uma quantia em dinheiro com obrigação de reembolso, desde que esses acordos não estejam relacionados com a sua atividade ou profissão. Nesse caso, entende-se por valor total do empréstimo o valor desses créditos ou direitos a partir da data da regulamentação.’.</w:t>
      </w:r>
    </w:p>
    <w:p w14:paraId="521AE618" w14:textId="77777777" w:rsidR="00A749FE" w:rsidRDefault="00A749FE" w:rsidP="00A749FE">
      <w:pPr>
        <w:pStyle w:val="ARTartustawynprozporzdzenia"/>
      </w:pPr>
      <w:r>
        <w:rPr>
          <w:rStyle w:val="Ppogrubienie"/>
        </w:rPr>
        <w:t>Artigo 2.</w:t>
      </w:r>
      <w:r>
        <w:t xml:space="preserve"> São introduzidas as seguintes alterações na Lei do Código de Processo Civil de 17 de novembro de 1964 (Jornal Oficial de 2021, pontos 1805, 1981 e 2052):</w:t>
      </w:r>
    </w:p>
    <w:p w14:paraId="6CF9F9D0" w14:textId="77777777" w:rsidR="00A749FE" w:rsidRDefault="00A749FE" w:rsidP="00A749FE">
      <w:pPr>
        <w:pStyle w:val="PKTpunkt"/>
      </w:pPr>
      <w:r>
        <w:t>1)</w:t>
      </w:r>
      <w:r>
        <w:tab/>
        <w:t>no Artigo 777:</w:t>
      </w:r>
    </w:p>
    <w:p w14:paraId="4CF18B43" w14:textId="77777777" w:rsidR="00A749FE" w:rsidRDefault="00A749FE" w:rsidP="00A749FE">
      <w:pPr>
        <w:pStyle w:val="LITlitera"/>
      </w:pPr>
      <w:r>
        <w:lastRenderedPageBreak/>
        <w:t>a)</w:t>
      </w:r>
      <w:r>
        <w:tab/>
        <w:t>ao Artigo 2 é aditado o seguinte segundo período e passa a ter a seguinte redação:</w:t>
      </w:r>
    </w:p>
    <w:p w14:paraId="697855FD" w14:textId="77777777" w:rsidR="00A749FE" w:rsidRDefault="00A749FE" w:rsidP="00792E99">
      <w:pPr>
        <w:pStyle w:val="ZLITFRAGzmlitfragmentunpzdanialiter"/>
      </w:pPr>
      <w:r>
        <w:t>«Neste caso, o ato notarial deve indicar a relação jurídica em relação à qual o devedor se submete à execução, a data em que a obrigação do devedor se constituiu, o seu conteúdo e, no caso de obrigações contratuais mútuas, também o benefício do credor, bem como a data de cumprimento da mesma.’,</w:t>
      </w:r>
    </w:p>
    <w:p w14:paraId="4887C425" w14:textId="77777777" w:rsidR="00A749FE" w:rsidRDefault="00A749FE" w:rsidP="00A749FE">
      <w:pPr>
        <w:pStyle w:val="LITlitera"/>
      </w:pPr>
      <w:r>
        <w:t>b)</w:t>
      </w:r>
      <w:r>
        <w:tab/>
        <w:t>após o Artigo 2, é aditado o seguinte Nº. 2</w:t>
      </w:r>
      <w:r>
        <w:rPr>
          <w:rStyle w:val="IGindeksgrny"/>
        </w:rPr>
        <w:t>1</w:t>
      </w:r>
      <w:r>
        <w:t xml:space="preserve"> e passa a ter a seguinte redação:</w:t>
      </w:r>
    </w:p>
    <w:p w14:paraId="1B7C953D" w14:textId="77777777" w:rsidR="00A749FE" w:rsidRDefault="00A749FE" w:rsidP="00792E99">
      <w:pPr>
        <w:pStyle w:val="ZLITUSTzmustliter"/>
      </w:pPr>
      <w:r>
        <w:t>‘Artigo 2</w:t>
      </w:r>
      <w:r>
        <w:rPr>
          <w:rStyle w:val="IGindeksgrny"/>
        </w:rPr>
        <w:t>1</w:t>
      </w:r>
      <w:r>
        <w:t>. Sempre que seja feita uma declaração de sujeição à execução a fim de obter créditos decorrentes da celebração, por uma pessoa singular, de um contrato de mútuo que não esteja diretamente relacionado com a atividade comercial ou profissional dessa pessoa ou da celebração, por essa pessoa, de outro acordo a que se apliquem, respetivamente, as disposições relativas ao empréstimo, o montante em dinheiro a que o devedor se submete à execução não pode exceder a soma do valor do empréstimo, acrescido dos juros máximos calculados diretamente sobre esse montante para o período durante o qual o empréstimo foi concedido, os juros de mora máximos calculados sobre o montante do empréstimo por um período máximo de seis meses e o montante máximo dos custos não juros previstos na lei.’;</w:t>
      </w:r>
    </w:p>
    <w:p w14:paraId="1575F7D1" w14:textId="77777777" w:rsidR="00A749FE" w:rsidRDefault="00A749FE" w:rsidP="00A749FE">
      <w:pPr>
        <w:pStyle w:val="PKTpunkt"/>
      </w:pPr>
      <w:r>
        <w:t>2)</w:t>
      </w:r>
      <w:r>
        <w:tab/>
        <w:t>no Artigo 781, após o Nº. 1</w:t>
      </w:r>
      <w:r>
        <w:rPr>
          <w:rStyle w:val="IGindeksgrny"/>
        </w:rPr>
        <w:t>3</w:t>
      </w:r>
      <w:r>
        <w:t>, são aditados os seguintes Nº. 1</w:t>
      </w:r>
      <w:r>
        <w:rPr>
          <w:rStyle w:val="IGindeksgrny"/>
        </w:rPr>
        <w:t>4</w:t>
      </w:r>
      <w:r>
        <w:t>:</w:t>
      </w:r>
    </w:p>
    <w:p w14:paraId="69B0B84F" w14:textId="77777777" w:rsidR="00A749FE" w:rsidRDefault="00A749FE" w:rsidP="00792E99">
      <w:pPr>
        <w:pStyle w:val="ZUSTzmustartykuempunktem"/>
      </w:pPr>
      <w:r>
        <w:t>‘Artigo 1</w:t>
      </w:r>
      <w:r>
        <w:rPr>
          <w:rStyle w:val="IGindeksgrny"/>
        </w:rPr>
        <w:t>4</w:t>
      </w:r>
      <w:r>
        <w:t>. Um documento que confirme a emissão do objeto do empréstimo ao mutuário ou à pessoa por ele designada deve ser anexado ao pedido de título executivo a que se refere o Artigo 777, Nº. 1, pontos 4-6 ou Nº. 2, em relação à concessão de um empréstimo em numerário celebrado com uma pessoa singular e não diretamente relacionado com a atividade comercial ou profissional dessa pessoa.’.</w:t>
      </w:r>
    </w:p>
    <w:p w14:paraId="3B9B8F0F" w14:textId="77777777" w:rsidR="00A749FE" w:rsidRPr="00A749FE" w:rsidRDefault="00A749FE" w:rsidP="007059E1">
      <w:pPr>
        <w:pStyle w:val="ARTartustawynprozporzdzenia"/>
      </w:pPr>
      <w:r>
        <w:rPr>
          <w:rStyle w:val="Ppogrubienie"/>
        </w:rPr>
        <w:t>Artigo 3.</w:t>
      </w:r>
      <w:r>
        <w:t> Na Lei do Código Penal de 6 de junho de 1997 (Jornal Oficial de 2020, pontos 1444 e 1517 e de 2021, pontos 1023 e 2054), é aditado o seguinte Artigo 115.º, N.º 25, com a seguinte redação:</w:t>
      </w:r>
    </w:p>
    <w:p w14:paraId="59CBFC8D" w14:textId="77777777" w:rsidR="00A749FE" w:rsidRPr="00415880" w:rsidRDefault="00A749FE" w:rsidP="004644B8">
      <w:pPr>
        <w:pStyle w:val="ZUSTzmustartykuempunktem"/>
      </w:pPr>
      <w:r>
        <w:t>‘Artigo 25. Os custos que não sejam juros devem ser entendidos como:</w:t>
      </w:r>
    </w:p>
    <w:p w14:paraId="01A49FB8" w14:textId="2DA89168" w:rsidR="00A749FE" w:rsidRPr="00415880" w:rsidRDefault="00A749FE" w:rsidP="00EA3878">
      <w:pPr>
        <w:pStyle w:val="ZPKTzmpktartykuempunktem"/>
      </w:pPr>
      <w:r>
        <w:t>1)</w:t>
      </w:r>
      <w:r>
        <w:tab/>
        <w:t>margens, comissões ou taxas relacionadas com a preparação de um acordo de que resulte a concessão de uma prestação pecuniária, ou um acordo relacionado com a concessão de tal benefício, ou o tratamento de tais acordos, ou de outros custos desse tipo,</w:t>
      </w:r>
    </w:p>
    <w:p w14:paraId="238FF7F0" w14:textId="77777777" w:rsidR="00A749FE" w:rsidRPr="00415880" w:rsidRDefault="00A749FE" w:rsidP="00EA3878">
      <w:pPr>
        <w:pStyle w:val="ZPKTzmpktartykuempunktem"/>
      </w:pPr>
      <w:r>
        <w:t>2)</w:t>
      </w:r>
      <w:r>
        <w:tab/>
        <w:t>os honorários relativos ao adiamento da data de reembolso da prestação pecuniária concedida, ao seu reembolso tardio ou a outras despesas desse tipo,</w:t>
      </w:r>
    </w:p>
    <w:p w14:paraId="65277E77" w14:textId="77777777" w:rsidR="00A749FE" w:rsidRDefault="00A749FE" w:rsidP="00EA3878">
      <w:pPr>
        <w:pStyle w:val="ZPKTzmpktartykuempunktem"/>
      </w:pPr>
      <w:r>
        <w:lastRenderedPageBreak/>
        <w:t>3)</w:t>
      </w:r>
      <w:r>
        <w:tab/>
        <w:t>os custos de serviços adicionais, em especial os custos de seguro, os custos relacionados com a constituição de uma garantia de reembolso das prestações pecuniárias, os custos de aquisição de informações relacionadas com a prestação da prestação pecuniária, sempre que esses custos sejam necessários para a celebração dos acordos referidos no ponto 1,</w:t>
      </w:r>
    </w:p>
    <w:p w14:paraId="372B7D20" w14:textId="77777777" w:rsidR="00A749FE" w:rsidRPr="00415880" w:rsidRDefault="00A749FE" w:rsidP="00EA3878">
      <w:pPr>
        <w:pStyle w:val="ZPKTzmpktartykuempunktem"/>
      </w:pPr>
      <w:r>
        <w:t>4)</w:t>
      </w:r>
      <w:r>
        <w:tab/>
        <w:t>remuneração de uma pessoa que representou a pessoa que concede prestações pecuniárias no momento da celebração dos acordos referidos no ponto 1 ou através da qual o prestador celebrou ou forneceu esses acordos, diretamente a cargo da pessoa a quem o serviço foi prestado</w:t>
      </w:r>
    </w:p>
    <w:p w14:paraId="1A6C0759" w14:textId="77777777" w:rsidR="00A749FE" w:rsidRPr="00447AF8" w:rsidRDefault="00A749FE" w:rsidP="00EA3878">
      <w:pPr>
        <w:pStyle w:val="ZCZWSPPKTzmczciwsppktartykuempunktem"/>
      </w:pPr>
      <w:r>
        <w:t>– excluindo os honorários notariais e de direito público que as partes nos acordos referidos no ponto 1 são obrigadas a pagar no âmbito da celebração desses acordos.’.</w:t>
      </w:r>
    </w:p>
    <w:p w14:paraId="3D62A930" w14:textId="77777777" w:rsidR="00A749FE" w:rsidRPr="00A749FE" w:rsidRDefault="00A749FE" w:rsidP="00A749FE">
      <w:pPr>
        <w:pStyle w:val="ARTartustawynprozporzdzenia"/>
      </w:pPr>
      <w:r>
        <w:rPr>
          <w:rStyle w:val="Ppogrubienie"/>
        </w:rPr>
        <w:t>Artigo 4.</w:t>
      </w:r>
      <w:r>
        <w:t xml:space="preserve"> Na Lei Bancária de 29 de agosto de 1997 (Jornal Oficial de 2020, posição 1896, conforme alterada), são introduzidas as seguintes alterações:</w:t>
      </w:r>
      <w:r w:rsidR="002066D8">
        <w:rPr>
          <w:rStyle w:val="FootnoteReference"/>
        </w:rPr>
        <w:footnoteReference w:id="2"/>
      </w:r>
    </w:p>
    <w:p w14:paraId="0D0177B3" w14:textId="77777777" w:rsidR="00A749FE" w:rsidRPr="00A749FE" w:rsidRDefault="00A749FE" w:rsidP="00A749FE">
      <w:pPr>
        <w:pStyle w:val="PKTpunkt"/>
      </w:pPr>
      <w:r>
        <w:t>1)</w:t>
      </w:r>
      <w:r>
        <w:tab/>
        <w:t>no Artigo 48k, o parágrafo 2 passa a ter a seguinte redação:</w:t>
      </w:r>
    </w:p>
    <w:p w14:paraId="0C59B8AA" w14:textId="77777777" w:rsidR="00A749FE" w:rsidRDefault="00A749FE" w:rsidP="00A749FE">
      <w:pPr>
        <w:pStyle w:val="ZUSTzmustartykuempunktem"/>
      </w:pPr>
      <w:r>
        <w:t>‘2. As disposições dos Artigos 1.º a 7.º, 9.º a 11.º, 40.º-A, n.º 1, 49.º a 70.º, 73.º a 78.º-C, 80.º a 95.º, 101.º a 112.º, 112.º-C, 112.º-D, 124.º, 124.º-A, 133.º, n.º 3, 137.º, 138.º, 139.º, n.os 1 e 3, 141.º e 171.º, n.os 4 a 7, são aplicáveis às sucursais de instituições de empréstimo, respetivamente.’;</w:t>
      </w:r>
    </w:p>
    <w:p w14:paraId="690E12CB" w14:textId="77777777" w:rsidR="00A749FE" w:rsidRPr="00A749FE" w:rsidRDefault="00A749FE" w:rsidP="00A749FE">
      <w:pPr>
        <w:pStyle w:val="PKTpunkt"/>
      </w:pPr>
      <w:r>
        <w:t>2)</w:t>
      </w:r>
      <w:r>
        <w:tab/>
        <w:t>O Artigo 78b e o Artigo 78c são aditados a seguir ao Artigo 78a e têm a seguinte redação:</w:t>
      </w:r>
    </w:p>
    <w:p w14:paraId="5BF3E90F" w14:textId="558C9985" w:rsidR="00A749FE" w:rsidRPr="00C770BB" w:rsidRDefault="00A749FE" w:rsidP="00A749FE">
      <w:pPr>
        <w:pStyle w:val="ZARTzmartartykuempunktem"/>
      </w:pPr>
      <w:r>
        <w:t>‘Artigo 78b. 1. O montante máximo dos custos não juros do contrato de empréstimo ou do empréstimo em numerário celebrado com o consumidor não pode exceder o montante máximo dos custos do empréstimo sem juros a que se refere o artigo 36a(1)-(2), da Lei relativa ao empréstimo aos consumidores, de 12 de maio de 2011, mesmo que as disposições dessa lei não se apliquem ao contrato a celebrar.</w:t>
      </w:r>
    </w:p>
    <w:p w14:paraId="3740D332" w14:textId="0DEA713D" w:rsidR="00A749FE" w:rsidRPr="00C770BB" w:rsidRDefault="00A749FE" w:rsidP="00861C3B">
      <w:pPr>
        <w:pStyle w:val="ZUSTzmustartykuempunktem"/>
      </w:pPr>
      <w:r>
        <w:t>2. Se os custos não juros decorrentes de um empréstimo ou de um contrato de empréstimo em numerário celebrado com um consumidor excederem o montante máximo dos custos que não sejam juros, calculado em conformidade com o artigo 36a(1)-(2), da Lei relativa ao empréstimo aos consumidores, de 12 de maio de 2011, aplica-se o parágrafo 1, respetivamente.</w:t>
      </w:r>
    </w:p>
    <w:p w14:paraId="4CF2EA79" w14:textId="77777777" w:rsidR="00A749FE" w:rsidRPr="00C770BB" w:rsidRDefault="00A749FE" w:rsidP="00A749FE">
      <w:pPr>
        <w:pStyle w:val="ZARTzmartartykuempunktem"/>
      </w:pPr>
      <w:r>
        <w:lastRenderedPageBreak/>
        <w:t>Artigo 78c. O disposto no artigo 720</w:t>
      </w:r>
      <w:r>
        <w:rPr>
          <w:rStyle w:val="IGindeksgrny"/>
        </w:rPr>
        <w:t>3</w:t>
      </w:r>
      <w:r>
        <w:t xml:space="preserve"> § 3 do Código Civil não se aplica a um contrato de empréstimo e empréstimo em dinheiro concedido por um banco.’.</w:t>
      </w:r>
    </w:p>
    <w:p w14:paraId="1E19FE79" w14:textId="36DF058B" w:rsidR="00703521" w:rsidRDefault="00A749FE" w:rsidP="00A749FE">
      <w:pPr>
        <w:pStyle w:val="ARTartustawynprozporzdzenia"/>
      </w:pPr>
      <w:r>
        <w:rPr>
          <w:rStyle w:val="Ppogrubienie"/>
        </w:rPr>
        <w:t>Artigo 5.</w:t>
      </w:r>
      <w:r>
        <w:t xml:space="preserve"> A </w:t>
      </w:r>
      <w:bookmarkStart w:id="1" w:name="_Hlk86070010"/>
      <w:r>
        <w:t xml:space="preserve">Lei de Supervisão do Mercado Financeiro </w:t>
      </w:r>
      <w:bookmarkEnd w:id="1"/>
      <w:r>
        <w:t>de 21 de julho de 2006 (Jornal Oficial de 2020, ponto 2059, e Jornal Oficial de 2021, pontos 680, 815, 1598 e 2140) é alterada do seguinte modo:</w:t>
      </w:r>
    </w:p>
    <w:p w14:paraId="66442B9E" w14:textId="77777777" w:rsidR="00A749FE" w:rsidRPr="00A749FE" w:rsidRDefault="000B3A10" w:rsidP="000B3A10">
      <w:pPr>
        <w:pStyle w:val="PKTpunkt"/>
      </w:pPr>
      <w:r>
        <w:t>1) No Artigo 1(2)(11), a paragem completa é substituída por um ponto e vírgula e é aditado o seguinte ponto 12:</w:t>
      </w:r>
    </w:p>
    <w:p w14:paraId="604A270F" w14:textId="24E47945" w:rsidR="00703521" w:rsidRDefault="00A749FE" w:rsidP="00A749FE">
      <w:pPr>
        <w:pStyle w:val="ZPKTzmpktartykuempunktem"/>
      </w:pPr>
      <w:r>
        <w:t>‘12)</w:t>
      </w:r>
      <w:r>
        <w:tab/>
        <w:t>supervisão das instituições de crédito em conformidade com o disposto na Lei de Empréstimos aos Consumidores, de 12 de maio de 2011 (Jornal Oficial de 2019, rubrica 1083, e Jornal Oficial de 2020, rubrica 2320, e Jornal Oficial de 2021, ponto 1655).’;</w:t>
      </w:r>
    </w:p>
    <w:p w14:paraId="17C9626A" w14:textId="77777777" w:rsidR="00A749FE" w:rsidRPr="00BA2CA8" w:rsidRDefault="000B3A10" w:rsidP="000B3A10">
      <w:pPr>
        <w:pStyle w:val="PKTpunkt"/>
      </w:pPr>
      <w:r>
        <w:t>2) No artigo 6b(1), primeira frase, a expressão «ou os artigos 150 e 151 da Lei relativa aos serviços de pagamento de 19 de agosto de 2011’ é substituída por ‘</w:t>
      </w:r>
      <w:bookmarkStart w:id="2" w:name="_Hlk86069935"/>
      <w:r>
        <w:t>, 150 e 151 da Lei dos Serviços de Pagamento de 19 de agosto de 2011 ou dos artigos 59.º-H e 59.º-I da Lei relativa aos empréstimos aos consumidores</w:t>
      </w:r>
      <w:bookmarkEnd w:id="2"/>
      <w:r>
        <w:t>’.</w:t>
      </w:r>
    </w:p>
    <w:p w14:paraId="23D12891" w14:textId="62E87149" w:rsidR="00A749FE" w:rsidRPr="00A749FE" w:rsidRDefault="00A749FE" w:rsidP="00A749FE">
      <w:pPr>
        <w:pStyle w:val="ARTartustawynprozporzdzenia"/>
      </w:pPr>
      <w:r>
        <w:rPr>
          <w:rStyle w:val="Ppogrubienie"/>
        </w:rPr>
        <w:t>Artigo 6.</w:t>
      </w:r>
      <w:r>
        <w:t> Na Lei sobre a Poupança Cooperativa e as Uniões de Crédito, de 5 de novembro de 2009 (Jornal Oficial de 2021, pontos 1844 e 2140), o Artigo 36, parágrafos 1a e 2, passa a ter a seguinte redação:</w:t>
      </w:r>
    </w:p>
    <w:p w14:paraId="2A0E1506" w14:textId="77777777" w:rsidR="00A749FE" w:rsidRPr="00C770BB" w:rsidRDefault="00A749FE" w:rsidP="00A749FE">
      <w:pPr>
        <w:pStyle w:val="ZUSTzmustartykuempunktem"/>
      </w:pPr>
      <w:r>
        <w:t>‘1a. O disposto no Artigo 75c(1)-(5), Artigo 78b e Artigo 78c da Lei Bancária de 29 de agosto de 1997 aplica-se, respetivamente, aos contratos de empréstimo celebrados por cooperativas de poupança e cooperativas de crédito.</w:t>
      </w:r>
    </w:p>
    <w:p w14:paraId="7949528E" w14:textId="77777777" w:rsidR="00A749FE" w:rsidRPr="00C770BB" w:rsidRDefault="00A749FE" w:rsidP="00A749FE">
      <w:pPr>
        <w:pStyle w:val="ZUSTzmustartykuempunktem"/>
      </w:pPr>
      <w:r>
        <w:t>2. O disposto nos Artigos 69, 70, 74 a 78, 78b e 78c da Lei Bancária de 29 de agosto de 1997 aplica-se, respetivamente, aos contratos de empréstimo celebrados por cooperativas de poupança e cooperativas de crédito.’.</w:t>
      </w:r>
    </w:p>
    <w:p w14:paraId="0CF10774" w14:textId="77777777" w:rsidR="00A749FE" w:rsidRPr="00A749FE" w:rsidRDefault="00A749FE" w:rsidP="00A749FE">
      <w:pPr>
        <w:pStyle w:val="ARTartustawynprozporzdzenia"/>
      </w:pPr>
      <w:r>
        <w:rPr>
          <w:rStyle w:val="Ppogrubienie"/>
        </w:rPr>
        <w:t>Artigo 7.</w:t>
      </w:r>
      <w:r>
        <w:t> A Lei de Empréstimos aos Consumidores, de 12 de maio de 2011 (Jornal Oficial de 2019, ponto 1083, Jornal Oficial de 2020, ponto 2320, e Jornal Oficial de 2021, ponto 1655) é alterada do seguinte modo:</w:t>
      </w:r>
    </w:p>
    <w:p w14:paraId="15B795FB" w14:textId="77777777" w:rsidR="00AF4785" w:rsidRDefault="00A749FE" w:rsidP="00D460F1">
      <w:pPr>
        <w:pStyle w:val="PKTpunkt"/>
      </w:pPr>
      <w:r>
        <w:t>1)</w:t>
      </w:r>
      <w:r>
        <w:tab/>
        <w:t>ao Artigo 5, após o ponto 3, é aditado o seguinte ponto 3a:</w:t>
      </w:r>
    </w:p>
    <w:p w14:paraId="3F01716F" w14:textId="77777777" w:rsidR="00AF4785" w:rsidRDefault="00AF4785" w:rsidP="00AF4785">
      <w:pPr>
        <w:pStyle w:val="PKTpunkt"/>
        <w:ind w:hanging="340"/>
      </w:pPr>
      <w:r>
        <w:tab/>
        <w:t xml:space="preserve">‘3a) uma parte coligada — uma parte coligada na aceção do Regulamento (CE) n.º 1126/2008 da Comissão, de 3 de novembro de 2008, que adota determinadas normas </w:t>
      </w:r>
      <w:r>
        <w:lastRenderedPageBreak/>
        <w:t>internacionais de contabilidade nos termos do Regulamento (CE) n.º 1606/2002 do Parlamento Europeu e do Conselho (JO L 320 de 29.11.2008, p. 1, alterado</w:t>
      </w:r>
      <w:r w:rsidRPr="00146458">
        <w:rPr>
          <w:vertAlign w:val="superscript"/>
        </w:rPr>
        <w:footnoteReference w:id="3"/>
      </w:r>
      <w:r>
        <w:rPr>
          <w:vertAlign w:val="superscript"/>
        </w:rPr>
        <w:t>)</w:t>
      </w:r>
      <w:r>
        <w:t>);’;</w:t>
      </w:r>
    </w:p>
    <w:p w14:paraId="35699275" w14:textId="77777777" w:rsidR="00A749FE" w:rsidRPr="00A749FE" w:rsidRDefault="00A749FE" w:rsidP="00A749FE">
      <w:pPr>
        <w:pStyle w:val="PKTpunkt"/>
      </w:pPr>
      <w:r>
        <w:t>2)</w:t>
      </w:r>
      <w:r>
        <w:tab/>
        <w:t>O Artigo 10a é aditado após o Artigo 10 e passa a ter a seguinte redação:</w:t>
      </w:r>
    </w:p>
    <w:p w14:paraId="2E2451E5" w14:textId="77777777" w:rsidR="00A749FE" w:rsidRPr="004644B8" w:rsidRDefault="00A749FE" w:rsidP="005E4C63">
      <w:pPr>
        <w:pStyle w:val="ZARTzmartartykuempunktem"/>
      </w:pPr>
      <w:r>
        <w:t xml:space="preserve">‘Artigo 10a. 1. O mutuante deve sujeitar a concessão de empréstimos ao consumo a uma avaliação positiva da solvabilidade. Antes de conceder um empréstimo ao consumo a um consumidor, o mutuante deve recolher uma declaração das receitas e despesas do consumidor na medida do necessário para avaliar a solvabilidade do consumidor a que se refere o Artigo 9 e analisar o risco de empréstimo. </w:t>
      </w:r>
    </w:p>
    <w:p w14:paraId="42668B4B" w14:textId="77777777" w:rsidR="00A749FE" w:rsidRDefault="00A749FE" w:rsidP="00A749FE">
      <w:pPr>
        <w:pStyle w:val="ZUSTzmustartykuempunktem"/>
      </w:pPr>
      <w:r>
        <w:t>2. O credor verifica a declaração referida no parágrafo 1.</w:t>
      </w:r>
    </w:p>
    <w:p w14:paraId="72FA9290" w14:textId="77777777" w:rsidR="00A749FE" w:rsidRDefault="00A749FE" w:rsidP="00A749FE">
      <w:pPr>
        <w:pStyle w:val="ZUSTzmustartykuempunktem"/>
      </w:pPr>
      <w:r>
        <w:t>3. A verificação referida no parágrafo 2 pode ser efetuada, nomeadamente, com base em documentos elaborados pelo empregador e apresentados pelo consumidor, ou pela administração pública, ou em dados recolhidos, tratados e partilhados por:</w:t>
      </w:r>
    </w:p>
    <w:p w14:paraId="11D581BF" w14:textId="77777777" w:rsidR="00A749FE" w:rsidRDefault="00A749FE" w:rsidP="005E4C63">
      <w:pPr>
        <w:pStyle w:val="ZPKTzmpktartykuempunktem"/>
      </w:pPr>
      <w:r>
        <w:t>1)</w:t>
      </w:r>
      <w:r>
        <w:tab/>
        <w:t>instituições a que se refere o Artigo 105(4), da Lei Bancária de 29 de agosto de 1997, ou</w:t>
      </w:r>
    </w:p>
    <w:p w14:paraId="46DF315C" w14:textId="7DD6A74F" w:rsidR="00A749FE" w:rsidRDefault="00A749FE" w:rsidP="005E4C63">
      <w:pPr>
        <w:pStyle w:val="ZPKTzmpktartykuempunktem"/>
      </w:pPr>
      <w:r>
        <w:t>2)</w:t>
      </w:r>
      <w:r>
        <w:tab/>
        <w:t>gabinetes de informação empresarial referidos na Lei de 9 de abril de 2010 relativa à partilha de informações empresariais e ao intercâmbio de dados económicos (Jornal Oficial de 2021, ponto 2057).</w:t>
      </w:r>
    </w:p>
    <w:p w14:paraId="7B75805E" w14:textId="77777777" w:rsidR="00A749FE" w:rsidRDefault="00A749FE" w:rsidP="00A749FE">
      <w:pPr>
        <w:pStyle w:val="ZUSTzmustartykuempunktem"/>
      </w:pPr>
      <w:r>
        <w:t>4. A declaração do consumidor, juntamente com as informações obtidas pelo mutuante, deve ser anexada ao contrato de empréstimo ao consumidor.</w:t>
      </w:r>
    </w:p>
    <w:p w14:paraId="65CA9034" w14:textId="77777777" w:rsidR="00A749FE" w:rsidRDefault="00A749FE" w:rsidP="00A749FE">
      <w:pPr>
        <w:pStyle w:val="ZUSTzmustartykuempunktem"/>
      </w:pPr>
      <w:r>
        <w:t xml:space="preserve">5. Se o mutuante tiver concedido um empréstimo ao consumo em violação do disposto nos parágrafos 1 e 2, ou se resultar da declaração do consumidor e das informações obtidas pelo mutuante que, à data da celebração do contrato de empréstimo </w:t>
      </w:r>
      <w:r>
        <w:lastRenderedPageBreak/>
        <w:t>ao consumo, o consumidor estava em atraso de outra obrigação em numerário por mais de seis meses e que o empréstimo ao consumo não foi utilizado para reembolsar esses pagamentos em atraso, então:</w:t>
      </w:r>
    </w:p>
    <w:p w14:paraId="270B170C" w14:textId="77777777" w:rsidR="00A749FE" w:rsidRDefault="00A749FE" w:rsidP="00664951">
      <w:pPr>
        <w:pStyle w:val="ZPKTzmpktartykuempunktem"/>
      </w:pPr>
      <w:r>
        <w:t>1)</w:t>
      </w:r>
      <w:r>
        <w:tab/>
        <w:t>a venda de créditos ao abrigo do acordo por meio de transferência ou de outra forma é inválida;</w:t>
      </w:r>
    </w:p>
    <w:p w14:paraId="6F80005F" w14:textId="05D7E15E" w:rsidR="00A749FE" w:rsidRPr="00C770BB" w:rsidRDefault="00A749FE" w:rsidP="00664951">
      <w:pPr>
        <w:pStyle w:val="ZPKTzmpktartykuempunktem"/>
      </w:pPr>
      <w:r>
        <w:t>2)</w:t>
      </w:r>
      <w:r>
        <w:tab/>
        <w:t>a cobrança de um crédito só é admissível após a data do reembolso integral da obrigação anterior, do seu termo ou depois de o tribunal ter definitivamente verificado que a obrigação não existe — sem que a proibição de liquidação do crédito e a sua cobrança suspendam o prazo de prescrição. Os custos com juros ou não juros, bem como outros encargos relacionados com o crédito, não podem ser adicionados durante o período durante o qual o crédito não pode ser liquidado nem cobrado.</w:t>
      </w:r>
    </w:p>
    <w:p w14:paraId="1C9B34A0" w14:textId="77777777" w:rsidR="00A749FE" w:rsidRDefault="00A749FE" w:rsidP="00A749FE">
      <w:pPr>
        <w:pStyle w:val="ZUSTzmustartykuempunktem"/>
      </w:pPr>
      <w:r>
        <w:t>6. As circunstâncias referidas no parágrafo 5(2), são examinadas pelo tribunal na sequência da alegação do consumidor.</w:t>
      </w:r>
    </w:p>
    <w:p w14:paraId="558DF72A" w14:textId="02DB87DC" w:rsidR="00A749FE" w:rsidRPr="00C770BB" w:rsidRDefault="00A749FE" w:rsidP="00E66F6C">
      <w:pPr>
        <w:pStyle w:val="ZUSTzmustartykuempunktem"/>
      </w:pPr>
      <w:r>
        <w:t>7. O mutuante que tenha concedido um empréstimo ao consumo deve fornecer imediatamente informações sobre a concessão à instituição a que se refere o Artigo 105(4), da Lei Bancária de 29 de agosto de 1997. As informações sobre os pagamentos em atraso do empréstimo devem ser comunicadas a essa instituição ou ao gabinete de informação comercial a que se refere a Lei de 9 de abril de 2010 relativa ao fornecimento de informações económicas e ao intercâmbio de dados económicos.</w:t>
      </w:r>
    </w:p>
    <w:p w14:paraId="424FF574" w14:textId="77777777" w:rsidR="00A749FE" w:rsidRPr="00BA2CA8" w:rsidRDefault="00A749FE" w:rsidP="00A749FE">
      <w:pPr>
        <w:pStyle w:val="ZUSTzmustartykuempunktem"/>
      </w:pPr>
      <w:r>
        <w:t>8. As disposições do parágrafo 1-7 não se aplica aos mutuantes que sejam bancos ou cooperativas de poupança e cooperativas de crédito que concedam empréstimos ao consumo.”;</w:t>
      </w:r>
    </w:p>
    <w:p w14:paraId="10882BE6" w14:textId="77777777" w:rsidR="00A749FE" w:rsidRDefault="00A749FE" w:rsidP="00A749FE">
      <w:pPr>
        <w:pStyle w:val="PKTpunkt"/>
      </w:pPr>
      <w:r>
        <w:t>3)</w:t>
      </w:r>
      <w:r>
        <w:tab/>
        <w:t>no Artigo 30(1), a seguir ao ponto 10 é aditado o seguinte ponto 10a e passa a ter a seguinte redação:</w:t>
      </w:r>
    </w:p>
    <w:p w14:paraId="5308D857" w14:textId="77777777" w:rsidR="00A749FE" w:rsidRDefault="00A749FE" w:rsidP="004644B8">
      <w:pPr>
        <w:pStyle w:val="ZPKTzmpktartykuempunktem"/>
      </w:pPr>
      <w:r>
        <w:t>‘10a)</w:t>
      </w:r>
      <w:r>
        <w:tab/>
        <w:t>o número da conta bancária para reembolsar o crédito sempre que o contrato preveja o pagamento de prestações pelo consumidor por conta própria;’;</w:t>
      </w:r>
    </w:p>
    <w:p w14:paraId="15606DE1" w14:textId="77777777" w:rsidR="00A749FE" w:rsidRDefault="00A749FE" w:rsidP="00A749FE">
      <w:pPr>
        <w:pStyle w:val="PKTpunkt"/>
      </w:pPr>
      <w:r>
        <w:t>4)</w:t>
      </w:r>
      <w:r>
        <w:tab/>
        <w:t>no Artigo 36a:</w:t>
      </w:r>
    </w:p>
    <w:p w14:paraId="2F641646" w14:textId="77777777" w:rsidR="00373FE7" w:rsidRPr="00A749FE" w:rsidRDefault="00373FE7" w:rsidP="00D460F1">
      <w:pPr>
        <w:pStyle w:val="LITlitera"/>
      </w:pPr>
      <w:r>
        <w:t>a)</w:t>
      </w:r>
      <w:r>
        <w:tab/>
        <w:t>o parágrafo 1 passa a ter a seguinte redação:</w:t>
      </w:r>
    </w:p>
    <w:p w14:paraId="2DB7447C" w14:textId="77777777" w:rsidR="00951C78" w:rsidRPr="00146458" w:rsidRDefault="00951C78" w:rsidP="00951C78">
      <w:pPr>
        <w:pStyle w:val="ZARTzmartartykuempunktem"/>
      </w:pPr>
      <w:bookmarkStart w:id="3" w:name="_Hlk85799826"/>
      <w:r>
        <w:t xml:space="preserve">‘1. </w:t>
      </w:r>
      <w:bookmarkEnd w:id="3"/>
      <w:r>
        <w:t>O custo máximo, sem juros, do empréstimo ao consumo para empréstimos com um prazo de reembolso não inferior a 30 dias é calculado de acordo com a seguinte fórmula:</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MPKK = (K × 10%) + (K × n/R × 10%)</w:t>
      </w:r>
    </w:p>
    <w:bookmarkEnd w:id="4"/>
    <w:p w14:paraId="0E98C98B" w14:textId="77777777" w:rsidR="00951C78" w:rsidRPr="00146458" w:rsidRDefault="00951C78" w:rsidP="00951C78">
      <w:pPr>
        <w:pStyle w:val="ZLEGWMATFIZCHEMzmlegendywzorumatfizlubchemartykuempunktem"/>
      </w:pPr>
      <w:r>
        <w:lastRenderedPageBreak/>
        <w:t>em que os símbolos individuais devem ser entendidos como:</w:t>
      </w:r>
    </w:p>
    <w:p w14:paraId="1678A09B" w14:textId="77777777" w:rsidR="00951C78" w:rsidRPr="00146458" w:rsidRDefault="00951C78" w:rsidP="00951C78">
      <w:pPr>
        <w:pStyle w:val="ZLEGWMATFIZCHEMzmlegendywzorumatfizlubchemartykuempunktem"/>
      </w:pPr>
      <w:r>
        <w:rPr>
          <w:rStyle w:val="Kkursywa"/>
        </w:rPr>
        <w:t>MPKK</w:t>
      </w:r>
      <w:r>
        <w:t xml:space="preserve"> – o montante máximo dos custos dos empréstimos que não sejam juros,</w:t>
      </w:r>
    </w:p>
    <w:p w14:paraId="2CB61C3F" w14:textId="77777777" w:rsidR="00951C78" w:rsidRPr="00146458" w:rsidRDefault="00951C78" w:rsidP="00951C78">
      <w:pPr>
        <w:pStyle w:val="ZLEGWMATFIZCHEMzmlegendywzorumatfizlubchemartykuempunktem"/>
      </w:pPr>
      <w:r>
        <w:rPr>
          <w:rStyle w:val="Kkursywa"/>
        </w:rPr>
        <w:t>K</w:t>
      </w:r>
      <w:r>
        <w:t xml:space="preserve"> – corresponde ao montante total do empréstimo,</w:t>
      </w:r>
    </w:p>
    <w:p w14:paraId="616670BB" w14:textId="77777777" w:rsidR="00951C78" w:rsidRPr="00146458" w:rsidRDefault="00951C78" w:rsidP="00951C78">
      <w:pPr>
        <w:pStyle w:val="ZLEGWMATFIZCHEMzmlegendywzorumatfizlubchemartykuempunktem"/>
      </w:pPr>
      <w:r>
        <w:rPr>
          <w:rStyle w:val="Kkursywa"/>
        </w:rPr>
        <w:t>n</w:t>
      </w:r>
      <w:r>
        <w:t xml:space="preserve"> – corresponde ao período de amortização expresso em dias,</w:t>
      </w:r>
    </w:p>
    <w:p w14:paraId="31FF9997" w14:textId="77777777" w:rsidR="00951C78" w:rsidRPr="00146458" w:rsidRDefault="00951C78" w:rsidP="00951C78">
      <w:pPr>
        <w:pStyle w:val="ZLEGWMATFIZCHEMzmlegendywzorumatfizlubchemartykuempunktem"/>
      </w:pPr>
      <w:r>
        <w:rPr>
          <w:rStyle w:val="Kkursywa"/>
        </w:rPr>
        <w:t xml:space="preserve">R </w:t>
      </w:r>
      <w:r>
        <w:t>– número de dias por ano.’,</w:t>
      </w:r>
    </w:p>
    <w:p w14:paraId="35B3FFA9" w14:textId="77777777" w:rsidR="00373FE7" w:rsidRDefault="00373FE7" w:rsidP="00D460F1">
      <w:pPr>
        <w:pStyle w:val="LITlitera"/>
      </w:pPr>
      <w:r>
        <w:t>b)</w:t>
      </w:r>
      <w:r>
        <w:tab/>
        <w:t>a seguir ao parágrafo 1 é aditado o seguinte parágrafo 1a e passa a ter a seguinte redação:</w:t>
      </w:r>
    </w:p>
    <w:p w14:paraId="5563CD03" w14:textId="77777777" w:rsidR="00951C78" w:rsidRPr="00146458" w:rsidRDefault="00373FE7" w:rsidP="00951C78">
      <w:pPr>
        <w:pStyle w:val="ZUSTzmustartykuempunktem"/>
      </w:pPr>
      <w:bookmarkStart w:id="5" w:name="_Hlk85799988"/>
      <w:r>
        <w:t>'</w:t>
      </w:r>
      <w:bookmarkEnd w:id="5"/>
      <w:r>
        <w:t>1a. O custo máximo, sem juros, do empréstimo ao consumo para empréstimos com um período de reembolso inferior a 30 dias é calculado de acordo com a seguinte fórmula:</w:t>
      </w:r>
    </w:p>
    <w:p w14:paraId="70BCC507" w14:textId="77777777" w:rsidR="00951C78" w:rsidRPr="00346832" w:rsidRDefault="00951C78" w:rsidP="00951C78">
      <w:pPr>
        <w:pStyle w:val="ZWMATFIZCHEMzmwzorumatfizlubchemartykuempunktem"/>
        <w:rPr>
          <w:rStyle w:val="Kkursywa"/>
        </w:rPr>
      </w:pPr>
      <w:r>
        <w:rPr>
          <w:rStyle w:val="Kkursywa"/>
        </w:rPr>
        <w:t>MPKK = K x 5%</w:t>
      </w:r>
    </w:p>
    <w:p w14:paraId="14DF8EB0" w14:textId="77777777" w:rsidR="00951C78" w:rsidRPr="00146458" w:rsidRDefault="00951C78" w:rsidP="00951C78">
      <w:pPr>
        <w:pStyle w:val="ZLEGWMATFIZCHEMzmlegendywzorumatfizlubchemartykuempunktem"/>
      </w:pPr>
      <w:r>
        <w:t>em que os símbolos individuais devem ser entendidos como:</w:t>
      </w:r>
    </w:p>
    <w:p w14:paraId="5F71B434" w14:textId="77777777" w:rsidR="00951C78" w:rsidRPr="00146458" w:rsidRDefault="00951C78" w:rsidP="00951C78">
      <w:pPr>
        <w:pStyle w:val="ZLEGWMATFIZCHEMzmlegendywzorumatfizlubchemartykuempunktem"/>
      </w:pPr>
      <w:r>
        <w:rPr>
          <w:rStyle w:val="Kkursywa"/>
        </w:rPr>
        <w:t xml:space="preserve">MPKK </w:t>
      </w:r>
      <w:r>
        <w:t>– o montante máximo dos custos do empréstimo sem juros,</w:t>
      </w:r>
    </w:p>
    <w:p w14:paraId="281B068F" w14:textId="77777777" w:rsidR="00951C78" w:rsidRDefault="00951C78" w:rsidP="00951C78">
      <w:pPr>
        <w:pStyle w:val="ZLEGWMATFIZCHEMzmlegendywzorumatfizlubchemartykuempunktem"/>
      </w:pPr>
      <w:r>
        <w:rPr>
          <w:rStyle w:val="Kkursywa"/>
        </w:rPr>
        <w:t>K</w:t>
      </w:r>
      <w:r>
        <w:t xml:space="preserve"> – corresponde ao montante total do empréstimo,</w:t>
      </w:r>
    </w:p>
    <w:p w14:paraId="2FD7635B" w14:textId="77777777" w:rsidR="00373FE7" w:rsidRPr="00146458" w:rsidRDefault="00373FE7" w:rsidP="00D460F1">
      <w:pPr>
        <w:pStyle w:val="LITlitera"/>
      </w:pPr>
      <w:r>
        <w:t>c)</w:t>
      </w:r>
      <w:r>
        <w:tab/>
        <w:t>os parágrafos 2 e 3 passam a ter a seguinte redação:</w:t>
      </w:r>
    </w:p>
    <w:p w14:paraId="750B77DE" w14:textId="77777777" w:rsidR="00951C78" w:rsidRPr="00146458" w:rsidRDefault="00373FE7" w:rsidP="00D460F1">
      <w:pPr>
        <w:pStyle w:val="ZLITUSTzmustliter"/>
      </w:pPr>
      <w:r>
        <w:t>‘2. Os custos sem juros de um empréstimo ao consumo não podem exceder 45% do montante total do empréstimo.</w:t>
      </w:r>
    </w:p>
    <w:p w14:paraId="5402695F" w14:textId="2BA48F10" w:rsidR="00373FE7" w:rsidRPr="00146458" w:rsidRDefault="00373FE7" w:rsidP="0089620D">
      <w:pPr>
        <w:pStyle w:val="ZLITUSTzmustliter"/>
      </w:pPr>
      <w:r>
        <w:t>3. Os custos não juros de um empréstimo ao consumo decorrentes de um contrato de empréstimo ao consumo não são exigíveis na parte</w:t>
      </w:r>
      <w:r>
        <w:rPr>
          <w:rFonts w:ascii="Times New Roman" w:hAnsi="Times New Roman"/>
        </w:rPr>
        <w:t xml:space="preserve"> </w:t>
      </w:r>
      <w:r>
        <w:t xml:space="preserve">superando o montante máximo dos custos do empréstimo sem juros calculado da forma especificada no parágrafo 1-2.’; </w:t>
      </w:r>
    </w:p>
    <w:p w14:paraId="7B9146BD" w14:textId="77777777" w:rsidR="007655D2" w:rsidRDefault="008F3E2A" w:rsidP="00A749FE">
      <w:pPr>
        <w:pStyle w:val="PKTpunkt"/>
      </w:pPr>
      <w:r>
        <w:t>5)</w:t>
      </w:r>
      <w:r>
        <w:tab/>
        <w:t>no Artigo 36c, a introdução à enumeração passa a ter a seguinte redação:</w:t>
      </w:r>
    </w:p>
    <w:p w14:paraId="0F53A9B7" w14:textId="77777777" w:rsidR="007655D2" w:rsidRPr="00146458" w:rsidRDefault="007655D2" w:rsidP="00D460F1">
      <w:pPr>
        <w:pStyle w:val="ZARTzmartartykuempunktem"/>
      </w:pPr>
      <w:r>
        <w:tab/>
        <w:t>‘Se um mutuante ou uma entidade a ele associada tiver concedido novos empréstimos a um consumidor que não tenha reembolsado integralmente o empréstimo no prazo de 120 dias a contar da data em que o primeiro empréstimo é desembolsado:’;</w:t>
      </w:r>
    </w:p>
    <w:p w14:paraId="17A27812" w14:textId="77777777" w:rsidR="00527F84" w:rsidRDefault="007655D2" w:rsidP="00A749FE">
      <w:pPr>
        <w:pStyle w:val="PKTpunkt"/>
      </w:pPr>
      <w:r>
        <w:t>6)</w:t>
      </w:r>
      <w:r>
        <w:tab/>
        <w:t>O Artigo 59a é alterado do seguinte modo:</w:t>
      </w:r>
    </w:p>
    <w:p w14:paraId="4EE512EB" w14:textId="77777777" w:rsidR="00527F84" w:rsidRDefault="00527F84" w:rsidP="00527F84">
      <w:pPr>
        <w:pStyle w:val="PKTpunkt"/>
        <w:ind w:firstLine="57"/>
      </w:pPr>
      <w:r>
        <w:t>a)</w:t>
      </w:r>
      <w:r>
        <w:tab/>
        <w:t>os parágrafos 1 e 2 passam a ter a seguinte redação:</w:t>
      </w:r>
    </w:p>
    <w:p w14:paraId="4513AD0B" w14:textId="77777777" w:rsidR="00527F84" w:rsidRDefault="00527F84" w:rsidP="00527F84">
      <w:pPr>
        <w:pStyle w:val="PKTpunkt"/>
        <w:ind w:firstLine="483"/>
      </w:pPr>
      <w:r>
        <w:t>‘1. Uma instituição de crédito só pode operar sob a forma de sociedade por ações.</w:t>
      </w:r>
    </w:p>
    <w:p w14:paraId="1EE25983" w14:textId="77777777" w:rsidR="00527F84" w:rsidRDefault="00527F84" w:rsidP="00527F84">
      <w:pPr>
        <w:pStyle w:val="PKTpunkt"/>
        <w:ind w:firstLine="483"/>
      </w:pPr>
      <w:r>
        <w:t>2. O capital social mínimo da instituição de empréstimo é de 1.000.000 PLN.",</w:t>
      </w:r>
    </w:p>
    <w:p w14:paraId="6C90BA3F" w14:textId="77777777" w:rsidR="00527F84" w:rsidRDefault="00527F84" w:rsidP="00527F84">
      <w:pPr>
        <w:pStyle w:val="PKTpunkt"/>
        <w:ind w:firstLine="57"/>
      </w:pPr>
      <w:r>
        <w:t>b) O parágrafo 4 passa a ter a seguinte redação:</w:t>
      </w:r>
    </w:p>
    <w:p w14:paraId="074603EB" w14:textId="77777777" w:rsidR="00527F84" w:rsidRDefault="00527F84" w:rsidP="00527F84">
      <w:pPr>
        <w:pStyle w:val="PKTpunkt"/>
        <w:ind w:firstLine="483"/>
      </w:pPr>
      <w:r>
        <w:t xml:space="preserve">‘4. Apenas uma pessoa que não tenha sido legalmente condenada por uma infração contra a credibilidade de documentos, bens, negócios, negociação de dinheiro e valores </w:t>
      </w:r>
      <w:r>
        <w:lastRenderedPageBreak/>
        <w:t>mobiliários, ou crime fiscal, pode ser membro do conselho de administração, do conselho de supervisão ou de um representante de uma instituição de crédito.’,</w:t>
      </w:r>
    </w:p>
    <w:p w14:paraId="2410F9C2" w14:textId="77777777" w:rsidR="00527F84" w:rsidRDefault="00D95A51" w:rsidP="00D460F1">
      <w:pPr>
        <w:pStyle w:val="PKTpunkt"/>
        <w:ind w:firstLine="57"/>
      </w:pPr>
      <w:r>
        <w:t>C) No parágrafo 5, ponto 1, a expressão ‘membros do conselho de administração, do conselho fiscal’ é substituída por ‘membros do conselho de administração e do conselho fiscal’ e os termos ‘e do comité de auditoria» são suprimidos;</w:t>
      </w:r>
    </w:p>
    <w:p w14:paraId="3A4A4179" w14:textId="7E995F34" w:rsidR="00527F84" w:rsidRDefault="00D95A51" w:rsidP="00D95A51">
      <w:pPr>
        <w:pStyle w:val="PKTpunkt"/>
        <w:ind w:left="0" w:firstLine="0"/>
      </w:pPr>
      <w:r>
        <w:t>7)</w:t>
      </w:r>
      <w:r w:rsidR="00754A56">
        <w:tab/>
      </w:r>
      <w:r>
        <w:t>O artigo 59ac é alterado do seguinte modo:</w:t>
      </w:r>
    </w:p>
    <w:p w14:paraId="4DBE8910" w14:textId="77777777" w:rsidR="00D95A51" w:rsidRDefault="00D95A51" w:rsidP="00D95A51">
      <w:pPr>
        <w:pStyle w:val="PKTpunkt"/>
        <w:ind w:left="567" w:firstLine="0"/>
      </w:pPr>
      <w:r>
        <w:t>a) No parágrafo 2, no ponto 1, são suprimidos os termos ‘sociedades de responsabilidade limitada ou,</w:t>
      </w:r>
    </w:p>
    <w:p w14:paraId="219CF6F1" w14:textId="77777777" w:rsidR="00D95A51" w:rsidRDefault="00D95A51" w:rsidP="00D95A51">
      <w:pPr>
        <w:pStyle w:val="PKTpunkt"/>
        <w:ind w:left="567" w:firstLine="0"/>
      </w:pPr>
      <w:r>
        <w:t>b) O parágrafo 3 passa a ter a seguinte redação:</w:t>
      </w:r>
    </w:p>
    <w:p w14:paraId="1DBA4402" w14:textId="77777777" w:rsidR="00D95A51" w:rsidRDefault="00D95A51" w:rsidP="00D460F1">
      <w:pPr>
        <w:pStyle w:val="PKTpunkt"/>
        <w:ind w:left="567" w:firstLine="426"/>
      </w:pPr>
      <w:r>
        <w:t xml:space="preserve">‘3. Deve ser anexada ao pedido referido no parágrafo 1 uma certidão do Registo Penal Nacional que confirme que um membro do conselho de administração, o conselho de supervisão ou o representante de uma instituição de crédito não tem registo criminal relativamente às infrações referidas no Artigo 59a(4), e os documentos comprovativos do cumprimento das condições referidas no Artigo 59a(1) e (2), pela entidade que solicita a inscrição no registo das instituições de crédito.»;  </w:t>
      </w:r>
    </w:p>
    <w:p w14:paraId="0DCFCD02" w14:textId="0732845E" w:rsidR="00A749FE" w:rsidRPr="00A749FE" w:rsidRDefault="006202A1" w:rsidP="00A749FE">
      <w:pPr>
        <w:pStyle w:val="PKTpunkt"/>
      </w:pPr>
      <w:r>
        <w:t>8)</w:t>
      </w:r>
      <w:r w:rsidR="00754A56">
        <w:tab/>
      </w:r>
      <w:r>
        <w:t>No Artigo 59ae, no ponto (2)(d), a paragem completa é substituída por um ponto e vírgula e é aditado o ponto 3 e passa a ter a seguinte redação:</w:t>
      </w:r>
    </w:p>
    <w:p w14:paraId="77F875C1" w14:textId="77777777" w:rsidR="001E2696" w:rsidRDefault="00A749FE" w:rsidP="004A4142">
      <w:pPr>
        <w:pStyle w:val="ZPKTzmpktartykuempunktem"/>
      </w:pPr>
      <w:r>
        <w:t>‘3)</w:t>
      </w:r>
      <w:r>
        <w:tab/>
        <w:t>uma nota sobre a supressão do registo.’;</w:t>
      </w:r>
    </w:p>
    <w:p w14:paraId="11CA5784" w14:textId="77777777" w:rsidR="001E2696" w:rsidRDefault="006202A1" w:rsidP="001E2696">
      <w:pPr>
        <w:pStyle w:val="PKTpunkt"/>
      </w:pPr>
      <w:r>
        <w:t>9)</w:t>
      </w:r>
      <w:r>
        <w:tab/>
        <w:t>após o Artigos 59ca, são aditados os seguintes Artigos 59cc a 59c e passam a ter a seguinte redação:</w:t>
      </w:r>
    </w:p>
    <w:p w14:paraId="1A8C13BC" w14:textId="77777777" w:rsidR="001E2696" w:rsidRDefault="00F978F4" w:rsidP="001E2696">
      <w:pPr>
        <w:pStyle w:val="ZARTzmartartykuempunktem"/>
      </w:pPr>
      <w:r>
        <w:t>‘Artigo 59ca. Os fundos afetados à concessão de um empréstimo ao consumo pelas instituições de crédito não podem provir da atividade de recolha de fundos de outras pessoas singulares, entidades jurídicas ou unidades organizacionais sem personalidade jurídica, incluindo a emissão de obrigações ou outros instrumentos de dívida e fontes não documentadas.</w:t>
      </w:r>
    </w:p>
    <w:p w14:paraId="0ADDD04B" w14:textId="77777777" w:rsidR="001E2696" w:rsidRDefault="00F978F4" w:rsidP="001E2696">
      <w:pPr>
        <w:pStyle w:val="ZARTzmartartykuempunktem"/>
      </w:pPr>
      <w:r>
        <w:t xml:space="preserve">Artigo 59cb. 1. Uma instituição de crédito para empréstimos ao consumo concedidos através de leis ou omissões dos seus empregados, agentes de crédito através dos quais concede empréstimos ao consumo, ou outras empresas que exerçam atividades relacionadas com a concessão de empréstimos ao consumo em seu nome, é responsável perante os mutuários no que se refere às suas ações, incluindo as relacionadas com um pedido de pagamento de juros ou não juros num montante superior ao permitido, ou com a celebração de um acordo que obrigue o mutuário a fazê-lo em relação à instituição de crédito. </w:t>
      </w:r>
    </w:p>
    <w:p w14:paraId="7A8C7B2D" w14:textId="77777777" w:rsidR="001E2696" w:rsidRDefault="00F978F4" w:rsidP="001E2696">
      <w:pPr>
        <w:pStyle w:val="ZARTzmartartykuempunktem"/>
      </w:pPr>
      <w:r>
        <w:lastRenderedPageBreak/>
        <w:t>2.  A responsabilidade referida no parágrafo 1 não pode ser excluída ou limitada.</w:t>
      </w:r>
    </w:p>
    <w:p w14:paraId="7A5E5472" w14:textId="77777777" w:rsidR="001E2696" w:rsidRDefault="00F978F4" w:rsidP="00C228BC">
      <w:pPr>
        <w:pStyle w:val="ZARTzmartartykuempunktem"/>
      </w:pPr>
      <w:r>
        <w:t>Artigo 59cc. O ónus da prova de que a instituição de crédito cumpriu corretamente as suas obrigações legais para com os consumidores permanece nessa instituição.’;</w:t>
      </w:r>
    </w:p>
    <w:p w14:paraId="0FDA9739" w14:textId="77777777" w:rsidR="00F978F4" w:rsidRDefault="00694A6F" w:rsidP="001E2696">
      <w:pPr>
        <w:pStyle w:val="PKTpunkt"/>
      </w:pPr>
      <w:r>
        <w:t>10)</w:t>
      </w:r>
      <w:r>
        <w:tab/>
        <w:t>O Artigo 59d é alterado do seguinte modo:</w:t>
      </w:r>
    </w:p>
    <w:p w14:paraId="4FE81848" w14:textId="77777777" w:rsidR="00E91981" w:rsidRDefault="00E91981" w:rsidP="00020454">
      <w:pPr>
        <w:pStyle w:val="LITlitera"/>
      </w:pPr>
      <w:r>
        <w:tab/>
      </w:r>
      <w:r>
        <w:tab/>
        <w:t>a) O parágrafo 1 passa a ter a seguinte redação:</w:t>
      </w:r>
    </w:p>
    <w:p w14:paraId="15F8734D" w14:textId="77777777" w:rsidR="00E91981" w:rsidRDefault="00E91981" w:rsidP="00E91981">
      <w:pPr>
        <w:pStyle w:val="PKTpunkt"/>
        <w:keepNext/>
        <w:keepLines/>
        <w:ind w:left="567" w:firstLine="426"/>
      </w:pPr>
      <w:r>
        <w:t>‘1. Uma entidade estabelecida no território de um país que seja membro da União Europeia que não seja a República da Polónia, a Confederação Suíça ou um Estado-Membro do Acordo Europeu de Comércio Livre (EFTA) — parte no Acordo sobre o Espaço Económico Europeu, pode, em conformidade com as regras estabelecidas na lei, exercer atividades no território da República da Polónia no domínio da concessão de empréstimos ao consumo se satisfizer as condições referidas no Artigo 59a(2)-(4).’,</w:t>
      </w:r>
    </w:p>
    <w:p w14:paraId="776C0F16" w14:textId="77777777" w:rsidR="00E91981" w:rsidRDefault="00E91981" w:rsidP="00020454">
      <w:pPr>
        <w:pStyle w:val="LITlitera"/>
      </w:pPr>
      <w:r>
        <w:t>b) Os parágrafos 1a e 1b são aditados após o parágrafo 1 e passam a ter a seguinte redação:</w:t>
      </w:r>
    </w:p>
    <w:p w14:paraId="078BAF17" w14:textId="77777777" w:rsidR="00694A6F" w:rsidRDefault="00E91981" w:rsidP="00020454">
      <w:pPr>
        <w:pStyle w:val="ZUSTzmustartykuempunktem"/>
      </w:pPr>
      <w:r>
        <w:t>‘1a. A entidade referida no parágrafo 1 deve notificar a Autoridade de Supervisão Financeira polaca da intenção de desenvolver a atividade de concessão de empréstimos ao consumo no território da República da Polónia o mais tardar dois meses antes do início dessa atividade.</w:t>
      </w:r>
    </w:p>
    <w:p w14:paraId="14C8AEA5" w14:textId="77777777" w:rsidR="00F978F4" w:rsidRDefault="002824C4" w:rsidP="00020454">
      <w:pPr>
        <w:pStyle w:val="ZUSTzmustartykuempunktem"/>
      </w:pPr>
      <w:r>
        <w:t>1b. Na notificação a que se refere o parágrafo 2, a entidade a que se refere o parágrafo 1 deve identificar as autoridades de supervisão estatais competentes a que se refere o parágrafo 1, designadas para supervisionar essa entidade no que diz respeito à atividade de crédito ao consumo, ou informar que a legislação do Estado a que se refere o parágrafo 1 não prevê a designação dessas autoridades.’;</w:t>
      </w:r>
    </w:p>
    <w:p w14:paraId="71E0A6A3" w14:textId="77777777" w:rsidR="00A749FE" w:rsidRPr="00A749FE" w:rsidRDefault="00694A6F" w:rsidP="0038019E">
      <w:pPr>
        <w:pStyle w:val="PKTpunkt"/>
        <w:keepNext/>
        <w:keepLines/>
      </w:pPr>
      <w:r>
        <w:t>11)</w:t>
      </w:r>
      <w:r>
        <w:tab/>
        <w:t>a seguir ao Capítulo 5aa é aditado o seguinte Capítulo 5ab e passa a ter a seguinte redação:</w:t>
      </w:r>
    </w:p>
    <w:p w14:paraId="5265ABFB" w14:textId="77777777" w:rsidR="00A749FE" w:rsidRPr="00C770BB" w:rsidRDefault="00A749FE" w:rsidP="0038019E">
      <w:pPr>
        <w:pStyle w:val="ZROZDZODDZOZNzmoznrozdzoddzartykuempunktem"/>
      </w:pPr>
      <w:r>
        <w:t>‘Capítulo 5ab</w:t>
      </w:r>
    </w:p>
    <w:p w14:paraId="2183A443" w14:textId="77777777" w:rsidR="00A749FE" w:rsidRPr="00C770BB" w:rsidRDefault="00A749FE" w:rsidP="0038019E">
      <w:pPr>
        <w:pStyle w:val="ZROZDZODDZPRZEDMzmprzedmrozdzoddzartykuempunktem"/>
      </w:pPr>
      <w:bookmarkStart w:id="6" w:name="_Hlk86066595"/>
      <w:r>
        <w:t xml:space="preserve">Supervisão das operações das instituições de crédito </w:t>
      </w:r>
      <w:bookmarkEnd w:id="6"/>
    </w:p>
    <w:p w14:paraId="52415D47" w14:textId="77777777" w:rsidR="00051F22" w:rsidRDefault="00051F22" w:rsidP="00051F22">
      <w:pPr>
        <w:pStyle w:val="ZARTzmartartykuempunktem"/>
      </w:pPr>
      <w:r>
        <w:t xml:space="preserve">Artigo 59df. 1. As atividades das instituições de empréstimo </w:t>
      </w:r>
      <w:bookmarkStart w:id="7" w:name="_Hlk86069638"/>
      <w:r>
        <w:t>no âmbito da concessão de empréstimos ao consumo</w:t>
      </w:r>
      <w:bookmarkEnd w:id="7"/>
      <w:r>
        <w:t xml:space="preserve"> serão supervisionadas pela Autoridade de Supervisão Financeira polaca.</w:t>
      </w:r>
    </w:p>
    <w:p w14:paraId="30A45CD0" w14:textId="77777777" w:rsidR="00051F22" w:rsidRDefault="00051F22" w:rsidP="00020454">
      <w:pPr>
        <w:pStyle w:val="ZUSTzmustartykuempunktem"/>
      </w:pPr>
      <w:r>
        <w:t>2. O objetivo da supervisão das atividades das instituições de crédito é controlar e assegurar a conformidade dessas atividades com a lei.</w:t>
      </w:r>
    </w:p>
    <w:p w14:paraId="2C89603F" w14:textId="77777777" w:rsidR="00051F22" w:rsidRDefault="00051F22" w:rsidP="00051F22">
      <w:pPr>
        <w:pStyle w:val="ZARTzmartartykuempunktem"/>
      </w:pPr>
      <w:r>
        <w:lastRenderedPageBreak/>
        <w:t>Artigo 59dg. 1. A instituição de crédito deve fornecer à Autoridade de Supervisão Financeira polaca relatórios trimestrais e anuais de atividades sobre empréstimos ao consumo, incluindo informações sobre:</w:t>
      </w:r>
    </w:p>
    <w:p w14:paraId="2D3E0BB5" w14:textId="77777777" w:rsidR="00051F22" w:rsidRDefault="00051F22" w:rsidP="00020454">
      <w:pPr>
        <w:pStyle w:val="ZPKTzmpktartykuempunktem"/>
      </w:pPr>
      <w:r>
        <w:t>1)</w:t>
      </w:r>
      <w:r>
        <w:tab/>
      </w:r>
      <w:bookmarkStart w:id="8" w:name="_Hlk86070273"/>
      <w:r>
        <w:t>empréstimos ao consumo concedidos, incluindo o seu número, tendo em conta o número de empréstimos a que se refere o Artigo 36b, o valor, o calendário e a estrutura monetária, bem como os atrasos nos reembolsos;</w:t>
      </w:r>
    </w:p>
    <w:p w14:paraId="4053E8C9" w14:textId="77777777" w:rsidR="00051F22" w:rsidRDefault="00051F22" w:rsidP="00020454">
      <w:pPr>
        <w:pStyle w:val="ZPKTzmpktartykuempunktem"/>
      </w:pPr>
      <w:r>
        <w:t>2)</w:t>
      </w:r>
      <w:r>
        <w:tab/>
        <w:t>contratos de crédito ao consumo celebrados, incluindo o seu número, tipos e estatuto;</w:t>
      </w:r>
    </w:p>
    <w:p w14:paraId="6E162C2D" w14:textId="77777777" w:rsidR="00051F22" w:rsidRDefault="00051F22" w:rsidP="00020454">
      <w:pPr>
        <w:pStyle w:val="ZPKTzmpktartykuempunktem"/>
      </w:pPr>
      <w:r>
        <w:t>3)</w:t>
      </w:r>
      <w:r>
        <w:tab/>
        <w:t>o número de clientes a quem foi concedido um empréstimo ao consumo, tendo em conta o número de clientes a quem foi concedido o empréstimo a que se refere o artigo 36b;</w:t>
      </w:r>
    </w:p>
    <w:p w14:paraId="63A9AD49" w14:textId="77777777" w:rsidR="00051F22" w:rsidRDefault="00051F22" w:rsidP="00020454">
      <w:pPr>
        <w:pStyle w:val="ZPKTzmpktartykuempunktem"/>
      </w:pPr>
      <w:r>
        <w:t>4)</w:t>
      </w:r>
      <w:r>
        <w:tab/>
        <w:t>as receitas totais obtidas com a concessão de empréstimos ao consumo com receitas separadas obtidas em relação aos custos sem juros do empréstimo;</w:t>
      </w:r>
    </w:p>
    <w:p w14:paraId="7F69BBEE" w14:textId="77777777" w:rsidR="00051F22" w:rsidRDefault="00051F22" w:rsidP="00020454">
      <w:pPr>
        <w:pStyle w:val="ZPKTzmpktartykuempunktem"/>
      </w:pPr>
      <w:r>
        <w:t>5)</w:t>
      </w:r>
      <w:r>
        <w:tab/>
        <w:t>o balanço, indicando as fontes de financiamento das atividades de crédito ao consumo;</w:t>
      </w:r>
    </w:p>
    <w:p w14:paraId="165BA7AD" w14:textId="77777777" w:rsidR="00051F22" w:rsidRDefault="00051F22" w:rsidP="00020454">
      <w:pPr>
        <w:pStyle w:val="ZPKTzmpktartykuempunktem"/>
      </w:pPr>
      <w:r>
        <w:t>6)</w:t>
      </w:r>
      <w:r>
        <w:tab/>
        <w:t>pessoas a que se refere o Artigo 59a(4), juntamente com informações sobre a sua conformidade com os requisitos estabelecidos na presente disposição</w:t>
      </w:r>
      <w:bookmarkEnd w:id="8"/>
      <w:r>
        <w:t>.</w:t>
      </w:r>
    </w:p>
    <w:p w14:paraId="553C6865" w14:textId="77777777" w:rsidR="00051F22" w:rsidRDefault="00051F22" w:rsidP="00020454">
      <w:pPr>
        <w:pStyle w:val="ZUSTzmustartykuempunktem"/>
      </w:pPr>
      <w:r>
        <w:t>2. Os relatórios a que se refere o parágrafo 1 devem ser fornecidos à Autoridade de Supervisão Financeira polaca em formato eletrónico, utilizando apenas os formulários de comunicação e os canais de comunicação fornecidos pela Autoridade de Supervisão Financeira polaca.</w:t>
      </w:r>
    </w:p>
    <w:p w14:paraId="097DCEA6" w14:textId="77777777" w:rsidR="00051F22" w:rsidRDefault="00051F22" w:rsidP="00020454">
      <w:pPr>
        <w:pStyle w:val="ZUSTzmustartykuempunktem"/>
      </w:pPr>
      <w:r>
        <w:t>3. O ministro das instituições financeiras determina, por meio de um regulamento, o âmbito e os prazos pormenorizados para a apresentação das informações referidas no parágrafo 1 e os modelos de reporte, a fim de assegurar que a Autoridade de Supervisão Financeira polaca tenha acesso aos dados necessários para uma supervisão eficaz das operações das instituições de crédito.</w:t>
      </w:r>
    </w:p>
    <w:p w14:paraId="3A6D759F" w14:textId="77777777" w:rsidR="00051F22" w:rsidRDefault="00051F22" w:rsidP="00410E03">
      <w:pPr>
        <w:pStyle w:val="ZARTzmartartykuempunktem"/>
      </w:pPr>
      <w:r>
        <w:t>Artigo 59dh. 1. No âmbito da sua supervisão, a Autoridade de Supervisão Financeira polaca pode:</w:t>
      </w:r>
    </w:p>
    <w:p w14:paraId="14461AE6" w14:textId="77777777" w:rsidR="00051F22" w:rsidRDefault="00051F22" w:rsidP="00020454">
      <w:pPr>
        <w:pStyle w:val="ZPKTzmpktartykuempunktem"/>
      </w:pPr>
      <w:r>
        <w:t>1)</w:t>
      </w:r>
      <w:r>
        <w:tab/>
        <w:t>exigir o fornecimento ou o fornecimento periódico de informações, documentos ou dados necessários para a finalidade a que se refere o Artigo 59df(2), com exceção das informações referidas no Artigo 59dg(1), pela instituição de empréstimo;</w:t>
      </w:r>
    </w:p>
    <w:p w14:paraId="60829DA1" w14:textId="77777777" w:rsidR="00051F22" w:rsidRDefault="00051F22" w:rsidP="00020454">
      <w:pPr>
        <w:pStyle w:val="ZPKTzmpktartykuempunktem"/>
      </w:pPr>
      <w:r>
        <w:lastRenderedPageBreak/>
        <w:t>2)</w:t>
      </w:r>
      <w:r>
        <w:tab/>
        <w:t>emitir recomendações à instituição de crédito para garantir que as operações relacionadas com a concessão de empréstimos ao consumo estão em conformidade com a lei.</w:t>
      </w:r>
    </w:p>
    <w:p w14:paraId="0DE60C8C" w14:textId="77777777" w:rsidR="00051F22" w:rsidRDefault="00051F22" w:rsidP="00020454">
      <w:pPr>
        <w:pStyle w:val="ZUSTzmustartykuempunktem"/>
      </w:pPr>
      <w:r>
        <w:t>2. As medidas tomadas no âmbito da supervisão não prejudicam os acordos celebrados pelas instituições de crédito nos termos da lei.</w:t>
      </w:r>
    </w:p>
    <w:p w14:paraId="4D7C0F48" w14:textId="77777777" w:rsidR="00051F22" w:rsidRDefault="00051F22" w:rsidP="00051F22">
      <w:pPr>
        <w:pStyle w:val="ZARTzmartartykuempunktem"/>
      </w:pPr>
      <w:r>
        <w:t>Artigo 59di. 1. Se se verificar que a instituição de empréstimo não cumpre a obrigação de informação referida no Artigo 59dg(1), ou no Artigo 59dh(1)(1), ou a cumpre incorretamente, ou não cumpriu as recomendações a que se refere o Artigo 59dh(1)(2), no prazo fixado, e se se verificar que as atividades da instituição de empréstimo, incluindo as realizadas com a participação de um agente de empréstimo, são realizadas em violação da lei ou contrárias às condições estabelecidas na Lei, a Autoridade de Supervisão Financeira polaca pode:</w:t>
      </w:r>
    </w:p>
    <w:p w14:paraId="2B630E61" w14:textId="77777777" w:rsidR="00051F22" w:rsidRDefault="00051F22" w:rsidP="00020454">
      <w:pPr>
        <w:pStyle w:val="ZPKTzmpktartykuempunktem"/>
      </w:pPr>
      <w:r>
        <w:t>1)</w:t>
      </w:r>
      <w:r>
        <w:tab/>
        <w:t>aplicar uma sanção financeira até 150.000 PLN ao membro do conselho de administração da instituição de crédito diretamente responsável pelas irregularidades identificadas;</w:t>
      </w:r>
    </w:p>
    <w:p w14:paraId="122B752F" w14:textId="77777777" w:rsidR="00051F22" w:rsidRDefault="00051F22" w:rsidP="00020454">
      <w:pPr>
        <w:pStyle w:val="ZPKTzmpktartykuempunktem"/>
      </w:pPr>
      <w:r>
        <w:t>2)</w:t>
      </w:r>
      <w:r>
        <w:tab/>
        <w:t>aplicar uma coima até 15.000.000 PLN à instituição de crédito;</w:t>
      </w:r>
    </w:p>
    <w:p w14:paraId="283B4CAA" w14:textId="77777777" w:rsidR="00051F22" w:rsidRDefault="00051F22" w:rsidP="00020454">
      <w:pPr>
        <w:pStyle w:val="ZPKTzmpktartykuempunktem"/>
      </w:pPr>
      <w:r>
        <w:t>3)</w:t>
      </w:r>
      <w:r>
        <w:tab/>
        <w:t>solicitar ao órgão competente da instituição de empréstimo que destituir o membro do conselho de administração referido no ponto 1;</w:t>
      </w:r>
    </w:p>
    <w:p w14:paraId="05F8DF44" w14:textId="77777777" w:rsidR="00051F22" w:rsidRDefault="00051F22" w:rsidP="00020454">
      <w:pPr>
        <w:pStyle w:val="ZPKTzmpktartykuempunktem"/>
      </w:pPr>
      <w:r>
        <w:t>4)</w:t>
      </w:r>
      <w:r>
        <w:tab/>
        <w:t>suspender um membro do conselho de administração referido no ponto 1 até ser tomada uma decisão sobre o pedido referido no ponto 3; a suspensão consiste na exclusão do processo de tomada de decisões no que diz respeito aos direitos e obrigações de propriedade dessa entidade;</w:t>
      </w:r>
    </w:p>
    <w:p w14:paraId="3799EE73" w14:textId="77777777" w:rsidR="00051F22" w:rsidRDefault="00051F22" w:rsidP="00020454">
      <w:pPr>
        <w:pStyle w:val="ZPKTzmpktartykuempunktem"/>
      </w:pPr>
      <w:r>
        <w:t>5)</w:t>
      </w:r>
      <w:r>
        <w:tab/>
        <w:t>suprimir a instituição de crédito do registo das instituições de crédito e, se estiver inscrita simultaneamente no registo dos agentes de crédito ao consumo, também desse registo.</w:t>
      </w:r>
    </w:p>
    <w:p w14:paraId="275D74D7" w14:textId="77777777" w:rsidR="00051F22" w:rsidRDefault="00051F22" w:rsidP="00020454">
      <w:pPr>
        <w:pStyle w:val="ZUSTzmustartykuempunktem"/>
      </w:pPr>
      <w:r>
        <w:t>2. As sanções referidas no parágrafo 1 são aplicadas por decisão administrativa.</w:t>
      </w:r>
    </w:p>
    <w:p w14:paraId="47582563" w14:textId="77777777" w:rsidR="00051F22" w:rsidRDefault="00051F22" w:rsidP="00020454">
      <w:pPr>
        <w:pStyle w:val="ZUSTzmustartykuempunktem"/>
      </w:pPr>
      <w:r>
        <w:t>3. As decisões administrativas nas matérias referidas no parágrafo 1(3) a (5) são imediatamente executórias.</w:t>
      </w:r>
    </w:p>
    <w:p w14:paraId="1B9F132B" w14:textId="77777777" w:rsidR="00051F22" w:rsidRDefault="00051F22" w:rsidP="00020454">
      <w:pPr>
        <w:pStyle w:val="ZUSTzmustartykuempunktem"/>
      </w:pPr>
      <w:r>
        <w:t>4. A sanção pecuniária a que se refere o parágrafo 1(1), também pode ser aplicada após a cessação das suas funções de membro do conselho de administração, se a violação tiver ocorrido no exercício dessa função.</w:t>
      </w:r>
    </w:p>
    <w:p w14:paraId="40AF280C" w14:textId="77777777" w:rsidR="00051F22" w:rsidRDefault="00051F22" w:rsidP="00051F22">
      <w:pPr>
        <w:pStyle w:val="ZARTzmartartykuempunktem"/>
      </w:pPr>
      <w:r>
        <w:t>5. A sanção financeira a que se refere o parágrafo 1(2), também pode ser aplicada se a entidade for suprimida do registo das instituições de crédito.</w:t>
      </w:r>
    </w:p>
    <w:p w14:paraId="1AA01C85" w14:textId="77777777" w:rsidR="00051F22" w:rsidRDefault="00051F22" w:rsidP="009B2992">
      <w:pPr>
        <w:pStyle w:val="ZARTzmartartykuempunktem"/>
      </w:pPr>
      <w:r>
        <w:lastRenderedPageBreak/>
        <w:t>6. As disposições da secção IV-A da Lei do Código de Processo Administrativo de 14 de junho de 1960 (Jornal Oficial de 2021, pontos 735, 1491 e 2052) são aplicáveis às sanções pecuniárias administrativas a que se refere o n.º 1, n.os 1 e 2.</w:t>
      </w:r>
    </w:p>
    <w:p w14:paraId="0B72CAB9" w14:textId="77777777" w:rsidR="00051F22" w:rsidRDefault="00051F22" w:rsidP="004C6235">
      <w:pPr>
        <w:pStyle w:val="ZARTzmartartykuempunktem"/>
      </w:pPr>
      <w:r>
        <w:t>7. A Autoridade de Supervisão Financeira polaca anuncia informações sobre a aplicação das sanções referidas no parágrafo 1, salvo se a divulgação dessas informações prejudicar de forma desproporcionada os interesses jurídicos das partes em causa. O nome da pessoa a quem é aplicada a coima referida no parágrafo 1(1) ou (4) é tornado público quando a decisão sobre o assunto for definitiva.</w:t>
      </w:r>
    </w:p>
    <w:p w14:paraId="4DD7DBB8" w14:textId="77777777" w:rsidR="003B69C7" w:rsidRDefault="003B69C7" w:rsidP="004C6235">
      <w:pPr>
        <w:pStyle w:val="ZARTzmartartykuempunktem"/>
      </w:pPr>
      <w:r>
        <w:t>8. As informações referidas no parágrafo 7 devem estar disponíveis no sítio da Web da Autoridade de Supervisão Financeira polaca durante um período de cinco anos a contar da data em que são partilhadas, exceto que as informações relativas ao nome da pessoa a quem foi aplicada a sanção devem estar disponíveis neste sítio da Web durante um ano.</w:t>
      </w:r>
    </w:p>
    <w:p w14:paraId="6D150ABE" w14:textId="3AF7B905" w:rsidR="00051F22" w:rsidRDefault="00051F22" w:rsidP="00051F22">
      <w:pPr>
        <w:pStyle w:val="ZARTzmartartykuempunktem"/>
      </w:pPr>
      <w:r>
        <w:t>Artigo 59dj.  1.  As informações obtidas ou geradas no âmbito do exercício da supervisão, cuja concessão, divulgação ou confirmação possam prejudicar os interesses legalmente protegidos das entidades direta ou indiretamente afetadas por essas informações, ou dificultar o exercício da supervisão das instituições de crédito, constituem sigilo profissional protegido nos termos do Artigo 16 da Lei de Supervisão do Mercado Financeiro de 21 de julho de 2006 (Jornal Oficial de 2020, número 2059, e Jornal Oficial de 2021, números 680, 815, 1598 e 2140).</w:t>
      </w:r>
    </w:p>
    <w:p w14:paraId="5B4A0040" w14:textId="77777777" w:rsidR="00051F22" w:rsidRDefault="00051F22" w:rsidP="00051F22">
      <w:pPr>
        <w:pStyle w:val="ZARTzmartartykuempunktem"/>
      </w:pPr>
      <w:r>
        <w:t>2.  A obrigação de proteger o segredo a que se refere o parágrafo 1 não afeta:</w:t>
      </w:r>
    </w:p>
    <w:p w14:paraId="40F88060" w14:textId="4C81D434" w:rsidR="00051F22" w:rsidRDefault="00051F22" w:rsidP="00020454">
      <w:pPr>
        <w:pStyle w:val="ZPKTzmpktartykuempunktem"/>
      </w:pPr>
      <w:r>
        <w:t>1) prestação das informações necessárias para alcançar o objetivo referido no Artigo 59df(2);</w:t>
      </w:r>
    </w:p>
    <w:p w14:paraId="1861B6A6" w14:textId="77777777" w:rsidR="00051F22" w:rsidRDefault="00051F22" w:rsidP="00020454">
      <w:pPr>
        <w:pStyle w:val="ZPKTzmpktartykuempunktem"/>
      </w:pPr>
      <w:r>
        <w:t>2) prestação de informações nas situações referidas no Artigo 59dk;</w:t>
      </w:r>
    </w:p>
    <w:p w14:paraId="77A8B4A0" w14:textId="77777777" w:rsidR="00051F22" w:rsidRDefault="00051F22" w:rsidP="00020454">
      <w:pPr>
        <w:pStyle w:val="ZPKTzmpktartykuempunktem"/>
      </w:pPr>
      <w:r>
        <w:t>3) apresentar uma denúncia de suspeita de um ato criminoso;</w:t>
      </w:r>
    </w:p>
    <w:p w14:paraId="1E26526B" w14:textId="77777777" w:rsidR="00051F22" w:rsidRDefault="00051F22" w:rsidP="00020454">
      <w:pPr>
        <w:pStyle w:val="ZPKTzmpktartykuempunktem"/>
      </w:pPr>
      <w:r>
        <w:t>4) Fornecer informações a uma pessoa, autoridade ou outra entidade ao abrigo de disposições separadas.</w:t>
      </w:r>
    </w:p>
    <w:p w14:paraId="3F3482C0" w14:textId="77777777" w:rsidR="00051F22" w:rsidRDefault="00051F22" w:rsidP="00051F22">
      <w:pPr>
        <w:pStyle w:val="ZARTzmartartykuempunktem"/>
      </w:pPr>
      <w:r>
        <w:t>3.  No caso de informações protegidas ao abrigo de disposições específicas, o fornecimento e a transmissão das informações referidas no parágrafo 1 pela Autoridade de Supervisão Financeira polaca não violam os princípios de proteção estabelecidos nessas disposições.</w:t>
      </w:r>
    </w:p>
    <w:p w14:paraId="5C88DC36" w14:textId="77777777" w:rsidR="00051F22" w:rsidRDefault="00051F22" w:rsidP="00051F22">
      <w:pPr>
        <w:pStyle w:val="ZARTzmartartykuempunktem"/>
      </w:pPr>
      <w:r>
        <w:t>Artigo 59dk. 1. A Autoridade Polaca de Supervisão Financeira pode fornecer informações obtidas no âmbito do desempenho das tarefas decorrentes da Lei:</w:t>
      </w:r>
    </w:p>
    <w:p w14:paraId="0974E301" w14:textId="77777777" w:rsidR="00051F22" w:rsidRDefault="00051F22" w:rsidP="00020454">
      <w:pPr>
        <w:pStyle w:val="ZPKTzmpktartykuempunktem"/>
      </w:pPr>
      <w:r>
        <w:lastRenderedPageBreak/>
        <w:t>1) as autoridades de controlo competentes nos casos referidos no Artigo 59dm;</w:t>
      </w:r>
    </w:p>
    <w:p w14:paraId="6435599B" w14:textId="77777777" w:rsidR="00051F22" w:rsidRDefault="00051F22" w:rsidP="00020454">
      <w:pPr>
        <w:pStyle w:val="ZPKTzmpktartykuempunktem"/>
      </w:pPr>
      <w:r>
        <w:t>2) as autoridades e instituições da União Europeia competentes em matéria de atividades de crédito ao consumo e de supervisão das entidades que exercem essas atividades.</w:t>
      </w:r>
    </w:p>
    <w:p w14:paraId="6DBB6AA5" w14:textId="77777777" w:rsidR="00051F22" w:rsidRDefault="00051F22" w:rsidP="00AA2991">
      <w:pPr>
        <w:pStyle w:val="ZUSTzmustartykuempunktem"/>
      </w:pPr>
      <w:r>
        <w:t>2.  As informações referidas no parágrafo 1 são fornecidas se:</w:t>
      </w:r>
    </w:p>
    <w:p w14:paraId="49F725E4" w14:textId="77777777" w:rsidR="00051F22" w:rsidRDefault="00051F22" w:rsidP="003D3005">
      <w:pPr>
        <w:pStyle w:val="ZPKTzmpktartykuempunktem"/>
      </w:pPr>
      <w:r>
        <w:t>1) as informações fornecidas só serão utilizadas para efeitos das tarefas desempenhadas por essas autoridades relacionadas com a atividade de concessão de empréstimos ao consumo ou com a supervisão das entidades que exercem essas atividades;</w:t>
      </w:r>
    </w:p>
    <w:p w14:paraId="29756FAD" w14:textId="77777777" w:rsidR="00051F22" w:rsidRDefault="00051F22" w:rsidP="003D3005">
      <w:pPr>
        <w:pStyle w:val="ZPKTzmpktartykuempunktem"/>
      </w:pPr>
      <w:r>
        <w:t>2) é garantido que a prestação das informações obtidas fora destes organismos só será possível mediante o consentimento prévio da Autoridade de Supervisão Financeira Polaca;</w:t>
      </w:r>
    </w:p>
    <w:p w14:paraId="1949FD24" w14:textId="77777777" w:rsidR="00266E8E" w:rsidRDefault="00051F22" w:rsidP="003D3005">
      <w:pPr>
        <w:pStyle w:val="ZPKTzmpktartykuempunktem"/>
      </w:pPr>
      <w:r>
        <w:t>3) tal não prejudica a proteção das informações decorrente de disposições específicas.</w:t>
      </w:r>
    </w:p>
    <w:p w14:paraId="468117E2" w14:textId="77777777" w:rsidR="00051F22" w:rsidRDefault="00051F22" w:rsidP="00051F22">
      <w:pPr>
        <w:pStyle w:val="ZARTzmartartykuempunktem"/>
      </w:pPr>
      <w:r>
        <w:t>Artigo 59dl. 1. Sempre que se verifique que uma entidade referida no Artigo 59d(1), ao exercer atividades na República da Polónia no domínio da concessão de empréstimos ao consumo, infringe as disposições da Lei ou realiza essa atividade em violação das condições estabelecidas na Lei, a Autoridade de Supervisão Financeira polaca pode:</w:t>
      </w:r>
    </w:p>
    <w:p w14:paraId="617E0FB8" w14:textId="77777777" w:rsidR="00051F22" w:rsidRDefault="00051F22" w:rsidP="003D3005">
      <w:pPr>
        <w:pStyle w:val="ZPKTzmpktartykuempunktem"/>
      </w:pPr>
      <w:r>
        <w:t>1)</w:t>
      </w:r>
      <w:r>
        <w:tab/>
        <w:t>solicitar à entidade, por escrito, que cumpra as disposições da legislação polaca e estabeleça um prazo para a correção das irregularidades detetadas;</w:t>
      </w:r>
    </w:p>
    <w:p w14:paraId="3C2DDEC9" w14:textId="77777777" w:rsidR="00051F22" w:rsidRDefault="00051F22" w:rsidP="003D3005">
      <w:pPr>
        <w:pStyle w:val="ZPKTzmpktartykuempunktem"/>
      </w:pPr>
      <w:r>
        <w:t>2)</w:t>
      </w:r>
      <w:r>
        <w:tab/>
        <w:t>proibir a exploração da entidade no território da República da Polónia no âmbito da concessão de empréstimos ao consumo.</w:t>
      </w:r>
    </w:p>
    <w:p w14:paraId="46C88FCC" w14:textId="77777777" w:rsidR="00051F22" w:rsidRDefault="00051F22" w:rsidP="00AA2991">
      <w:pPr>
        <w:pStyle w:val="ZUSTzmustartykuempunktem"/>
      </w:pPr>
      <w:r>
        <w:t>2. A sanção referida no parágrafo 1(2) é aplicada por decisão administrativa. Esta decisão é imediatamente executória. A Autoridade Polaca de Supervisão Financeira anunciará a decisão.</w:t>
      </w:r>
    </w:p>
    <w:p w14:paraId="17416997" w14:textId="77777777" w:rsidR="00051F22" w:rsidRDefault="00051F22" w:rsidP="00051F22">
      <w:pPr>
        <w:pStyle w:val="ZARTzmartartykuempunktem"/>
      </w:pPr>
      <w:r>
        <w:t>Artigo 59dm. 1. A fim de assegurar que as atividades da entidade a que se refere o Artigo 59d(1), são coerentes com as disposições da Lei e que as ações referidas no Artigo 59dl(1), são realizadas em relação a essa entidade, a Autoridade de Supervisão Financeira polaca pode cooperar com as autoridades de supervisão competentes do Estado a que se refere o Artigo 59d(1), desde que essas autoridades tenham sido designadas.</w:t>
      </w:r>
    </w:p>
    <w:p w14:paraId="437C8F96" w14:textId="77777777" w:rsidR="00051F22" w:rsidRDefault="00051F22" w:rsidP="00AA2991">
      <w:pPr>
        <w:pStyle w:val="ZUSTzmustartykuempunktem"/>
      </w:pPr>
      <w:r>
        <w:t>2. A Autoridade de Supervisão Financeira polaca pode cooperar com as autoridades de supervisão competentes dos Estados a que se refere o Artigo 59d(1), na medida em que essas autoridades tenham sido designadas, no que respeita às atividades das instituições de crédito no seu território.</w:t>
      </w:r>
    </w:p>
    <w:p w14:paraId="1C9D3D25" w14:textId="77777777" w:rsidR="00051F22" w:rsidRDefault="00051F22" w:rsidP="00AA2991">
      <w:pPr>
        <w:pStyle w:val="ZUSTzmustartykuempunktem"/>
      </w:pPr>
      <w:r>
        <w:lastRenderedPageBreak/>
        <w:t>3. No âmbito da cooperação a que se referem os parágrafos 1 e 2, a Autoridade de Supervisão Financeira polaca pode comunicar às autoridades de supervisão competentes, a pedido ou por sua própria iniciativa, as informações obtidas no exercício das funções previstas na lei necessárias para alcançar os objetivos dessa cooperação.</w:t>
      </w:r>
    </w:p>
    <w:p w14:paraId="573F6B23" w14:textId="77777777" w:rsidR="00051F22" w:rsidRDefault="00051F22" w:rsidP="00051F22">
      <w:pPr>
        <w:pStyle w:val="ZARTzmartartykuempunktem"/>
      </w:pPr>
      <w:r>
        <w:t>Artigo 59dn. A Autoridade de Supervisão Financeira polaca e as pessoas que exercem atividades de supervisão não são responsáveis por danos resultantes de um ato ou omissão lícitos relacionados com a supervisão exercida pela Autoridade de Supervisão Financeira polaca.</w:t>
      </w:r>
    </w:p>
    <w:p w14:paraId="36FE0E7C" w14:textId="77777777" w:rsidR="00C13165" w:rsidRDefault="00051F22" w:rsidP="00777043">
      <w:pPr>
        <w:pStyle w:val="ZARTzmartartykuempunktem"/>
      </w:pPr>
      <w:r>
        <w:t xml:space="preserve">Artigo 59do. 1. As instituições de crédito são obrigadas a contribuir para os custos de supervisão num montante não superior a 0,5% da soma das receitas das operações de empréstimo, ou não inferior a 5.000 EUR. </w:t>
      </w:r>
    </w:p>
    <w:p w14:paraId="4B7E6CAF" w14:textId="6311180D" w:rsidR="00051F22" w:rsidRDefault="00C13165" w:rsidP="00AA2991">
      <w:pPr>
        <w:pStyle w:val="ZUSTzmustartykuempunktem"/>
      </w:pPr>
      <w:r>
        <w:t>2. As instituições de crédito devem fornecer à Autoridade de Supervisão Financeira polaca declarações de pagamento para cobrir os custos de supervisão. O artigo 59dg(2), é aplicável, respetivamente.</w:t>
      </w:r>
    </w:p>
    <w:p w14:paraId="75CBDF6B" w14:textId="2BA3AE19" w:rsidR="00051F22" w:rsidRDefault="00C1127D" w:rsidP="00051F22">
      <w:pPr>
        <w:pStyle w:val="ZARTzmartartykuempunktem"/>
      </w:pPr>
      <w:r>
        <w:t>3. O Primeiro-Ministro determina, por meio de um regulamento:</w:t>
      </w:r>
    </w:p>
    <w:p w14:paraId="2946FA8B" w14:textId="77777777" w:rsidR="00051F22" w:rsidRDefault="00051F22" w:rsidP="000B3A10">
      <w:pPr>
        <w:pStyle w:val="ZPKTzmpktartykuempunktem"/>
      </w:pPr>
      <w:r>
        <w:t>1)</w:t>
      </w:r>
      <w:r>
        <w:tab/>
        <w:t>os prazos de pagamento, o montante e o método de cálculo dos pagamentos referidos no parágrafo 1,</w:t>
      </w:r>
    </w:p>
    <w:p w14:paraId="230664EA" w14:textId="77777777" w:rsidR="00051F22" w:rsidRDefault="00051F22" w:rsidP="000B3A10">
      <w:pPr>
        <w:pStyle w:val="ZPKTzmpktartykuempunktem"/>
      </w:pPr>
      <w:r>
        <w:t>2)</w:t>
      </w:r>
      <w:r>
        <w:tab/>
        <w:t>o método e os prazos de liquidação dos pagamentos referidos no parágrafo 1,</w:t>
      </w:r>
    </w:p>
    <w:p w14:paraId="475A243F" w14:textId="415ABD17" w:rsidR="00051F22" w:rsidRDefault="00051F22" w:rsidP="000B3A10">
      <w:pPr>
        <w:pStyle w:val="ZPKTzmpktartykuempunktem"/>
      </w:pPr>
      <w:r>
        <w:t>3)</w:t>
      </w:r>
      <w:r>
        <w:tab/>
        <w:t>a declaração da amostra para efetuar o pagamento para cobrir os custos de supervisão</w:t>
      </w:r>
    </w:p>
    <w:p w14:paraId="5F477B71" w14:textId="77777777" w:rsidR="00231778" w:rsidRDefault="00051F22" w:rsidP="00051F22">
      <w:pPr>
        <w:pStyle w:val="ZARTzmartartykuempunktem"/>
      </w:pPr>
      <w:r>
        <w:t>— a fim de assegurar que o montante das contribuições para cobrir os custos de supervisão não aumente significativamente os custos de funcionamento das entidades obrigadas a pagá-los, a necessidade de assegurar a eficácia da supervisão e a possibilidade de apresentar informações sobre o pagamento dos custos de supervisão sob a forma de um documento eletrónico na aceção do Artigo 3(2), da Lei de 17 de fevereiro de 2005 relativa à informatização das atividades dos organismos que executam tarefas públicas.</w:t>
      </w:r>
    </w:p>
    <w:p w14:paraId="31584312" w14:textId="1AA24BED" w:rsidR="00051F22" w:rsidRDefault="00051F22" w:rsidP="00051F22">
      <w:pPr>
        <w:pStyle w:val="ZARTzmartartykuempunktem"/>
      </w:pPr>
      <w:r>
        <w:t>Artigo 59dp. 1. Uma instituição de empréstimo que não tenha cumprido a obrigação a que se refere o artigo 59dg(1)(4), deve pagar uma taxa de penalização no montante de 5.000 PLN à Autoridade de Supervisão Financeira polaca. O pagamento da sanção pecuniária compulsória não está isento da obrigação referida no artigo 59dg(1)(4).</w:t>
      </w:r>
    </w:p>
    <w:p w14:paraId="2211C5DC" w14:textId="77777777" w:rsidR="00051F22" w:rsidRDefault="00051F22" w:rsidP="00051F22">
      <w:pPr>
        <w:pStyle w:val="ZARTzmartartykuempunktem"/>
      </w:pPr>
      <w:r>
        <w:lastRenderedPageBreak/>
        <w:t>2. O equivalente em PLN, expresso em euros, do montante a que se refere o parágrafo 1 é convertido utilizando a taxa de câmbio média do euro anunciada pelo Banco Nacional da Polónia no último dia útil do ano anterior ao ano civil em que surgiu a obrigação.</w:t>
      </w:r>
    </w:p>
    <w:p w14:paraId="1EE044DE" w14:textId="0F2810FF" w:rsidR="00051F22" w:rsidRDefault="00051F22" w:rsidP="00051F22">
      <w:pPr>
        <w:pStyle w:val="ZARTzmartartykuempunktem"/>
      </w:pPr>
      <w:r>
        <w:t xml:space="preserve">3. Caso a autoridade de supervisão verifique que a instituição de empréstimo não cumpriu a obrigação a que se refere o artigo 59dg(1)(4), a Autoridade de Supervisão Financeira polaca solicita à instituição que pague a taxa de sanção a que se refere o n.º 1 no prazo de 30 dias e solicita a aplicação imediata da obrigação referida no artigo 59dg(1)(4), fornecendo informações sobre o conteúdo do segundo período do parágrafo 1. </w:t>
      </w:r>
    </w:p>
    <w:p w14:paraId="7E5ED7C2" w14:textId="5EBA8E0A" w:rsidR="00064251" w:rsidRDefault="00051F22" w:rsidP="00AD28B5">
      <w:pPr>
        <w:pStyle w:val="ZCZWSPPKTzmczciwsppktartykuempunktem"/>
      </w:pPr>
      <w:r>
        <w:t>4. A taxa de sanção a que se refere o parágrafo 1 está sujeita à execução nos termos das disposições da Lei de 17 de junho de 1966 relativa ao processo de execução na administração.</w:t>
      </w:r>
    </w:p>
    <w:p w14:paraId="1CBEB81D" w14:textId="0C0A22E0" w:rsidR="00AF0342" w:rsidRDefault="00064251" w:rsidP="00AD28B5">
      <w:pPr>
        <w:pStyle w:val="ZCZWSPPKTzmczciwsppktartykuempunktem"/>
      </w:pPr>
      <w:r>
        <w:t>5. Se o incumprimento da obrigação referida no Artigo 59dg(1)(4), implicar a aplicação da sanção a que se refere o Artigo 59di(1)(2), à instituição de empréstimo, ao determinar o montante da sanção pecuniária compulsória, é tido em conta o montante da sanção pecuniária compulsória a que se refere o parágrafo 1.’;</w:t>
      </w:r>
    </w:p>
    <w:p w14:paraId="5BAA049A" w14:textId="77777777" w:rsidR="00AF0342" w:rsidRDefault="00AF0342" w:rsidP="00AF0342">
      <w:pPr>
        <w:pStyle w:val="ZCZWSPPKTzmczciwsppktartykuempunktem"/>
        <w:ind w:hanging="510"/>
      </w:pPr>
      <w:r>
        <w:t>12) O artigo 59j é aditado após o artigo 59i e passa a ter a seguinte redação:</w:t>
      </w:r>
    </w:p>
    <w:p w14:paraId="247F8082" w14:textId="77777777" w:rsidR="00AF0342" w:rsidRDefault="00AF0342" w:rsidP="00AF0342">
      <w:pPr>
        <w:pStyle w:val="ZCZWSPPKTzmczciwsppktartykuempunktem"/>
        <w:ind w:firstLine="57"/>
      </w:pPr>
      <w:r>
        <w:t>‘Artigo 59j. 1. Qualquer pessoa que, sendo responsável pelo fornecimento de informações à Autoridade de Supervisão Financeira polaca numa instituição de crédito, preste informações factualmente incorretas ou induza de outra forma em erro a Autoridade, será sujeita a uma multa até 1.000.000 PLN ou a uma pena de prisão até dois anos, ou a ambas.</w:t>
      </w:r>
    </w:p>
    <w:p w14:paraId="4A71B8AB" w14:textId="63715781" w:rsidR="00A749FE" w:rsidRPr="009A3043" w:rsidRDefault="00AF0342" w:rsidP="00AF0342">
      <w:pPr>
        <w:pStyle w:val="ZCZWSPPKTzmczciwsppktartykuempunktem"/>
        <w:ind w:firstLine="57"/>
      </w:pPr>
      <w:r>
        <w:t>2. Se o autor agir de forma involuntária, será punido com uma multa até 500.000 PLN ou com uma pena de prisão até um ano, ou ambas.’.</w:t>
      </w:r>
    </w:p>
    <w:p w14:paraId="07C64FDE" w14:textId="77777777" w:rsidR="00A749FE" w:rsidRPr="00A749FE" w:rsidRDefault="00A749FE" w:rsidP="00A749FE">
      <w:pPr>
        <w:pStyle w:val="ARTartustawynprozporzdzenia"/>
      </w:pPr>
      <w:r>
        <w:rPr>
          <w:rStyle w:val="Ppogrubienie"/>
        </w:rPr>
        <w:t>Artigo 8.</w:t>
      </w:r>
      <w:r>
        <w:t> O Artigo 3 da Lei do Crédito Hipotecário Invertido, de 23 de outubro de 2014 (Jornal Oficial de 2016, ponto 786, e Jornal Oficial de 2020, ponto 2320), passa a ter a seguinte redação:</w:t>
      </w:r>
    </w:p>
    <w:p w14:paraId="5DF29FA9" w14:textId="77777777" w:rsidR="00A749FE" w:rsidRDefault="00A749FE" w:rsidP="00AD28B5">
      <w:pPr>
        <w:pStyle w:val="ZARTzmartartykuempunktem"/>
      </w:pPr>
      <w:r>
        <w:t xml:space="preserve">‘Artigo 3. Em matérias relacionadas com o </w:t>
      </w:r>
      <w:bookmarkStart w:id="9" w:name="highlightHit_21"/>
      <w:bookmarkEnd w:id="9"/>
      <w:r>
        <w:t xml:space="preserve">o inverso </w:t>
      </w:r>
      <w:bookmarkStart w:id="10" w:name="highlightHit_22"/>
      <w:bookmarkStart w:id="11" w:name="highlightHit_23"/>
      <w:bookmarkEnd w:id="10"/>
      <w:bookmarkEnd w:id="11"/>
      <w:r>
        <w:t>empréstimo hipotecário, o Artigo 69(1) e (2), o Artigo 70, os Artigos 74 a 75a, o Artigo 76a, o Artigo 77, o Artigo 78 e o Artigo 78a da Lei Bancária de 29 de agosto de 1997, e o artigo 387</w:t>
      </w:r>
      <w:r>
        <w:rPr>
          <w:rStyle w:val="IGindeksgrny"/>
        </w:rPr>
        <w:t>1</w:t>
      </w:r>
      <w:r>
        <w:t xml:space="preserve"> da Lei do Código Civil de 23 de abril de 1964 (Jornal Oficial de 2020, pontos 1740 e 2320, e Jornal Oficial de 2021, o ponto 1509) não é aplicável.’.</w:t>
      </w:r>
    </w:p>
    <w:p w14:paraId="3FE3F016" w14:textId="77777777" w:rsidR="00A749FE" w:rsidRPr="00F86BE8" w:rsidRDefault="00A749FE" w:rsidP="00AD28B5">
      <w:pPr>
        <w:pStyle w:val="ARTartustawynprozporzdzenia"/>
      </w:pPr>
      <w:r>
        <w:rPr>
          <w:rStyle w:val="Ppogrubienie"/>
        </w:rPr>
        <w:lastRenderedPageBreak/>
        <w:t>Artigo 9.</w:t>
      </w:r>
      <w:r>
        <w:t xml:space="preserve"> Na Lei sobre Hipotecas e SUPERVISÃO dos Intermediários e Agentes Hipotecários, de 23 de março de 2017 (Jornal Oficial de 2020, pontos 1027 e 2320), no Artigo 63:</w:t>
      </w:r>
    </w:p>
    <w:p w14:paraId="267E3FBB" w14:textId="77777777" w:rsidR="00A749FE" w:rsidRPr="00F86BE8" w:rsidRDefault="005968F2" w:rsidP="00AD28B5">
      <w:pPr>
        <w:pStyle w:val="PKTpunkt"/>
      </w:pPr>
      <w:r>
        <w:t>1)</w:t>
      </w:r>
      <w:r>
        <w:tab/>
        <w:t>no parágrafo 3, ponto 2(e), a paragem completa é substituída por um ponto e vírgula e o ponto 3 passa a ter a seguinte redação:</w:t>
      </w:r>
    </w:p>
    <w:p w14:paraId="545FA433" w14:textId="77777777" w:rsidR="00A749FE" w:rsidRDefault="00A749FE" w:rsidP="00AD28B5">
      <w:pPr>
        <w:pStyle w:val="ZPKTzmpktartykuempunktem"/>
      </w:pPr>
      <w:r>
        <w:t>‘3)</w:t>
      </w:r>
      <w:r>
        <w:tab/>
        <w:t>uma nota sobre a supressão do registo.’;</w:t>
      </w:r>
    </w:p>
    <w:p w14:paraId="742B2C5D" w14:textId="77777777" w:rsidR="00A749FE" w:rsidRPr="00F86BE8" w:rsidRDefault="005968F2" w:rsidP="00AD28B5">
      <w:pPr>
        <w:pStyle w:val="PKTpunkt"/>
      </w:pPr>
      <w:r>
        <w:t>2)</w:t>
      </w:r>
      <w:r>
        <w:tab/>
        <w:t>o ponto no parágrafo 4(3) é substituído por um ponto e vírgula e o ponto 4 passa a ter a seguinte redação:</w:t>
      </w:r>
    </w:p>
    <w:p w14:paraId="3751E4F2" w14:textId="77777777" w:rsidR="00A749FE" w:rsidRPr="00C770BB" w:rsidRDefault="00A749FE" w:rsidP="00AD28B5">
      <w:pPr>
        <w:pStyle w:val="ZPKTzmpktartykuempunktem"/>
      </w:pPr>
      <w:r>
        <w:t>‘4)</w:t>
      </w:r>
      <w:r>
        <w:tab/>
        <w:t xml:space="preserve"> uma nota sobre a supressão do registo.’.</w:t>
      </w:r>
    </w:p>
    <w:p w14:paraId="5BC8E6D0" w14:textId="7F1DB0EA" w:rsidR="00A749FE" w:rsidRDefault="00A749FE" w:rsidP="00A749FE">
      <w:pPr>
        <w:pStyle w:val="ARTartustawynprozporzdzenia"/>
      </w:pPr>
      <w:bookmarkStart w:id="12" w:name="_Hlk83806295"/>
      <w:r>
        <w:rPr>
          <w:rStyle w:val="Ppogrubienie"/>
        </w:rPr>
        <w:t>Artigo 10.</w:t>
      </w:r>
      <w:r>
        <w:t> </w:t>
      </w:r>
      <w:bookmarkStart w:id="13" w:name="_Hlk88754472"/>
      <w:r>
        <w:t>As disposições das Leis alteradas no Artigo 1, no Artigo 4, no Artigo 6 e no Artigo 7, com a redação que lhe foi dada pela presente lei, não se aplicam aos empréstimos ao consumo e aos contratos de empréstimo celebrados antes da data de entrada em vigor da presente lei.</w:t>
      </w:r>
    </w:p>
    <w:bookmarkEnd w:id="13"/>
    <w:p w14:paraId="00EC7660" w14:textId="4F100EAD" w:rsidR="00A749FE" w:rsidRPr="00C770BB" w:rsidRDefault="00A749FE" w:rsidP="008D1B58">
      <w:pPr>
        <w:pStyle w:val="ARTartustawynprozporzdzenia"/>
      </w:pPr>
      <w:r>
        <w:rPr>
          <w:rStyle w:val="Ppogrubienie"/>
        </w:rPr>
        <w:t>Artigo 11.</w:t>
      </w:r>
      <w:r>
        <w:t> </w:t>
      </w:r>
      <w:bookmarkEnd w:id="12"/>
      <w:r>
        <w:t xml:space="preserve">As instituições de crédito que exerçam a atividade de concessão de um empréstimo ao consumo antes da data de entrada em vigor da presente lei devem efetuar o primeiro pagamento relativo a 2022, tal como referido no artigo 59do(1), da Lei alterada no Artigo 7, com a redação que lhe foi dada pela presente Lei, até 1 de fevereiro de 2023. </w:t>
      </w:r>
    </w:p>
    <w:p w14:paraId="518B8064" w14:textId="50293DC2" w:rsidR="00E52E6D" w:rsidRPr="00C106D5" w:rsidRDefault="00F179EC" w:rsidP="004A6A1A">
      <w:pPr>
        <w:pStyle w:val="USTustnpkodeksu"/>
      </w:pPr>
      <w:r>
        <w:rPr>
          <w:b/>
        </w:rPr>
        <w:t xml:space="preserve">Artigo 12. </w:t>
      </w:r>
      <w:r>
        <w:t>1.</w:t>
      </w:r>
      <w:r>
        <w:rPr>
          <w:b/>
        </w:rPr>
        <w:t xml:space="preserve"> </w:t>
      </w:r>
      <w:r>
        <w:t>Uma instituição de crédito inscrita no registo a que se refere o artigo 59aa(1), da lei alterada no Artigo 7, antes da data de entrada em vigor do Artigo 7(6), (7), (9) e (10), da presente lei, que, à data de entrada em vigor dessas disposições, não cumpra os requisitos aí estabelecidos pode continuar a operar no domínio da concessão de empréstimos ao consumo até 31 de dezembro de 2022.</w:t>
      </w:r>
    </w:p>
    <w:p w14:paraId="6FC963D7" w14:textId="77777777" w:rsidR="008554DF" w:rsidRDefault="00E52E6D" w:rsidP="00A749FE">
      <w:pPr>
        <w:pStyle w:val="USTustnpkodeksu"/>
      </w:pPr>
      <w:r>
        <w:t xml:space="preserve">2. Até 30 de novembro de 2022, as instituições de crédito a que se refere o parágrafo 1 devem informar a Autoridade de Supervisão Financeira polaca das medidas tomadas para cumprir os requisitos </w:t>
      </w:r>
      <w:bookmarkStart w:id="14" w:name="_Hlk85806381"/>
      <w:r>
        <w:t>referidos no Artigo 59a(1) e (2), da Lei alterada no Artigo 7, com a redação que lhe foi dada pela presente Lei</w:t>
      </w:r>
      <w:bookmarkEnd w:id="14"/>
      <w:r>
        <w:t xml:space="preserve">.  </w:t>
      </w:r>
    </w:p>
    <w:p w14:paraId="1C0819A8" w14:textId="14721374" w:rsidR="009A295A" w:rsidRDefault="00C106D5" w:rsidP="00346832">
      <w:pPr>
        <w:pStyle w:val="USTustnpkodeksu"/>
      </w:pPr>
      <w:r>
        <w:t xml:space="preserve">3. As instituições de crédito que, a partir de 1 de janeiro de 2023, não cumpram os requisitos referidos no Artigo 59a(1) e (2), da lei alterada no Artigo 7, com a redação que lhe foi dada pela presente lei, são suprimidas do registo referido no Artigo 59aa(1), da lei alterada pelo Artigo 7 da presente lei. </w:t>
      </w:r>
    </w:p>
    <w:p w14:paraId="776111E5" w14:textId="4433124D" w:rsidR="00285FC3" w:rsidRDefault="00285FC3" w:rsidP="00346832">
      <w:pPr>
        <w:pStyle w:val="USTustnpkodeksu"/>
      </w:pPr>
      <w:r>
        <w:t xml:space="preserve">4. Os processos de inscrição no registo a que se refere o Artigo 59aa(1), da lei alterada no Artigo 7, iniciados e não concluídos antes da data de entrada em vigor do Artigo 7(6), (7), </w:t>
      </w:r>
      <w:r>
        <w:lastRenderedPageBreak/>
        <w:t>(9) e (10), da presente Lei, devem ser objeto de dispensa de pagamento se o requerente não cumprir os requisitos nele previstos na data de entrada em vigor dessas disposições.</w:t>
      </w:r>
    </w:p>
    <w:p w14:paraId="7DCD00E5" w14:textId="59331CCF" w:rsidR="00F179EC" w:rsidRDefault="00A749FE" w:rsidP="00AD28B5">
      <w:pPr>
        <w:pStyle w:val="ARTartustawynprozporzdzenia"/>
      </w:pPr>
      <w:r>
        <w:rPr>
          <w:rStyle w:val="Ppogrubienie"/>
        </w:rPr>
        <w:t>Artigo 13.</w:t>
      </w:r>
      <w:r>
        <w:t xml:space="preserve"> A Lei entra em vigor 6 meses após a sua publicação, exceto no que diz respeito:</w:t>
      </w:r>
    </w:p>
    <w:p w14:paraId="3CA83A3E" w14:textId="495E6637" w:rsidR="00F179EC" w:rsidRDefault="00F02735" w:rsidP="00D460F1">
      <w:pPr>
        <w:pStyle w:val="ARTartustawynprozporzdzenia"/>
        <w:numPr>
          <w:ilvl w:val="0"/>
          <w:numId w:val="47"/>
        </w:numPr>
      </w:pPr>
      <w:r>
        <w:t>Artigo 7, pontos 4</w:t>
      </w:r>
      <w:bookmarkStart w:id="15" w:name="_Hlk86070982"/>
      <w:r>
        <w:t>-7, 9 e 10</w:t>
      </w:r>
      <w:bookmarkEnd w:id="15"/>
      <w:r>
        <w:t>, que entram em vigor 30 dias após a data de publicação;</w:t>
      </w:r>
    </w:p>
    <w:p w14:paraId="1CCF297A" w14:textId="77777777" w:rsidR="00A749FE" w:rsidRDefault="00F179EC" w:rsidP="00D460F1">
      <w:pPr>
        <w:pStyle w:val="ARTartustawynprozporzdzenia"/>
        <w:numPr>
          <w:ilvl w:val="0"/>
          <w:numId w:val="47"/>
        </w:numPr>
      </w:pPr>
      <w:r>
        <w:t>Artigo 7(11), que entra em vigor em 1 de janeiro de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27F85BC9" w:rsidR="00A749FE" w:rsidRPr="006E6C77" w:rsidRDefault="00A749FE" w:rsidP="004C6235">
      <w:pPr>
        <w:pStyle w:val="ODNONIKtreodnonika"/>
      </w:pPr>
      <w:r>
        <w:rPr>
          <w:rStyle w:val="FootnoteReference"/>
        </w:rPr>
        <w:footnoteRef/>
      </w:r>
      <w:r>
        <w:rPr>
          <w:rStyle w:val="IGindeksgrny"/>
        </w:rPr>
        <w:t>)</w:t>
      </w:r>
      <w:r w:rsidR="00754A56">
        <w:tab/>
      </w:r>
      <w:r>
        <w:t>A Lei altera as seguintes Leis: a Lei do Código Civil de 23 de abril de 1964, a Lei do Código de Processo Civil de 17 de novembro de 1964, a Lei do Código Penal de 6 de junho de 1997, a Lei da Lei Bancária de 29 de agosto de 1997, a Lei da Supervisão do Mercado Financeiro de 21 de julho de 2006, a Lei sobre a Poupança Cooperativa e as Uniões de Crédito, de 5 de novembro de 2009, a Lei relativa aos empréstimos aos consumidores de 12 de maio de 2011, a Lei relativa ao empréstimo hipotecário inverso de 23 de outubro de 2014 e a Lei de 23 de março de 2017 relativa ao empréstimo hipotecário e à supervisão de intermediários e agentes de empréstimos hipotecários.</w:t>
      </w:r>
    </w:p>
  </w:footnote>
  <w:footnote w:id="2">
    <w:p w14:paraId="0EFB2BB2" w14:textId="206CC06A" w:rsidR="002066D8" w:rsidRPr="00C43A60" w:rsidRDefault="002066D8" w:rsidP="002066D8">
      <w:pPr>
        <w:pStyle w:val="ODNONIKtreodnonika"/>
      </w:pPr>
      <w:r>
        <w:rPr>
          <w:rStyle w:val="FootnoteReference"/>
        </w:rPr>
        <w:footnoteRef/>
      </w:r>
      <w:r>
        <w:rPr>
          <w:rStyle w:val="IGindeksgrny"/>
        </w:rPr>
        <w:t>)</w:t>
      </w:r>
      <w:r w:rsidR="00754A56">
        <w:tab/>
      </w:r>
      <w:r>
        <w:t xml:space="preserve">As alterações ao texto consolidado da Lei foram publicadas no Jornal Oficial de 2020, pontos 2320 e 2419, e no Jornal Oficial de 2021, pontos 432, 680, 815, 1177, 1598, 1626, 1666 e 2052. </w:t>
      </w:r>
    </w:p>
  </w:footnote>
  <w:footnote w:id="3">
    <w:p w14:paraId="54C7FA1E" w14:textId="071E5BD5" w:rsidR="00AF4785" w:rsidRPr="00DE6BCD" w:rsidRDefault="00AF4785" w:rsidP="008D1B58">
      <w:pPr>
        <w:pStyle w:val="ODNONIKtreodnonika"/>
      </w:pPr>
      <w:r>
        <w:rPr>
          <w:rStyle w:val="FootnoteReference"/>
        </w:rPr>
        <w:footnoteRef/>
      </w:r>
      <w:r>
        <w:rPr>
          <w:rStyle w:val="IGindeksgrny"/>
        </w:rPr>
        <w:t>)</w:t>
      </w:r>
      <w:r>
        <w:t xml:space="preserve"> </w:t>
      </w:r>
      <w:r w:rsidR="00754A56">
        <w:tab/>
      </w:r>
      <w:r>
        <w:t>As alterações à presente Regulamentação foram publicadas no JO L 338 de 17.12.2008, p. 10, 17, 21 e 25, JO L 339 de 18.12.2008, p. 3, JO L 17 de 22.1.2009, p. 23, JO L 21 de 24.1.2009, p. 10 e 16, JO L 80 de 26.3.2009, p. 5, JO L 139 de 5.6.2009, p. 5. p. 6, JO L 149 de 12.6.2009, p. 6 e 22, JO L 191 de 23.7.2009, p. 5, JO L 239 de 10.9.2009, p. 48, JO L 244 de 16.9.2009, p. 6, JO L 311 de 26.11.2009, p. 6, JO L 312 de 27.11.2009, p. 8, JO L 314 de 1.12.2009, p. 15, 21 e 43, JO L 347 de 24.12.2009, p. 8. p. 23, JO L 77 de 24.3.2010, p. 33 e 42, JO L 157 de 24.6.2010, p. 3, JO L 166 de 1.7.2010, p. 6, JO L 186 de 20.7.2010, p. 1 e 10, JO L 193 de 24.7.2010, p. 1, JO L 46 de 19.2.2011, p. 1, JO L 305 de 23.11.2011, p. 1, JO L 146 de 6.6.2012, p. 1, JO L 360 de 29.12.2012, p. 1, 78 e 145, JO L 61 de 5.3.2013, p. 6, JO L 90 de 28.3.2013, p. 78, JO L 95 de 5.4.2013, p. 9, JO L 312 de 21.11.2013, p. 1, JO L 346 de 20.12.2013, p. 38 e 42, JO L 175 de 14.6.2014, p. 1. p. 9, JO L 365 de 19.12.2014, p. 120, JO L 5 de 9.1.2015, p. 1 e 11, JO L 306 de 24.11.2015, p. 7, JO L 307 de 25.11.2015, p. 11, JO L 317 de 3.12.2015, p. 19, JO L 330 de 16.12.2015, p. 20, JO L 333 de 19.12.2015, p. 97, JO L 336 de 23.12.2015, p. 49, JO L 257 de 23.9.2016, p. 1, JO L 295 de 29.10.2016, p. 19, JO L 323 de 29.11.2016, p. 1, JO L 291 de 9.11.2017, p. 1, 63, 72, 84 e 89, JO L 34 de 8.2.2018, p. 1, JO L 55 de 27.2.2018, p. 21, JO L 72 de 15.3.2018, p. 13, JO L 82 de 26.3.208, p. 3, JO L 87 de 3.4.2018, p. 3, JO L 265 de 24.10.2018, p. 3, JO L 39 de 11.2.2019, p. 1, JO L 72 de 14.3.2019, p. 6, JO L 73 de 15.3.2019, p. 93, JO L 316 de 6.12.2019, p. 10, JO L 318 de 10.12.2019, p. 74, JO L 12 de 16.1.2020, p. 5, JO L 127 z 22.4.2020, p. 13, JO L 331 de 12.10.2020, p. 20, JO L 425 de 16.12.2020, p. 10, JO L 11 de 14.1.2021, p. 7, e JO L 305 de 31.8.2021, p.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A56"/>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pt-PT"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7</TotalTime>
  <Pages>19</Pages>
  <Words>5842</Words>
  <Characters>33303</Characters>
  <Application>Microsoft Office Word</Application>
  <DocSecurity>0</DocSecurity>
  <Lines>277</Lines>
  <Paragraphs>78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Liana Brili</cp:lastModifiedBy>
  <cp:revision>4</cp:revision>
  <cp:lastPrinted>2021-12-10T10:53:00Z</cp:lastPrinted>
  <dcterms:created xsi:type="dcterms:W3CDTF">2021-12-27T13:39:00Z</dcterms:created>
  <dcterms:modified xsi:type="dcterms:W3CDTF">2022-02-09T10:14:00Z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