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szCs w:val="20"/>
                <w:rFonts w:eastAsia="Times New Roman"/>
              </w:rPr>
            </w:pPr>
            <w:r>
              <w:t xml:space="preserve">RANSKAN TASAVALTA</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 xml:space="preserve">Ekologisen siirtymän ja</w:t>
            </w:r>
            <w:r>
              <w:br/>
            </w:r>
            <w:r>
              <w:t xml:space="preserve">alueellisen yhteenkuuluvuuden ministeriö</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b/>
          <w:rFonts w:eastAsia="Calibri"/>
        </w:rPr>
      </w:pPr>
      <w:r>
        <w:rPr>
          <w:b/>
        </w:rPr>
        <w:t xml:space="preserve">Asetus nro</w:t>
      </w:r>
      <w:r>
        <w:rPr>
          <w:b/>
        </w:rPr>
        <w:tab/>
      </w:r>
      <w:r>
        <w:rPr>
          <w:b/>
        </w:rPr>
        <w:t xml:space="preserve">, annettu [päivämäärä],</w:t>
      </w:r>
      <w:r>
        <w:rPr>
          <w:b/>
        </w:rPr>
        <w:t xml:space="preserve">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w:t>
      </w:r>
      <w:r>
        <w:rPr>
          <w:color w:val="000000"/>
        </w:rPr>
        <w:t xml:space="preserve">joka liittyy velvollisuuteen esittää jalostamattomat tuoreet hedelmät ja vihannekset myytäväksi ilman kokonaan tai osittain muovista valmistettua pakkausta</w:t>
      </w:r>
      <w:r>
        <w:rPr>
          <w:color w:val="000000"/>
        </w:rPr>
        <w:t xml:space="preserve">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NOR:</w:t>
      </w:r>
      <w:r>
        <w:t xml:space="preserve">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i/>
          <w:b/>
        </w:rPr>
        <w:t xml:space="preserve">Kohdeyleisöt:</w:t>
      </w:r>
      <w:r>
        <w:rPr>
          <w:i/>
        </w:rPr>
        <w:t xml:space="preserve"> vähittäiskaupat, jotka ovat tai eivät ole erikoistuneet hedelmien ja vihannesten myyntiin kaupoissa, myymälöissä ja markkinoilla.</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i/>
          <w:b/>
          <w:bCs/>
        </w:rPr>
        <w:t xml:space="preserve">Aihe</w:t>
      </w:r>
      <w:r>
        <w:rPr>
          <w:i/>
        </w:rPr>
        <w:t xml:space="preserve">: edellytykset täyttää velvollisuus tuoda myyntiin jalostamattomia tuoreita hedelmiä ja vihanneksia ilman kokonaan tai osittain muovista valmistettuja pakkauksia.</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i/>
          <w:b/>
        </w:rPr>
        <w:t xml:space="preserve">Voimaantulo:</w:t>
      </w:r>
      <w:r>
        <w:rPr>
          <w:i/>
        </w:rPr>
        <w:t xml:space="preserve"> asetus tulee voimaan sen julkaisupäivää seuraavana päivänä.</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i/>
          <w:b/>
          <w:bCs/>
        </w:rPr>
        <w:t xml:space="preserve">Huomautus</w:t>
      </w:r>
      <w:r>
        <w:rPr>
          <w:i/>
        </w:rPr>
        <w:t xml:space="preserve">: asetuksessa määritellään jätteiden torjunnasta ja kiertotaloudesta 10 päivänä helmikuuta 2020 annetun lain säännöksen soveltamisehdot, jonka mukaan kaikkien vähittäismyyjien on myytävä jalostamattomia hedelmiä ja vihanneksia ilman muovipakkauksia.</w:t>
      </w:r>
      <w:r>
        <w:rPr>
          <w:i/>
        </w:rPr>
        <w:t xml:space="preserve">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Siinä täsmennetään, että tätä säännöstä sovelletaan jalostamattomiin tuoreisiin hedelmiin ja vihanneksiin, toisin sanoen hedelmiin ja vihanneksiin, jotka myydään alkuperäisessä muodossaan tai jotka on valmisteltu esimerkiksi puhdistuksen, leikkauksen, valuttamisen tai kuivauksen keinoin.</w:t>
      </w:r>
      <w:r>
        <w:rPr>
          <w:i/>
        </w:rPr>
        <w:t xml:space="preserve">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 xml:space="preserve">Siinä täsmennetään myös muovipakkauksen määritelmä.</w:t>
      </w:r>
      <w:r>
        <w:rPr>
          <w:i/>
        </w:rPr>
        <w:t xml:space="preserve"> </w:t>
      </w:r>
      <w:r>
        <w:rPr>
          <w:i/>
        </w:rPr>
        <w:t xml:space="preserve">Siinä vahvistetaan luettelo tuoreista hedelmistä ja vihanneksista, joihin ei sovelleta tätä velvoitetta, koska tähän liittyy pilaantumisriski, jos niitä myydään irtotavarana.</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i/>
          <w:b/>
        </w:rPr>
        <w:t xml:space="preserve">Viittaukset:</w:t>
      </w:r>
      <w:r>
        <w:rPr>
          <w:i/>
        </w:rPr>
        <w:t xml:space="preserve"> ympäristölaki, jota on muutettu asetuksella, on saatavilla tämän muutoksen tuloksena laaditussa luonnoksessa Légifrancen verkkosivustolla (https://legifrance.gouv.fr).</w:t>
      </w:r>
    </w:p>
    <w:p w14:paraId="3B319840" w14:textId="77777777" w:rsidR="006E305A" w:rsidRPr="006E305A" w:rsidRDefault="006E305A" w:rsidP="006E305A">
      <w:pPr>
        <w:spacing w:before="600"/>
        <w:ind w:firstLine="709"/>
        <w:jc w:val="both"/>
        <w:rPr>
          <w:b/>
          <w:bCs/>
        </w:rPr>
      </w:pPr>
      <w:r>
        <w:rPr>
          <w:b/>
        </w:rPr>
        <w:t xml:space="preserve">Pääministeri,</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 xml:space="preserve">ekologisesta siirtymästä ja alueellisesta yhteenkuuluvuudesta vastaavan ministerin kertomuksesta,</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t xml:space="preserve">ottaa huomioon neuvoston asetuksen (EY) N:o 1234/2007 soveltamista koskevista yksityiskohtaisista säännöistä hedelmä- ja vihannesalan sekä hedelmä- ja vihannesjalostealan osalta 7 päivänä kesäkuuta 2011 annetun komission täytäntöönpanoasetuksen (EU) N:o 543/2011,</w:t>
      </w:r>
      <w:r>
        <w:t xml:space="preserve"> </w:t>
      </w:r>
    </w:p>
    <w:p w14:paraId="37F0C46A" w14:textId="434CC72A" w:rsidR="00A155FD" w:rsidRPr="00D61874" w:rsidRDefault="00A155FD" w:rsidP="005024FC">
      <w:pPr>
        <w:pStyle w:val="SNConsultation"/>
      </w:pPr>
      <w:r>
        <w:t xml:space="preserve">ottaa huomioon banaanien kaupan pitämistä koskevista vaatimuksista, kyseisten kaupan pitämistä koskevien vaatimusten noudattamisen valvontaan liittyvistä säännöistä ja banaanialalla tehtäviä ilmoituksia koskevista vaatimuksista 19 päivänä joulukuuta 2011 annetun komission täytäntöönpanoasetuksen (EU) N:o 1333/2011,</w:t>
      </w:r>
      <w:r>
        <w:t xml:space="preserve">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ottaa huomioon jätteiden vähentämisestä ja kiertotaloudesta 10 päivänä helmikuuta 2020 annetun lain nro 2020-105 ja erityisesti sen 77 §:n,</w:t>
      </w:r>
      <w:r>
        <w:t xml:space="preserve">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ottaa huomioon ympäristölain ja erityisesti sen L. 541-15-10 §:n,</w:t>
      </w:r>
      <w:r>
        <w:t xml:space="preserve">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ottaa huomioon 19 päivänä elokuuta 1955 annetun asetuksen nro 55-1126, jolla pannaan täytäntöön kuluttajansuojalain L. 214-1 § hedelmien ja vihannesten kaupan osalta,</w:t>
      </w:r>
      <w:r>
        <w:t xml:space="preserve">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ottaa huomioon </w:t>
      </w:r>
      <w:r>
        <w:rPr>
          <w:highlight w:val="yellow"/>
        </w:rPr>
        <w:t xml:space="preserve">XX</w:t>
      </w:r>
      <w:r>
        <w:t xml:space="preserve">. joulukuuta 2022 ja </w:t>
      </w:r>
      <w:r>
        <w:rPr>
          <w:highlight w:val="yellow"/>
        </w:rPr>
        <w:t xml:space="preserve">XX</w:t>
      </w:r>
      <w:r>
        <w:t xml:space="preserve">. tammikuuta 2023 välisenä aikana ympäristölain L. 123-19-1 §:n mukaisesti järjestetyssä julkisessa kuulemisessa esitetyt huomautukset,</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 xml:space="preserve">säätää seuraavaa:</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 xml:space="preserve">1 §</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 xml:space="preserve">Ympäristölain V kirjan IV osaston I luvun 10 jaksoa täydennetään D. 541-334 §:llä seuraavasti:</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 xml:space="preserve">”D. 541-334 §.</w:t>
      </w:r>
      <w:r>
        <w:rPr>
          <w:i/>
        </w:rPr>
        <w:t xml:space="preserve"> </w:t>
      </w:r>
      <w:r>
        <w:rPr>
          <w:i/>
        </w:rPr>
        <w:t xml:space="preserve">–</w:t>
      </w:r>
      <w:r>
        <w:rPr>
          <w:i/>
        </w:rPr>
        <w:t xml:space="preserve"> </w:t>
      </w:r>
      <w:r>
        <w:rPr>
          <w:i/>
        </w:rPr>
        <w:t xml:space="preserve">I. </w:t>
      </w:r>
      <w:r>
        <w:t xml:space="preserve">– L. 541-15-10 §:n III momentin 16 kohdan soveltamiseksi sovelletaan seuraavia määritelmiä:</w:t>
      </w:r>
      <w:r>
        <w:t xml:space="preserve">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 xml:space="preserve">1.</w:t>
      </w:r>
      <w:r>
        <w:t xml:space="preserve"> </w:t>
      </w:r>
      <w:r>
        <w:t xml:space="preserve">”Hedelmät ja vihannekset”: ihmisravinnoksi tarkoitetut kasvit tai niiden osat, kuten varret, juuret, mukulat, lehdet, hedelmät, siemenet ja syötävät sienet,</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w:t>
      </w:r>
      <w:r>
        <w:t xml:space="preserve"> </w:t>
      </w:r>
      <w:r>
        <w:t xml:space="preserve">”Jalostamattomat tuoreet hedelmät ja vihannekset”: tuoreet hedelmät ja vihannekset, jotka täyttävät seuraavissa laeissa määritellyt valmistusrajat:</w:t>
      </w:r>
      <w:r>
        <w:t xml:space="preserve"> </w:t>
      </w:r>
    </w:p>
    <w:p w14:paraId="742076DE" w14:textId="77777777" w:rsidR="00FA2A1F" w:rsidRDefault="00FA2A1F" w:rsidP="005A05C8">
      <w:pPr>
        <w:ind w:firstLine="709"/>
        <w:jc w:val="both"/>
      </w:pPr>
    </w:p>
    <w:p w14:paraId="273AD17D" w14:textId="0E48098E" w:rsidR="005A05C8" w:rsidRDefault="005A05C8" w:rsidP="00FA2A1F">
      <w:pPr>
        <w:ind w:left="1134" w:hanging="425"/>
        <w:jc w:val="both"/>
      </w:pPr>
      <w:r>
        <w:t xml:space="preserve">– neuvoston asetuksen (EY) N:o 1234/2007 soveltamista koskevista yksityiskohtaisista säännöistä hedelmä- ja vihannesalan sekä hedelmä- ja vihannesjalostealan osalta 7 päivänä kesäkuuta 2011 annetun komission täytäntöönpanoasetuksessa (EC) N:o 543/2011 tarkoitetut kaupan pitämisen vaatimukset,</w:t>
      </w:r>
      <w:r>
        <w:t xml:space="preserve"> </w:t>
      </w:r>
    </w:p>
    <w:p w14:paraId="4D8D69E8" w14:textId="7CA33917" w:rsidR="005A05C8" w:rsidRDefault="005A05C8" w:rsidP="00FA2A1F">
      <w:pPr>
        <w:ind w:left="1134" w:hanging="425"/>
        <w:jc w:val="both"/>
      </w:pPr>
      <w:r>
        <w:t xml:space="preserve">– banaanien kaupan pitämistä koskevista vaatimuksista, kyseisten kaupan pitämistä koskevien vaatimusten noudattamisen valvontaan liittyvistä säännöistä ja banaanialalla tehtäviä ilmoituksia koskevista vaatimuksista 19 päivänä joulukuuta 2011 annetun komission täytäntöönpanoasetuksessa (EU) N:o 1333/2011 tarkoitetut kaupan pitämisen vaatimukset,</w:t>
      </w:r>
      <w:r>
        <w:t xml:space="preserve"> </w:t>
      </w:r>
    </w:p>
    <w:p w14:paraId="2C33E934" w14:textId="1CD22384" w:rsidR="005A05C8" w:rsidRPr="005A05C8" w:rsidRDefault="005A05C8" w:rsidP="00FA2A1F">
      <w:pPr>
        <w:ind w:left="1134" w:hanging="425"/>
        <w:jc w:val="both"/>
      </w:pPr>
      <w:r>
        <w:t xml:space="preserve">– kuluttajansuojalain L. 214-1 §:n soveltamisesta hedelmä- ja vihanneskaupan osalta 19 päivänä elokuuta 1955 annetun asetuksen nro 55-1126 4 §:n nojalla annetut määräykset,</w:t>
      </w:r>
      <w:r>
        <w:t xml:space="preserve">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w:t>
      </w:r>
      <w:r>
        <w:t xml:space="preserve"> </w:t>
      </w:r>
      <w:r>
        <w:t xml:space="preserve">”Pakkaus”: astia, kääre tai sulkulaite, joka peittää hedelmät ja vihannekset kokonaan tai osittain ja muodostaa kuluttajalle myytävän yksikön varmistaen niiden esillepanon myyntipisteessä,</w:t>
      </w:r>
      <w:r>
        <w:t xml:space="preserve">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t xml:space="preserve">4.</w:t>
      </w:r>
      <w:r>
        <w:t xml:space="preserve"> </w:t>
      </w:r>
      <w:r>
        <w:t xml:space="preserve">”Muovimateriaali”: materiaali sellaisena kuin se on määritelty ympäristölain D. 541-330 §:ssä.</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t xml:space="preserve">II. – L. 541-15-10 §:n III momentin 16 kohdan toisessa virkkeessä tarkoitetut hedelmät ja vihannekset, joihin liittyy pilaantumisvaara, kun niitä myydään irtotavarana, ovat seuraavat:</w:t>
      </w:r>
      <w:r>
        <w:t xml:space="preserve"> </w:t>
      </w:r>
    </w:p>
    <w:p w14:paraId="5AC6333E" w14:textId="77777777" w:rsidR="00341726" w:rsidRDefault="00341726" w:rsidP="00341726">
      <w:pPr>
        <w:jc w:val="both"/>
      </w:pPr>
    </w:p>
    <w:p w14:paraId="72EBB9D2" w14:textId="58BAFA17" w:rsidR="00341726" w:rsidRDefault="00341726" w:rsidP="00341726">
      <w:pPr>
        <w:jc w:val="both"/>
      </w:pPr>
      <w:r>
        <w:t xml:space="preserve">– vuonankaali, nuoret versot, aromaattiset yrtit, syötävät kukat, mungpavun idut,</w:t>
      </w:r>
    </w:p>
    <w:p w14:paraId="5844973D" w14:textId="0E1EB7B9" w:rsidR="00341726" w:rsidRDefault="00341726" w:rsidP="00341726">
      <w:pPr>
        <w:jc w:val="both"/>
      </w:pPr>
      <w:r>
        <w:t xml:space="preserve">– idätetyt siemenet,</w:t>
      </w:r>
    </w:p>
    <w:p w14:paraId="0BB479B0" w14:textId="7F458C47" w:rsidR="0016162C" w:rsidRDefault="009B5670" w:rsidP="0016162C">
      <w:pPr>
        <w:jc w:val="both"/>
      </w:pPr>
      <w:r>
        <w:t xml:space="preserve">– kypsät hedelmät,</w:t>
      </w:r>
    </w:p>
    <w:p w14:paraId="6024C5B2" w14:textId="4B7CC75D" w:rsidR="00B12D5E" w:rsidRDefault="0016162C" w:rsidP="00341726">
      <w:pPr>
        <w:jc w:val="both"/>
      </w:pPr>
      <w:r>
        <w:t xml:space="preserve">– karpalot, puolukat, ananaskirsikat, mustikat, vadelmat, mansikat, karhunvatukat, herukat, karvaslaipikat, intianjujubat, karviaiset, mustaherukat ja kiivit,</w:t>
      </w:r>
    </w:p>
    <w:p w14:paraId="5ED21BA4" w14:textId="68ABC03B" w:rsidR="00B12D5E" w:rsidRDefault="00B12D5E" w:rsidP="00B12D5E">
      <w:pPr>
        <w:jc w:val="both"/>
      </w:pPr>
      <w:r>
        <w:t xml:space="preserve"> </w:t>
      </w:r>
      <w:r>
        <w:t xml:space="preserve">– endiivit,</w:t>
      </w:r>
    </w:p>
    <w:p w14:paraId="3D7B41BD" w14:textId="001F8026" w:rsidR="00B12D5E" w:rsidRDefault="009B5670" w:rsidP="00B12D5E">
      <w:pPr>
        <w:ind w:left="-5"/>
      </w:pPr>
      <w:r>
        <w:t xml:space="preserve">– sienet,</w:t>
      </w:r>
    </w:p>
    <w:p w14:paraId="3C95BD5D" w14:textId="56902FC7" w:rsidR="00B12D5E" w:rsidRDefault="009B5670" w:rsidP="00B12D5E">
      <w:pPr>
        <w:ind w:left="-5"/>
      </w:pPr>
      <w:r>
        <w:t xml:space="preserve">– pienet porkkanat,</w:t>
      </w:r>
    </w:p>
    <w:p w14:paraId="578E5A1F" w14:textId="77777777" w:rsidR="00B12D5E" w:rsidRDefault="00B12D5E" w:rsidP="00B12D5E">
      <w:pPr>
        <w:ind w:left="-5"/>
      </w:pPr>
      <w:r>
        <w:t xml:space="preserve">– pinaatti ja suolaheinä.”</w:t>
      </w:r>
      <w:r>
        <w:t xml:space="preserve">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 xml:space="preserve">2 §</w:t>
      </w:r>
    </w:p>
    <w:p w14:paraId="683E9D53" w14:textId="77777777" w:rsidR="009C04CC" w:rsidRDefault="009C04CC" w:rsidP="00195C7C">
      <w:pPr>
        <w:ind w:firstLine="709"/>
        <w:jc w:val="both"/>
      </w:pPr>
    </w:p>
    <w:p w14:paraId="57BD3D37" w14:textId="2AAC4DD6" w:rsidR="00341726" w:rsidRDefault="009C04CC" w:rsidP="00341726">
      <w:pPr>
        <w:jc w:val="both"/>
      </w:pPr>
      <w:r>
        <w:t xml:space="preserve">Pakkausvarastojen hävittämiseksi seuraavat hedelmät ja vihannekset voidaan esittää myytäväksi pakkauksissa, jotka on valmistettu kokonaan tai osittain muovimateriaalista 31. joulukuuta 2023 saakka:</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uritetut tomaatit, pitkänomaiset sydämenmuotoiset tomaatit, kirsikka- tai cocktailtomaatit (pienimuotoiset lajikkeet),</w:t>
      </w:r>
      <w:r>
        <w:t xml:space="preserve"> </w:t>
      </w:r>
    </w:p>
    <w:p w14:paraId="6FED6CDF" w14:textId="27E595B4" w:rsidR="00B12D5E" w:rsidRDefault="009B5670" w:rsidP="00B12D5E">
      <w:pPr>
        <w:pStyle w:val="ListParagraph"/>
        <w:numPr>
          <w:ilvl w:val="0"/>
          <w:numId w:val="23"/>
        </w:numPr>
      </w:pPr>
      <w:r>
        <w:t xml:space="preserve">parsa,</w:t>
      </w:r>
    </w:p>
    <w:p w14:paraId="027696F5" w14:textId="6354DDB6" w:rsidR="00B12D5E" w:rsidRDefault="00B12D5E" w:rsidP="00B12D5E">
      <w:pPr>
        <w:pStyle w:val="ListParagraph"/>
        <w:numPr>
          <w:ilvl w:val="0"/>
          <w:numId w:val="23"/>
        </w:numPr>
      </w:pPr>
      <w:r>
        <w:t xml:space="preserve">parsakaali,</w:t>
      </w:r>
    </w:p>
    <w:p w14:paraId="1A89F6DE" w14:textId="068BB10A" w:rsidR="00B12D5E" w:rsidRDefault="00B12D5E" w:rsidP="00B12D5E">
      <w:pPr>
        <w:pStyle w:val="ListParagraph"/>
        <w:numPr>
          <w:ilvl w:val="0"/>
          <w:numId w:val="23"/>
        </w:numPr>
      </w:pPr>
      <w:r>
        <w:t xml:space="preserve">varhaisperunat ja varhaisporkkanat,</w:t>
      </w:r>
    </w:p>
    <w:p w14:paraId="39D06F87" w14:textId="15776A2D" w:rsidR="00B12D5E" w:rsidRDefault="009B5670" w:rsidP="00B12D5E">
      <w:pPr>
        <w:pStyle w:val="ListParagraph"/>
        <w:numPr>
          <w:ilvl w:val="0"/>
          <w:numId w:val="23"/>
        </w:numPr>
      </w:pPr>
      <w:r>
        <w:t xml:space="preserve">salaatti,</w:t>
      </w:r>
    </w:p>
    <w:p w14:paraId="79B57C4C" w14:textId="3F8C1E57" w:rsidR="00B12D5E" w:rsidRDefault="009B5670" w:rsidP="00341726">
      <w:pPr>
        <w:pStyle w:val="ListParagraph"/>
        <w:numPr>
          <w:ilvl w:val="0"/>
          <w:numId w:val="23"/>
        </w:numPr>
        <w:jc w:val="both"/>
      </w:pPr>
      <w:r>
        <w:t xml:space="preserve">varhaissipulit,</w:t>
      </w:r>
      <w:r>
        <w:t xml:space="preserve"> </w:t>
      </w:r>
    </w:p>
    <w:p w14:paraId="1ECA92A8" w14:textId="1D34F630" w:rsidR="00B12D5E" w:rsidRDefault="009B5670" w:rsidP="00341726">
      <w:pPr>
        <w:pStyle w:val="ListParagraph"/>
        <w:numPr>
          <w:ilvl w:val="0"/>
          <w:numId w:val="23"/>
        </w:numPr>
        <w:jc w:val="both"/>
      </w:pPr>
      <w:r>
        <w:t xml:space="preserve">varhaiset nauriit,</w:t>
      </w:r>
    </w:p>
    <w:p w14:paraId="44ADB8B6" w14:textId="77777777" w:rsidR="00B12D5E" w:rsidRDefault="00341726" w:rsidP="00341726">
      <w:pPr>
        <w:pStyle w:val="ListParagraph"/>
        <w:numPr>
          <w:ilvl w:val="0"/>
          <w:numId w:val="23"/>
        </w:numPr>
        <w:jc w:val="both"/>
      </w:pPr>
      <w:r>
        <w:t xml:space="preserve">ruusukaali,</w:t>
      </w:r>
      <w:r>
        <w:t xml:space="preserve"> </w:t>
      </w:r>
    </w:p>
    <w:p w14:paraId="627CA519" w14:textId="0D26E63D" w:rsidR="00B12D5E" w:rsidRDefault="009B5670" w:rsidP="00341726">
      <w:pPr>
        <w:pStyle w:val="ListParagraph"/>
        <w:numPr>
          <w:ilvl w:val="0"/>
          <w:numId w:val="23"/>
        </w:numPr>
        <w:jc w:val="both"/>
      </w:pPr>
      <w:r>
        <w:t xml:space="preserve">vihreät pavut,</w:t>
      </w:r>
    </w:p>
    <w:p w14:paraId="3DBEF345" w14:textId="77777777" w:rsidR="00B12D5E" w:rsidRDefault="00B12D5E" w:rsidP="00B12D5E">
      <w:pPr>
        <w:pStyle w:val="ListParagraph"/>
        <w:numPr>
          <w:ilvl w:val="0"/>
          <w:numId w:val="23"/>
        </w:numPr>
        <w:jc w:val="both"/>
      </w:pPr>
      <w:r>
        <w:t xml:space="preserve">kirsikat,</w:t>
      </w:r>
    </w:p>
    <w:p w14:paraId="23F8FD80" w14:textId="5A9AD835" w:rsidR="00B12D5E" w:rsidRDefault="00341726" w:rsidP="00341726">
      <w:pPr>
        <w:pStyle w:val="ListParagraph"/>
        <w:numPr>
          <w:ilvl w:val="0"/>
          <w:numId w:val="23"/>
        </w:numPr>
        <w:jc w:val="both"/>
      </w:pPr>
      <w:r>
        <w:t xml:space="preserve">viinirypäleet,</w:t>
      </w:r>
    </w:p>
    <w:p w14:paraId="76FB16F4" w14:textId="4222A7F6" w:rsidR="00341726" w:rsidRDefault="00341726" w:rsidP="00341726">
      <w:pPr>
        <w:pStyle w:val="ListParagraph"/>
        <w:numPr>
          <w:ilvl w:val="0"/>
          <w:numId w:val="23"/>
        </w:numPr>
        <w:jc w:val="both"/>
      </w:pPr>
      <w:r>
        <w:t xml:space="preserve">persikat, nektariinit ja aprikoosit.</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 xml:space="preserve">3 §</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 xml:space="preserve">Tämän asetuksen täytäntöönpanosta vastaavat kukin omalta osaltaan talous-, valtiovarain- sekä teollisen ja digitaalisen omavaraisuuden ministeri, maatalous- ja elintarvikeministeri, ekologisen siirtymän ja alueellisen yhteenkuuluvuuden ministeri sekä ekologisesta siirtymästä ja alueellisesta yhteenkuuluvuudesta vastaavan ministerin valtiosihteeri, joka on vastuussa ekologiasta. Asetus julkaistaan Ranskan tasavallan </w:t>
      </w:r>
      <w:r>
        <w:rPr>
          <w:i/>
          <w:iCs/>
        </w:rPr>
        <w:t xml:space="preserve">virallisessa lehdessä</w:t>
      </w:r>
      <w:r>
        <w:t xml:space="preserve">.</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Annettu [...]</w:t>
      </w:r>
      <w:r>
        <w:t xml:space="preserve">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98CB" w14:textId="77777777" w:rsidR="00B26342" w:rsidRDefault="00B26342" w:rsidP="00DA07F9">
      <w:r>
        <w:separator/>
      </w:r>
    </w:p>
  </w:endnote>
  <w:endnote w:type="continuationSeparator" w:id="0">
    <w:p w14:paraId="1DE9158E" w14:textId="77777777" w:rsidR="00B26342" w:rsidRDefault="00B26342"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D393" w14:textId="77777777" w:rsidR="00B26342" w:rsidRDefault="00B26342" w:rsidP="00DA07F9">
      <w:r>
        <w:separator/>
      </w:r>
    </w:p>
  </w:footnote>
  <w:footnote w:type="continuationSeparator" w:id="0">
    <w:p w14:paraId="74775357" w14:textId="77777777" w:rsidR="00B26342" w:rsidRDefault="00B26342"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1"/>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dirty" w:grammar="dirty"/>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968</Words>
  <Characters>5521</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Liana Brili</cp:lastModifiedBy>
  <cp:revision>4</cp:revision>
  <cp:lastPrinted>2022-11-02T13:16:00Z</cp:lastPrinted>
  <dcterms:created xsi:type="dcterms:W3CDTF">2022-12-14T16:37:00Z</dcterms:created>
  <dcterms:modified xsi:type="dcterms:W3CDTF">2022-12-15T07:56:00Z</dcterms:modified>
</cp:coreProperties>
</file>