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 xml:space="preserve">1. </w:t>
      </w:r>
      <w:r>
        <w:rPr>
          <w:rFonts w:ascii="Courier New" w:hAnsi="Courier New"/>
          <w:sz w:val="20"/>
        </w:rPr>
        <w:t>------IND- 2019 0551 HU- ES-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Ministro de Agricultura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Decreto n.º .../2019 de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por el que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se modifica el Decreto n.º 152/2009 del Ministro de Agricultura y Desarrollo Rural, de 12 de noviembre de 2009, relativo a los requisitos obligatorios del Codex Alimentarius Hungaricus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De conformidad con la autorización concedida con arreglo al artículo 76, apartado 2, punto 5, de la Ley XLVI de 2008 sobre la cadena alimentaria y su supervisión oficial, y actuando en el ámbito de mis obligaciones tal como se definen en el artículo 79, apartado 4, del Decreto del Gobierno n.º 94/2018, de 22 de mayo de 2018, sobre las obligaciones y competencias de los miembros del Gobierno, por el presente, decreto lo siguiente: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Artículo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En el artículo 1, apartado 3, del Decreto n.º 152/2009 del Ministro de Agricultura y Desarrollo Rural, de 12 de noviembre de 2009, relativo a los requisitos obligatorios del Codex Alimentarius Hungaricus (en adelante, «Decreto»), se añade la siguiente letra 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[Los requisitos obligatorios del capítulo I del Codex Alimentarius Hungaricus, que incluye las descripciones de productos nacionales, se estipulan en los siguientes anexos del presente Decreto:]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color w:val="000000"/>
          <w:sz w:val="24"/>
          <w:i w:val="1"/>
        </w:rPr>
        <w:t>anexo 41</w:t>
      </w:r>
      <w:r>
        <w:rPr>
          <w:rFonts w:ascii="Times New Roman" w:hAnsi="Times New Roman"/>
          <w:color w:val="000000"/>
          <w:sz w:val="24"/>
        </w:rPr>
        <w:t xml:space="preserve"> relativo al pimentón ahumado.».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Artículo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En el artículo 2 del Decreto, se añade el siguiente apartado 16: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«16. Los productos que no se ajusten a las disposiciones del anexo 41 estipuladas por el Decreto .../2019 del Ministro de Agricultura, de ..., sobre la modificación del Decreto n.º 152/2009 del Ministro de Agricultura y Desarrollo Rural de 12 de noviembre de 2009 podrán seguir produciéndose durante un plazo de dos años a partir de la entrada en vigor de este y podrán distribuirse hasta su fecha de caducidad.».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Artículo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Se añade el siguiente artículo 6 al Decreto: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«Artículo 6. Se ha cumplido el requisito de notificación previa del proyecto de anexo 41 del presente Decreto, tal y como se estipula en los artículos 5 a 7 de la Directiva (UE) 2015/1535 del Parlamento Europeo y del Consejo, de 9 de septiembre de 2015, por la que se establece un procedimiento de información en materia de reglamentaciones técnicas y de reglas relativas a los servicios de la sociedad de la información.».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Artículo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Se añade el anexo 41 al Decreto tal y como se describe en el anexo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Artículo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El presente Decreto entrará en vigor el tercer día tras su publicación.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Artículo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Se ha cumplido el requisito de notificación previa del presente proyecto de Decreto, tal y como se estipula en los artículos 5 a 7 de la Directiva (UE) 2015/1535 del Parlamento Europeo y del Consejo, de 9 de septiembre de 2015, por la que se establece un procedimiento de información en materia de reglamentaciones técnicas y de reglas relativas a los servicios de la sociedad de la información.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Budapest, [fecha] de [mes]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Ministro de Agricultura</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t>Anexo 1 del Decreto .../2019 del Ministro de Agricultura de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Default="00150DE4" w:rsidP="0045040A">
      <w:pPr>
        <w:keepNext/>
        <w:keepLines/>
        <w:spacing w:after="0" w:line="240" w:lineRule="auto"/>
        <w:rPr>
          <w:rFonts w:ascii="Times New Roman" w:hAnsi="Times New Roman" w:cs="Times New Roman"/>
          <w:i/>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«Anexo 41 del Decreto n.º 152/2009 del Ministro de Agricultura y Desarrollo Rural de 12 de noviembre de 2009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Reglamento n.º 1-3/18-1 del Codex Alimentarius Hungaricus relativo al pimentón ahumado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Parte A</w:t>
      </w:r>
    </w:p>
    <w:p w:rsidR="00B94390" w:rsidRPr="00562311" w:rsidRDefault="00B94390" w:rsidP="0045040A">
      <w:pPr>
        <w:pStyle w:val="Default"/>
        <w:keepNext/>
        <w:keepLines/>
        <w:jc w:val="center"/>
        <w:rPr>
          <w:b/>
          <w:sz w:val="26"/>
          <w:szCs w:val="26"/>
        </w:rPr>
      </w:pPr>
      <w:r>
        <w:rPr>
          <w:b/>
          <w:sz w:val="26"/>
        </w:rPr>
        <w:t>DISPOSICIONES GENERALES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Sobre la base del artículo 66, apartado 1, de la Ley XLVI de 2008 sobre la cadena alimentaria y su supervisión oficial, el presente Reglamento define los requisitos aplicables a los productos elaborados mediante el ahumado y la molienda de los frutos maduros y secos de la planta </w:t>
      </w:r>
      <w:r>
        <w:rPr>
          <w:rFonts w:ascii="Times New Roman" w:hAnsi="Times New Roman"/>
          <w:i/>
          <w:sz w:val="24"/>
        </w:rPr>
        <w:t>Capsicum annuum</w:t>
      </w:r>
      <w:r>
        <w:rPr>
          <w:rFonts w:ascii="Times New Roman" w:hAnsi="Times New Roman"/>
          <w:sz w:val="24"/>
        </w:rPr>
        <w:t xml:space="preserve"> L. var. longum DC, perteneciente a la familia de las solanáceas (</w:t>
      </w:r>
      <w:r>
        <w:rPr>
          <w:rFonts w:ascii="Times New Roman" w:hAnsi="Times New Roman"/>
          <w:sz w:val="24"/>
          <w:i w:val="1"/>
        </w:rPr>
        <w:t>Solanaceae</w:t>
      </w:r>
      <w:r>
        <w:rPr>
          <w:rFonts w:ascii="Times New Roman" w:hAnsi="Times New Roman"/>
          <w:sz w:val="24"/>
        </w:rPr>
        <w:t>).</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La norma no se aplicará al pimentón con denominación de origen protegida de acuerdo con el Reglamento (UE) n.º 1151/2012 del Parlamento Europeo y del Consejo, de 21 de noviembre de 2012, sobre los regímenes de calidad de los productos agrícolas y alimenticios.</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El término «pimentón ahumado» definido en el Reglamento podrá aplicarse únicamente si el producto cumple los requisitos estipulados con arreglo a este Reglamento.</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Los parámetros de calidad definidos en el Reglamento se han establecido a través de los métodos de inspección recogidos en el anexo del Reglamento y, por tanto, en el momento de verificarlos, deberá recurrirse a métodos de inspección definidos en él o métodos equivalentes.</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Los productos que hayan sido elaborados o comercializados en cualquier Estado miembro de la Unión Europea o en Turquía, o elaborados en cualquier Estado miembro de la AELC signatario del acuerdo sobre el Espacio Económico Europeo, de acuerdo con la legislación nacional aplicable, no tendrán que cumplir las disposiciones técnicas definidas en el presente Reglamento, siempre y cuando las disposiciones que rigen la protección al consumidor ofrezcan un nivel de protección equivalente al que ofrecen las recogidas en este Reglamento.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A efectos del presente Reglamento, se aplicarán las definiciones que se indican a continuación.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Piel:</w:t>
      </w:r>
      <w:r>
        <w:rPr>
          <w:rFonts w:ascii="Times New Roman" w:hAnsi="Times New Roman"/>
          <w:sz w:val="24"/>
        </w:rPr>
        <w:t xml:space="preserve"> el pericarpio del fruto del pimiento que contiene el pigmento.</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Tallo: </w:t>
      </w:r>
      <w:r>
        <w:rPr>
          <w:rFonts w:ascii="Times New Roman" w:hAnsi="Times New Roman"/>
          <w:sz w:val="24"/>
        </w:rPr>
        <w:t>formación verde resultante de la fusión del pedículo y los sépalos.</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Ahumado: </w:t>
      </w:r>
      <w:r>
        <w:rPr>
          <w:rFonts w:ascii="Times New Roman" w:hAnsi="Times New Roman"/>
          <w:sz w:val="24"/>
        </w:rPr>
        <w:t xml:space="preserve">operación destinada a conferir al producto un sabor y un color ahumados, así como a establecer el carácter del producto a partir del humo. </w:t>
      </w:r>
      <w:r>
        <w:rPr>
          <w:rFonts w:ascii="Times New Roman" w:hAnsi="Times New Roman"/>
          <w:sz w:val="24"/>
        </w:rPr>
        <w:t xml:space="preserve">El ahumado se consigue mediante la combustión directa e imperfecta de la madera dura. </w:t>
      </w:r>
      <w:r>
        <w:rPr>
          <w:rFonts w:ascii="Times New Roman" w:hAnsi="Times New Roman"/>
          <w:sz w:val="24"/>
        </w:rPr>
        <w:t>El ahumado podrá realizarse de las siguientes maneras: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ahumado en frío:</w:t>
      </w:r>
      <w:r>
        <w:rPr>
          <w:rFonts w:ascii="Times New Roman" w:hAnsi="Times New Roman"/>
          <w:sz w:val="24"/>
        </w:rPr>
        <w:t xml:space="preserve"> </w:t>
      </w:r>
      <w:r>
        <w:rPr>
          <w:rFonts w:ascii="Times New Roman" w:hAnsi="Times New Roman"/>
          <w:sz w:val="24"/>
        </w:rPr>
        <w:t>se realiza a temperaturas que no superan los 40 °C. En función de la duración de este, distinguimos:</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ahumado tradicional en frío de larga duración</w:t>
      </w:r>
      <w:r>
        <w:rPr>
          <w:rFonts w:ascii="Times New Roman" w:hAnsi="Times New Roman"/>
          <w:sz w:val="24"/>
        </w:rPr>
        <w:t>, durante el cual el producto se ahúma periódicamente con humo diluido y más ligero durante un período más largo;</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3.1.2) </w:t>
      </w:r>
      <w:r>
        <w:rPr>
          <w:rFonts w:ascii="Times New Roman" w:hAnsi="Times New Roman"/>
          <w:i/>
          <w:sz w:val="24"/>
        </w:rPr>
        <w:t>ahumado en frío de corta duración</w:t>
      </w:r>
      <w:r>
        <w:rPr>
          <w:rFonts w:ascii="Times New Roman" w:hAnsi="Times New Roman"/>
          <w:sz w:val="24"/>
        </w:rPr>
        <w:t>, durante el cual el producto, para lograr un enrojecimiento adecuado, se ahúma en el transcurso de unos días con humo denso y frío;</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ahumado en caliente:</w:t>
      </w:r>
      <w:r>
        <w:rPr>
          <w:rFonts w:ascii="Times New Roman" w:hAnsi="Times New Roman"/>
          <w:sz w:val="24"/>
        </w:rPr>
        <w:t xml:space="preserve"> </w:t>
      </w:r>
      <w:r>
        <w:rPr>
          <w:rFonts w:ascii="Times New Roman" w:hAnsi="Times New Roman"/>
          <w:sz w:val="24"/>
        </w:rPr>
        <w:t>se realiza a temperaturas que oscilan entre los 40 y los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Pimiento:</w:t>
      </w:r>
      <w:r>
        <w:rPr>
          <w:rFonts w:ascii="Times New Roman" w:hAnsi="Times New Roman"/>
          <w:sz w:val="24"/>
        </w:rPr>
        <w:t xml:space="preserve"> </w:t>
      </w:r>
      <w:r>
        <w:rPr>
          <w:rFonts w:ascii="Times New Roman" w:hAnsi="Times New Roman"/>
          <w:sz w:val="24"/>
        </w:rPr>
        <w:t xml:space="preserve">planta </w:t>
      </w:r>
      <w:r>
        <w:rPr>
          <w:rFonts w:ascii="Times New Roman" w:hAnsi="Times New Roman"/>
          <w:i/>
          <w:sz w:val="24"/>
        </w:rPr>
        <w:t>Capsicum annuum</w:t>
      </w:r>
      <w:r>
        <w:rPr>
          <w:rFonts w:ascii="Times New Roman" w:hAnsi="Times New Roman"/>
          <w:sz w:val="24"/>
        </w:rPr>
        <w:t xml:space="preserve"> L. var. longum DC, fresca o seca, perteneciente a la familia de las solanáceas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xml:space="preserve"> el olor, la armonía olfativa y la condimentación de la muestra preparada, detectable por el olfato.</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Sabor:</w:t>
      </w:r>
      <w:r>
        <w:rPr>
          <w:rFonts w:ascii="Times New Roman" w:hAnsi="Times New Roman"/>
          <w:sz w:val="24"/>
        </w:rPr>
        <w:t xml:space="preserve"> el gusto, el picante, la armonía gustativa y la acritud que pueden determinarse mediante la degustación oral de la muestra.</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Contenido total de capsaicina: </w:t>
      </w:r>
      <w:r>
        <w:rPr>
          <w:rFonts w:ascii="Times New Roman" w:hAnsi="Times New Roman"/>
          <w:sz w:val="24"/>
        </w:rPr>
        <w:t>la suma del contenido de capsaicina y dihidrocapsaicina.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Aspecto externo: </w:t>
      </w:r>
      <w:r>
        <w:rPr>
          <w:rFonts w:ascii="Times New Roman" w:hAnsi="Times New Roman"/>
          <w:sz w:val="24"/>
        </w:rPr>
        <w:t>la suma de todas las propiedades visuales (visibles), en particular, la fineza y la uniformidad de la molienda.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Mosaicidad: </w:t>
      </w:r>
      <w:r>
        <w:rPr>
          <w:rFonts w:ascii="Times New Roman" w:hAnsi="Times New Roman"/>
          <w:sz w:val="24"/>
        </w:rPr>
        <w:t>la presencia de partes del fruto muy distintas (piel, semilla, tallo) en la superficie lisa, visibles a simple vista.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Color: </w:t>
      </w:r>
      <w:r>
        <w:rPr>
          <w:rFonts w:ascii="Times New Roman" w:hAnsi="Times New Roman"/>
          <w:sz w:val="24"/>
        </w:rPr>
        <w:t>la percepción del color de la muestra preparada por el evaluador, complementada por un examen del tono y la claridad a la luz natural difusa o luz artificial equivalente.</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Región de cultivo: </w:t>
      </w:r>
      <w:r>
        <w:rPr>
          <w:rFonts w:ascii="Times New Roman" w:hAnsi="Times New Roman"/>
          <w:sz w:val="24"/>
        </w:rPr>
        <w:t>el país donde se producen los pimientos con los que se elabora el pimentón.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074C" w:rsidRPr="000E31A6" w:rsidRDefault="0034074C" w:rsidP="0045040A">
      <w:pPr>
        <w:spacing w:after="0" w:line="240" w:lineRule="auto"/>
        <w:jc w:val="both"/>
        <w:outlineLvl w:val="0"/>
        <w:rPr>
          <w:rFonts w:ascii="Times New Roman" w:hAnsi="Times New Roman" w:cs="Times New Roman"/>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Parte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PIMENTÓN AHUMADO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1. </w:t>
      </w:r>
      <w:r>
        <w:rPr>
          <w:rFonts w:ascii="Times New Roman" w:hAnsi="Times New Roman"/>
          <w:b/>
          <w:i/>
          <w:sz w:val="24"/>
        </w:rPr>
        <w:t>Definición del producto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El pimentón ahumado es un producto producido mediante el ahumado y la molienda del fruto maduro y seco del pimiento.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 xml:space="preserve">2. </w:t>
      </w:r>
      <w:r>
        <w:rPr>
          <w:rFonts w:ascii="Times New Roman" w:hAnsi="Times New Roman"/>
          <w:b/>
          <w:i/>
          <w:sz w:val="24"/>
        </w:rPr>
        <w:t>Ingredientes que pueden utilizarse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 xml:space="preserve">Para la producción del pimentón únicamente podrá usarse el fruto del pimiento: la piel, el ovario, las venas y las semillas que están en el interior del fruto y en otras partes de este, en diferentes grados, como los sépalos y los pedículos. </w:t>
      </w:r>
      <w:r>
        <w:rPr>
          <w:rFonts w:ascii="Times New Roman" w:hAnsi="Times New Roman"/>
          <w:sz w:val="24"/>
        </w:rPr>
        <w:t>No se permitirá el uso de aditivos alimentarios, aroma de humo u otros ingredientes.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 xml:space="preserve">3. </w:t>
      </w:r>
      <w:r>
        <w:rPr>
          <w:rFonts w:ascii="Times New Roman" w:hAnsi="Times New Roman"/>
          <w:b/>
          <w:i/>
          <w:sz w:val="24"/>
        </w:rPr>
        <w:t>Características de calidad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 xml:space="preserve">3.1. </w:t>
      </w:r>
      <w:r>
        <w:rPr>
          <w:rFonts w:ascii="Times New Roman" w:hAnsi="Times New Roman"/>
          <w:i/>
          <w:sz w:val="24"/>
        </w:rPr>
        <w:t>Propiedades físicas y químicas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Propiedades físicas y químicas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Requisitos cualitativos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Contenido de materia colorante natural, en unidades de color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Contenido en humedad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como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Cenizas totales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como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Cenizas insolubles en ácido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como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Extracto de éter no volátil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como máximo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Finura de la molienda, proporción que pasa por un tamiz de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3.2. </w:t>
      </w:r>
      <w:r>
        <w:rPr>
          <w:rFonts w:ascii="Times New Roman" w:hAnsi="Times New Roman"/>
          <w:i/>
          <w:sz w:val="24"/>
        </w:rPr>
        <w:t>Clasificación del pimentón molido según su acritud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Grado de acritud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Contenido total de capsaicina (mg/kg)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No picante (dulce)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inferior a 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Ligeramente 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Muy picante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superior a 501</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 xml:space="preserve">3.3. </w:t>
      </w:r>
      <w:r>
        <w:rPr>
          <w:rFonts w:ascii="Times New Roman" w:hAnsi="Times New Roman"/>
          <w:i/>
          <w:sz w:val="24"/>
        </w:rPr>
        <w:t>Características sensoriales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Aspecto externo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Color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Sabor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Características aceptables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Homogéneo, finamente molido o no discreto, ligeramente heterogéneo en su coloración.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Rojo sólido, rojo oscuro, rojo ladrillo o rojo sangre.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Característico, claro, intenso, picante con un toque de caramelo. </w:t>
            </w:r>
            <w:r>
              <w:rPr>
                <w:rFonts w:ascii="Times New Roman" w:hAnsi="Times New Roman"/>
                <w:sz w:val="20"/>
              </w:rPr>
              <w:t xml:space="preserve">Ligeramente amargo, ligeramente ácido con al menos un ligero aroma ahumado. </w:t>
            </w:r>
            <w:r>
              <w:rPr>
                <w:rFonts w:ascii="Times New Roman" w:hAnsi="Times New Roman"/>
                <w:sz w:val="20"/>
              </w:rPr>
              <w:t>Libre de olores extraños.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Característico, aromático, claro, intenso, armónico, ligeramente dulce con un toque de caramelo.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Ligeramente rancio, ligeramente amargo, ligeramente ácido.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Tiene al menos un ligero sabor ahumado. </w:t>
            </w:r>
            <w:r>
              <w:rPr>
                <w:rFonts w:ascii="Times New Roman" w:hAnsi="Times New Roman"/>
                <w:sz w:val="20"/>
              </w:rPr>
              <w:t>Libre de sabores extraños.</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Se ajusta claramente a la clasificación de acritud que se muestra en el envase.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Características no aceptables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Molienda no homogénea. </w:t>
            </w:r>
            <w:r>
              <w:rPr>
                <w:rFonts w:ascii="Times New Roman" w:hAnsi="Times New Roman"/>
                <w:sz w:val="20"/>
              </w:rPr>
              <w:t>Mosaicidad con coloración discreta.</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Molienda áspera, distinta, no triturable, granos grumosos, gran porción fibrosa.</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Material extraño visible a simple vista.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Tinte amarillo o marrón, o rojo tirando a negro. </w:t>
            </w:r>
            <w:r>
              <w:rPr>
                <w:rFonts w:ascii="Times New Roman" w:hAnsi="Times New Roman"/>
                <w:sz w:val="20"/>
              </w:rPr>
              <w:t xml:space="preserve">Amarillo o marrón. </w:t>
            </w:r>
            <w:r>
              <w:rPr>
                <w:rFonts w:ascii="Times New Roman" w:hAnsi="Times New Roman"/>
                <w:sz w:val="20"/>
              </w:rPr>
              <w:t>Coloración desigual.</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Color claro descolorido o pardusco, color quemado.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Poco característico, muy ácido, ligeramente fermentado, aroma ahumado demasiado fuerte o no detectable en absoluto. </w:t>
            </w:r>
            <w:r>
              <w:rPr>
                <w:rFonts w:ascii="Times New Roman" w:hAnsi="Times New Roman"/>
                <w:sz w:val="20"/>
              </w:rPr>
              <w:t>Pasado, amargo, ácido, mohoso, rancio, quemado u otro aroma extraño al producto o repugnante en su efecto.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Poco característico, pasado, herbáceo, ligeramente ácido, amargo, rancio, mohoso, mustio, quemado.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El sabor ahumado está demasiado presente o no está presente en absoluto.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Sabor extraño no característico del producto.</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No se ajusta a la clasificación de acritud que se muestra en el envase.</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 xml:space="preserve">4. </w:t>
      </w:r>
      <w:r>
        <w:rPr>
          <w:rFonts w:ascii="Times New Roman" w:hAnsi="Times New Roman"/>
          <w:b/>
          <w:i/>
          <w:sz w:val="24"/>
        </w:rPr>
        <w:t>Envasado y almacenamiento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El pimentón ahumado deberá envasarse en un envase impermeable, que proteja de la luz, que no absorba grasa y que esté sellado de tal manera que si su autenticidad se viera afectada esto pudiera verse reflejado claramente en el sello.</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El pimentón ahumado deberá mantenerse en un lugar seco, fresco y bien ventilado, al abrigo de la luz del sol, los insectos y los roedores.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 xml:space="preserve">5. </w:t>
      </w:r>
      <w:r>
        <w:rPr>
          <w:rFonts w:ascii="Times New Roman" w:hAnsi="Times New Roman"/>
          <w:b/>
          <w:i/>
          <w:sz w:val="24"/>
        </w:rPr>
        <w:t>Designación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5.1. </w:t>
      </w:r>
      <w:r>
        <w:rPr>
          <w:rFonts w:ascii="Times New Roman" w:hAnsi="Times New Roman"/>
          <w:i/>
          <w:sz w:val="24"/>
        </w:rPr>
        <w:t>Descripción</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 xml:space="preserve">5.1.1) </w:t>
      </w:r>
      <w:r>
        <w:rPr>
          <w:rFonts w:ascii="Times New Roman" w:hAnsi="Times New Roman"/>
          <w:sz w:val="24"/>
        </w:rPr>
        <w:t>la descripción incluirá:</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el término «pimentón ahumado» o cualquier otro término que transmita el mismo significado al consumidor (por ejemplo, pimentón ahumado molido);</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una referencia a la acritud del producto usando las palabras «no picante» o «dulce», «ligeramente picante», «picante» o «muy picante»;</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 xml:space="preserve">5.1.2) </w:t>
      </w:r>
      <w:r>
        <w:rPr>
          <w:rFonts w:ascii="Times New Roman" w:hAnsi="Times New Roman"/>
          <w:sz w:val="24"/>
        </w:rPr>
        <w:t>no se permitirá usar el nombre de la unidad geográfica húngara en la descripción o en la marca comercial del producto si:</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el producto molido no se elaboró únicamente con pimientos cultivados en Hungría; o</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se ha mezclado el producto con pimentón molido procedente de fuera de Hungría.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5.2. </w:t>
      </w:r>
      <w:r>
        <w:rPr>
          <w:rFonts w:ascii="Times New Roman" w:hAnsi="Times New Roman"/>
          <w:i/>
          <w:sz w:val="24"/>
        </w:rPr>
        <w:t>Designación de la acritud</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Además del requisito recogido en el punto 5.1.1.2), el envase del producto deberá incluir un pictograma que haga referencia a su acritud y al contenido total de capsaicina en mg/kg.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 xml:space="preserve">5.3. </w:t>
      </w:r>
      <w:r>
        <w:rPr>
          <w:rFonts w:ascii="Times New Roman" w:hAnsi="Times New Roman"/>
          <w:i/>
          <w:sz w:val="24"/>
        </w:rPr>
        <w:t>Designación de la región de cultivo</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 xml:space="preserve">5.3.1) </w:t>
      </w:r>
      <w:r>
        <w:rPr>
          <w:rFonts w:ascii="Times New Roman" w:hAnsi="Times New Roman"/>
          <w:sz w:val="24"/>
        </w:rPr>
        <w:t>el envase del pimentón ahumado deberá indicar la región de cultivo:</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5.3.1.1) </w:t>
      </w:r>
      <w:r>
        <w:rPr>
          <w:rFonts w:ascii="Times New Roman" w:hAnsi="Times New Roman"/>
          <w:sz w:val="24"/>
        </w:rPr>
        <w:t>si el pimentón (molido) es originario de varias regiones, estas se indicarán por orden decreciente según la cantidad de pimentón (molido), indicando la cantidad de pimentón (molido) procedente de dichas regiones como porcentaje de la masa total [por ejemplo, Hungría (70 %), España (20 %), China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5.3.1.2) </w:t>
      </w:r>
      <w:r>
        <w:rPr>
          <w:rFonts w:ascii="Times New Roman" w:hAnsi="Times New Roman"/>
          <w:sz w:val="24"/>
        </w:rPr>
        <w:t xml:space="preserve">si el pimiento usado para el pimentón procede de una única región, la descripción del producto podrá referirse al país donde se cultivaron los pimientos (por ejemplo, pimentón ahumado; región de cultivo: </w:t>
      </w:r>
      <w:r>
        <w:rPr>
          <w:rFonts w:ascii="Times New Roman" w:hAnsi="Times New Roman"/>
          <w:sz w:val="24"/>
        </w:rPr>
        <w:t>España);</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 xml:space="preserve">5.3.2) </w:t>
      </w:r>
      <w:r>
        <w:rPr>
          <w:rFonts w:ascii="Times New Roman" w:hAnsi="Times New Roman"/>
          <w:sz w:val="24"/>
        </w:rPr>
        <w:t>la región de cultivo deberá figurar en el campo de visión principal con un tamaño de letra que sea, al menos, un 50 % del tamaño de letra más grande usado en el envase y, en cualquier caso, no inferior al tamaño de letra estipulado para las menciones obligatorias de acuerdo con el artículo 13, apartados 2 y 3,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Parte C</w:t>
      </w:r>
    </w:p>
    <w:p w:rsidR="00DA67B6" w:rsidRDefault="00DA67B6" w:rsidP="0045040A">
      <w:pPr>
        <w:pStyle w:val="Default"/>
        <w:keepNext/>
        <w:keepLines/>
        <w:jc w:val="center"/>
        <w:rPr>
          <w:b/>
          <w:caps/>
        </w:rPr>
      </w:pPr>
      <w:r>
        <w:rPr>
          <w:b/>
          <w:caps/>
        </w:rPr>
        <w:t>Metodología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Al verificar las características de calidad definidas en la parte B, se usarán los siguiente métodos (o métodos equivalentes).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Propiedades físicas y químicas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Número del método de inspección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Contenido de materia colorante natural, en unidades de color 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Contenido en humedad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(Según el anexo)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Cenizas totales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Cenizas insolubles en ácido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Extracto de éter no volátil sobre base seca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Finura de la molienda, proporción que pasa por un tamiz de ø 0,500 (mm)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Contenido total de capsaicina (la suma del contenido de capsaicina y dihidrocapsaicina)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Características sensoriales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RDefault="00ED79BB" w:rsidP="0045040A">
      <w:pPr>
        <w:spacing w:after="0" w:line="240" w:lineRule="auto"/>
        <w:rPr>
          <w:rFonts w:ascii="Times New Roman" w:hAnsi="Times New Roman" w:cs="Times New Roman"/>
          <w:sz w:val="24"/>
          <w:szCs w:val="24"/>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s-ES"/>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s-ES"/>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s-ES"/>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header" Target="header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