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A3" w:rsidRPr="00E578EB" w:rsidRDefault="00D04EA3" w:rsidP="00066D66">
      <w:pPr>
        <w:pStyle w:val="HeadingRunIn"/>
        <w:keepNext w:val="0"/>
        <w:widowControl w:val="0"/>
        <w:suppressAutoHyphens/>
        <w:spacing w:before="0" w:line="320" w:lineRule="atLeast"/>
        <w:rPr>
          <w:rFonts w:ascii="Times" w:hAnsi="Times" w:cs="Times"/>
          <w:b w:val="0"/>
          <w:w w:val="100"/>
          <w:lang w:val="en-US"/>
        </w:rPr>
      </w:pPr>
      <w:r w:rsidRPr="00E578EB">
        <w:rPr>
          <w:rFonts w:ascii="Courier New" w:hAnsi="Courier New"/>
          <w:b w:val="0"/>
          <w:sz w:val="20"/>
          <w:lang w:val="en-US"/>
        </w:rPr>
        <w:t>1. ---</w:t>
      </w:r>
      <w:r w:rsidR="00E578EB" w:rsidRPr="00E578EB">
        <w:rPr>
          <w:rFonts w:ascii="Courier New" w:hAnsi="Courier New"/>
          <w:b w:val="0"/>
          <w:sz w:val="20"/>
          <w:lang w:val="en-US"/>
        </w:rPr>
        <w:t>-</w:t>
      </w:r>
      <w:r w:rsidRPr="00E578EB">
        <w:rPr>
          <w:rFonts w:ascii="Courier New" w:hAnsi="Courier New"/>
          <w:b w:val="0"/>
          <w:sz w:val="20"/>
          <w:lang w:val="en-US"/>
        </w:rPr>
        <w:t>--IND- 2020 0314 S-- PL- ------ 20201130</w:t>
      </w:r>
      <w:r w:rsidRPr="00E578EB">
        <w:rPr>
          <w:rFonts w:ascii="Calibri" w:hAnsi="Calibri"/>
          <w:b w:val="0"/>
          <w:sz w:val="20"/>
          <w:lang w:val="en-US"/>
        </w:rPr>
        <w:t xml:space="preserve"> </w:t>
      </w:r>
      <w:r w:rsidRPr="00E578EB">
        <w:rPr>
          <w:rFonts w:ascii="Courier New" w:hAnsi="Courier New"/>
          <w:b w:val="0"/>
          <w:sz w:val="20"/>
          <w:lang w:val="en-US"/>
        </w:rPr>
        <w:t>--- --- FINAL</w:t>
      </w:r>
    </w:p>
    <w:p w:rsidR="00066D66" w:rsidRPr="00E578EB" w:rsidRDefault="00066D66" w:rsidP="00066D66">
      <w:pPr>
        <w:pStyle w:val="HeadingRunIn"/>
        <w:keepNext w:val="0"/>
        <w:widowControl w:val="0"/>
        <w:suppressAutoHyphens/>
        <w:spacing w:before="0" w:line="320" w:lineRule="atLeast"/>
        <w:rPr>
          <w:rFonts w:ascii="Times" w:hAnsi="Times" w:cs="Times"/>
          <w:w w:val="100"/>
          <w:lang w:val="en-US"/>
        </w:rPr>
      </w:pPr>
      <w:r w:rsidRPr="00E578EB">
        <w:rPr>
          <w:rFonts w:ascii="Times" w:hAnsi="Times"/>
          <w:lang w:val="en-US"/>
        </w:rPr>
        <w:t>SIFS 2020:2</w:t>
      </w:r>
    </w:p>
    <w:p w:rsidR="00066D66" w:rsidRDefault="00066D66" w:rsidP="00066D66">
      <w:pPr>
        <w:pStyle w:val="HeadingRunIn"/>
        <w:keepNext w:val="0"/>
        <w:widowControl w:val="0"/>
        <w:suppressAutoHyphens/>
        <w:spacing w:before="0" w:line="200" w:lineRule="atLeast"/>
        <w:rPr>
          <w:rFonts w:ascii="Times" w:hAnsi="Times" w:cs="Times"/>
          <w:b w:val="0"/>
          <w:bCs w:val="0"/>
          <w:w w:val="100"/>
          <w:sz w:val="17"/>
          <w:szCs w:val="17"/>
        </w:rPr>
      </w:pPr>
      <w:r>
        <w:rPr>
          <w:rFonts w:ascii="Times" w:hAnsi="Times"/>
          <w:b w:val="0"/>
          <w:sz w:val="17"/>
        </w:rPr>
        <w:t>Opublikowano</w:t>
      </w:r>
      <w:r>
        <w:rPr>
          <w:rFonts w:ascii="Times" w:hAnsi="Times"/>
          <w:b w:val="0"/>
          <w:sz w:val="17"/>
        </w:rPr>
        <w:br/>
        <w:t>w dniu 1 października 2020 r.</w:t>
      </w:r>
    </w:p>
    <w:p w:rsidR="00D97284" w:rsidRDefault="00D97284"/>
    <w:p w:rsidR="00066D66" w:rsidRDefault="00066D66" w:rsidP="00066D66">
      <w:pPr>
        <w:pStyle w:val="HeadingRunIn"/>
        <w:keepNext w:val="0"/>
        <w:widowControl w:val="0"/>
        <w:suppressAutoHyphens/>
        <w:spacing w:before="0" w:line="240" w:lineRule="atLeast"/>
        <w:ind w:right="240"/>
        <w:rPr>
          <w:rFonts w:ascii="Times" w:hAnsi="Times" w:cs="Times"/>
          <w:w w:val="100"/>
          <w:sz w:val="26"/>
          <w:szCs w:val="26"/>
        </w:rPr>
      </w:pPr>
      <w:r>
        <w:rPr>
          <w:rFonts w:ascii="Times" w:hAnsi="Times"/>
          <w:sz w:val="26"/>
        </w:rPr>
        <w:t>Przepisy i ogólne zalecenia szwedzkiego Urzędu ds. Gier Losowych w sprawie ograniczenia i zakazu niektórych zakładów w celu zapobiegania manipulowaniu wynikami (w tym ustawianiu wyników zawodów) w sporcie oraz zgłaszania podejrzeń manipulacji;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przyjęte w dniu 14 września 2020 r.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Na mocy § 16 akapit pierwszy i § 11 pkt 2 w rozdziale 16 rozporządzenia w sprawie gier losowych (2018:1475) szwedzki Urząd ds. Gier Losowych</w:t>
      </w:r>
      <w:r>
        <w:rPr>
          <w:rFonts w:ascii="Times" w:hAnsi="Times" w:cs="Times"/>
          <w:b w:val="0"/>
          <w:bCs w:val="0"/>
          <w:w w:val="100"/>
          <w:sz w:val="19"/>
          <w:szCs w:val="19"/>
          <w:vertAlign w:val="superscript"/>
          <w:lang w:val="sv-SE"/>
        </w:rPr>
        <w:footnoteReference w:id="1"/>
      </w:r>
      <w:r>
        <w:rPr>
          <w:rFonts w:ascii="Times" w:hAnsi="Times"/>
          <w:b w:val="0"/>
          <w:sz w:val="19"/>
        </w:rPr>
        <w:t xml:space="preserve"> ustanawia, co następuje oraz przyjmuje poniższe zalecenia ogólne.</w:t>
      </w:r>
    </w:p>
    <w:p w:rsidR="00066D66" w:rsidRDefault="00066D66" w:rsidP="00066D66">
      <w:pPr>
        <w:pStyle w:val="HeadingRunIn"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t>Rozdział 1 Zakres i znaczenie użytych pojęć</w:t>
      </w:r>
    </w:p>
    <w:p w:rsidR="00066D66" w:rsidRDefault="00066D66" w:rsidP="00066D66">
      <w:pPr>
        <w:pStyle w:val="HeadingRunIn"/>
        <w:keepNext w:val="0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> Niniejsze przepisy i ogólne zalecenia uzupełniają przepisy ustawy o grach losowych (2018:1138) i rozporządzenia w sprawie gier losowych (2018:1475). Przepisy stosuje się do zakładów, urządzanych przez licencjonowane podmioty zgodnie z rozdz. 8 ustawy o grach losowych, o wyniki zawodów sportowych rozgrywanych na terytorium Szwecji.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2</w:t>
      </w:r>
      <w:r>
        <w:rPr>
          <w:rFonts w:ascii="Times" w:hAnsi="Times"/>
          <w:b w:val="0"/>
          <w:sz w:val="19"/>
        </w:rPr>
        <w:t> Pojęcia oraz nazwy stosowane w niniejszych przepisach mają takie samo znaczenie, jak przyjęte w ustawie o grach losowych (2018:1138) oraz w rozporządzeniu w sprawie gier losowych (2018:1475).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Użyte w niniejszych przepisach i ogólnych zaleceniach pojęcie „sport” oznacza udział w zawodach dyscypliny indywidualnej lub drużynowej najczęściej związany z aktywnością fizyczną oraz wymagający umiejętności, przy czym wynik zawodów jest zależny zarówno od umiejętności, jak i od szczęścia, a umiejętności poszczególnych uczestników są zróżnicowane i w znacznym stopniu wpływają na wynik; takie zawody często mają charakter konkurencyjny, a przykładowe dyscypliny to bandy, koszykówka, e-sport, piłka nożna, konkurencje jeździeckie, golf, hokej na lodzie, sporty motorowe, narciarstwo, strzelectwo lub tenis.</w:t>
      </w:r>
    </w:p>
    <w:p w:rsidR="00066D66" w:rsidRDefault="00066D66" w:rsidP="00E578EB">
      <w:pPr>
        <w:pStyle w:val="HeadingRunIn"/>
        <w:keepLines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lastRenderedPageBreak/>
        <w:t>Rozdział 2 Zakaz urządzani</w:t>
      </w:r>
      <w:bookmarkStart w:id="0" w:name="_GoBack"/>
      <w:bookmarkEnd w:id="0"/>
      <w:r>
        <w:rPr>
          <w:rFonts w:ascii="Times" w:hAnsi="Times"/>
          <w:sz w:val="21"/>
        </w:rPr>
        <w:t>a zakładów o niektóre kary i występy małoletnich</w:t>
      </w:r>
    </w:p>
    <w:p w:rsidR="00066D66" w:rsidRDefault="00066D66" w:rsidP="00066D66">
      <w:pPr>
        <w:pStyle w:val="HeadingRunIn"/>
        <w:keepNext w:val="0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 xml:space="preserve"> Zabrania się urządzania zakładów o kary za naruszenie zasad w związku z meczem, wyścigiem lub turniejem. </w:t>
      </w:r>
    </w:p>
    <w:p w:rsidR="00066D66" w:rsidRDefault="00066D66" w:rsidP="00066D66">
      <w:pPr>
        <w:pStyle w:val="HeadingRunIn"/>
        <w:widowControl w:val="0"/>
        <w:suppressAutoHyphens/>
        <w:spacing w:before="220" w:line="220" w:lineRule="atLeast"/>
        <w:ind w:left="500"/>
        <w:rPr>
          <w:rFonts w:ascii="Times" w:hAnsi="Times" w:cs="Times"/>
          <w:b w:val="0"/>
          <w:bCs w:val="0"/>
          <w:i/>
          <w:iCs/>
          <w:w w:val="100"/>
          <w:sz w:val="19"/>
          <w:szCs w:val="19"/>
        </w:rPr>
      </w:pPr>
      <w:r>
        <w:rPr>
          <w:rFonts w:ascii="Times" w:hAnsi="Times"/>
          <w:b w:val="0"/>
          <w:i/>
          <w:sz w:val="19"/>
        </w:rPr>
        <w:t>Zalecenie ogólne:</w:t>
      </w:r>
    </w:p>
    <w:p w:rsidR="00066D66" w:rsidRDefault="00066D66" w:rsidP="00066D66">
      <w:pPr>
        <w:pStyle w:val="HeadingRunIn"/>
        <w:keepNext w:val="0"/>
        <w:spacing w:before="100" w:line="220" w:lineRule="atLeast"/>
        <w:ind w:left="50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Do kar należą m.in. czerwone i żółte kartki, rzuty wolne, rzuty karne, wykluczenia, ostrzeżenia, dyskwalifikacje itp.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2</w:t>
      </w:r>
      <w:r>
        <w:rPr>
          <w:rFonts w:ascii="Times" w:hAnsi="Times"/>
          <w:b w:val="0"/>
          <w:sz w:val="19"/>
        </w:rPr>
        <w:t xml:space="preserve"> Zabrania się urządzania zakładów o indywidualne występy w meczu, wyścigu lub turnieju zawodników w wieku poniżej 18 lat w chwili zawierania zakładu. </w:t>
      </w:r>
    </w:p>
    <w:p w:rsidR="00066D66" w:rsidRDefault="00066D66" w:rsidP="00066D66">
      <w:pPr>
        <w:pStyle w:val="HeadingRunIn"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t>Rozdział 3 Przepisy szczególne w sprawie ograniczeń i zakazów dotyczących zakładów w piłce nożnej</w:t>
      </w:r>
    </w:p>
    <w:p w:rsidR="00066D66" w:rsidRDefault="00066D66" w:rsidP="008742B9">
      <w:pPr>
        <w:pStyle w:val="HeadingRunIn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 xml:space="preserve"> Zakłady w piłce nożnej, z zastrzeżeniem ograniczeń przewidzianych w rozdziałach 1 i 2, można urządzać wyłącznie w odniesieniu do: 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– czterech najwyższych klas rozgrywkowych w szwedzkim systemie ligowym, 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– meczów w ramach klubowych rozgrywek międzynarodowych, przy czym uczestniczące w nich drużyny muszą należeć do jednej z czterech najwyższych klas rozgrywkowych w danym państwie, 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– meczów Pucharu Szwecji, przy czym uczestniczące w nich drużyny muszą należeć do jednej z czterech najwyższych klas rozgrywkowych w szwedzkim systemie ligowym, oraz</w:t>
      </w:r>
    </w:p>
    <w:p w:rsidR="00066D66" w:rsidRDefault="00066D66" w:rsidP="00066D66">
      <w:pPr>
        <w:pStyle w:val="HeadingRunIn"/>
        <w:keepNext w:val="0"/>
        <w:tabs>
          <w:tab w:val="left" w:pos="240"/>
        </w:tabs>
        <w:spacing w:before="0" w:line="220" w:lineRule="atLeast"/>
        <w:ind w:left="240" w:hanging="24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– meczów kadry narodowej od rocznika U21 do kadry seniorskiej.</w:t>
      </w:r>
    </w:p>
    <w:p w:rsidR="00066D66" w:rsidRDefault="00066D66" w:rsidP="008742B9">
      <w:pPr>
        <w:pStyle w:val="HeadingRunIn"/>
        <w:keepNext w:val="0"/>
        <w:tabs>
          <w:tab w:val="left" w:pos="2940"/>
        </w:tabs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Zabrania się urządzania zakładów na mecze sparingowe lub towarzyskie drużyn innych niż mecze kadry narodowej od rocznika U21 do kadry seniorskiej. </w:t>
      </w:r>
    </w:p>
    <w:p w:rsidR="00066D66" w:rsidRDefault="00066D66" w:rsidP="00066D66">
      <w:pPr>
        <w:pStyle w:val="HeadingRunIn"/>
        <w:widowControl w:val="0"/>
        <w:suppressAutoHyphens/>
        <w:spacing w:before="220" w:line="220" w:lineRule="atLeast"/>
        <w:ind w:left="500"/>
        <w:rPr>
          <w:rFonts w:ascii="Times" w:hAnsi="Times" w:cs="Times"/>
          <w:b w:val="0"/>
          <w:bCs w:val="0"/>
          <w:i/>
          <w:iCs/>
          <w:w w:val="100"/>
          <w:sz w:val="19"/>
          <w:szCs w:val="19"/>
        </w:rPr>
      </w:pPr>
      <w:r>
        <w:rPr>
          <w:rFonts w:ascii="Times" w:hAnsi="Times"/>
          <w:b w:val="0"/>
          <w:i/>
          <w:sz w:val="19"/>
        </w:rPr>
        <w:t>Zalecenie ogólne:</w:t>
      </w:r>
    </w:p>
    <w:p w:rsidR="00066D66" w:rsidRDefault="00066D66" w:rsidP="00066D66">
      <w:pPr>
        <w:pStyle w:val="HeadingRunIn"/>
        <w:keepNext w:val="0"/>
        <w:spacing w:before="100" w:line="220" w:lineRule="atLeast"/>
        <w:ind w:left="50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Do przykładowych meczów w ramach klubowych rozgrywek międzynarodowych należą mecze europejskich pucharów rozgrywane w Szwecji. </w:t>
      </w:r>
    </w:p>
    <w:p w:rsidR="00066D66" w:rsidRDefault="00066D66" w:rsidP="00066D66">
      <w:pPr>
        <w:pStyle w:val="HeadingRunIn"/>
        <w:widowControl w:val="0"/>
        <w:suppressAutoHyphens/>
        <w:spacing w:before="360" w:line="220" w:lineRule="atLeast"/>
        <w:rPr>
          <w:rFonts w:ascii="Times" w:hAnsi="Times" w:cs="Times"/>
          <w:w w:val="100"/>
          <w:sz w:val="21"/>
          <w:szCs w:val="21"/>
        </w:rPr>
      </w:pPr>
      <w:r>
        <w:rPr>
          <w:rFonts w:ascii="Times" w:hAnsi="Times"/>
          <w:sz w:val="21"/>
        </w:rPr>
        <w:t>Rozdział 4 Zgłaszanie odnotowanych manipulacji lub podejrzeń manipulacji w zawodach sportowych, w odniesieniu do których są urządzane zakłady</w:t>
      </w:r>
    </w:p>
    <w:p w:rsidR="00066D66" w:rsidRDefault="00066D66" w:rsidP="00066D66">
      <w:pPr>
        <w:pStyle w:val="HeadingRunIn"/>
        <w:keepNext w:val="0"/>
        <w:spacing w:before="10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sz w:val="19"/>
        </w:rPr>
        <w:t>§ 1</w:t>
      </w:r>
      <w:r>
        <w:rPr>
          <w:rFonts w:ascii="Times" w:hAnsi="Times"/>
          <w:b w:val="0"/>
          <w:sz w:val="19"/>
        </w:rPr>
        <w:t> Do 31 marca każdego roku posiadacze licencji przesyłają do szwedzkiego Urzędu ds. Gier Losowych sprawozdanie z odnotowanych manipulacji lub podejrzeń manipulacji w zawodach sportowych, w odniesieniu do których są urządzane zakłady zgodnie z rozdziałem 8, § 1, akapit trzeci przepisów i ogólnych zaleceń szwedzkiego Urzędu ds. Gier Losowych (LIFS 2018:8) w sprawie wymagań technicznych i akredytacji organów właściwych do kontroli, badania i certyfikacji gier losowych.</w:t>
      </w:r>
    </w:p>
    <w:p w:rsidR="00066D66" w:rsidRDefault="00066D66" w:rsidP="008742B9">
      <w:pPr>
        <w:pStyle w:val="HeadingRunIn"/>
        <w:keepNext w:val="0"/>
        <w:tabs>
          <w:tab w:val="left" w:pos="2940"/>
        </w:tabs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 xml:space="preserve">Każda informacja dotycząca odnotowanej manipulacji lub jej podejrzenia powinna być opatrzona datą podejrzenia lub wykrytego zamiaru. </w:t>
      </w:r>
    </w:p>
    <w:p w:rsidR="00066D66" w:rsidRDefault="00066D66" w:rsidP="00066D66">
      <w:pPr>
        <w:pStyle w:val="HeadingRunIn"/>
        <w:widowControl w:val="0"/>
        <w:suppressAutoHyphens/>
        <w:spacing w:before="220" w:line="220" w:lineRule="atLeast"/>
        <w:ind w:left="500"/>
        <w:rPr>
          <w:rFonts w:ascii="Times" w:hAnsi="Times" w:cs="Times"/>
          <w:b w:val="0"/>
          <w:bCs w:val="0"/>
          <w:i/>
          <w:iCs/>
          <w:w w:val="100"/>
          <w:sz w:val="19"/>
          <w:szCs w:val="19"/>
        </w:rPr>
      </w:pPr>
      <w:r>
        <w:rPr>
          <w:rFonts w:ascii="Times" w:hAnsi="Times"/>
          <w:b w:val="0"/>
          <w:i/>
          <w:sz w:val="19"/>
        </w:rPr>
        <w:lastRenderedPageBreak/>
        <w:t>Zalecenie ogólne:</w:t>
      </w:r>
    </w:p>
    <w:p w:rsidR="00066D66" w:rsidRDefault="00066D66" w:rsidP="00066D66">
      <w:pPr>
        <w:pStyle w:val="HeadingRunIn"/>
        <w:keepNext w:val="0"/>
        <w:spacing w:before="100" w:line="220" w:lineRule="atLeast"/>
        <w:ind w:left="50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Zgłoszenie odnotowanej manipulacji lub podejrzenia manipulacji powinno dotyczyć wyłącznie meczów, wyścigów lub turniejów. Jeżeli to możliwe, w sprawozdaniu z odnotowanych manipulacji lub ich podejrzeń nie należy zamieszczać danych osobowych. Posiadacze licencji powinni stale rejestrować podejrzenia manipulacji dotyczące zawodów.</w:t>
      </w:r>
    </w:p>
    <w:p w:rsidR="00066D66" w:rsidRDefault="00066D66" w:rsidP="00066D66">
      <w:pPr>
        <w:pStyle w:val="HeadingRunIn"/>
        <w:keepNext w:val="0"/>
        <w:pBdr>
          <w:top w:val="single" w:sz="8" w:space="0" w:color="auto"/>
        </w:pBdr>
        <w:spacing w:before="0" w:line="220" w:lineRule="atLeast"/>
        <w:ind w:firstLine="180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Niniejsze przepisy i ogólne zalecenia wchodzą w życie z dniem 1 stycznia 2021 r.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W imieniu szwedzkiego Urzędu ds. Gier Hazardowych</w:t>
      </w:r>
    </w:p>
    <w:p w:rsidR="00066D66" w:rsidRDefault="00066D66" w:rsidP="00066D66">
      <w:pPr>
        <w:pStyle w:val="HeadingRunIn"/>
        <w:keepNext w:val="0"/>
        <w:tabs>
          <w:tab w:val="left" w:pos="3060"/>
        </w:tabs>
        <w:spacing w:before="220" w:line="220" w:lineRule="atLeast"/>
        <w:jc w:val="both"/>
        <w:rPr>
          <w:rFonts w:ascii="Times" w:hAnsi="Times" w:cs="Times"/>
          <w:b w:val="0"/>
          <w:bCs w:val="0"/>
          <w:w w:val="100"/>
          <w:sz w:val="19"/>
          <w:szCs w:val="19"/>
        </w:rPr>
      </w:pPr>
      <w:r>
        <w:rPr>
          <w:rFonts w:ascii="Times" w:hAnsi="Times"/>
          <w:b w:val="0"/>
          <w:sz w:val="19"/>
        </w:rPr>
        <w:t>CAMILLA ROSENBERG</w:t>
      </w:r>
    </w:p>
    <w:p w:rsidR="00066D66" w:rsidRDefault="00066D66" w:rsidP="008742B9">
      <w:pPr>
        <w:pStyle w:val="HeadingRunIn"/>
        <w:keepNext w:val="0"/>
        <w:tabs>
          <w:tab w:val="left" w:pos="2940"/>
        </w:tabs>
        <w:spacing w:before="0" w:line="220" w:lineRule="atLeast"/>
        <w:jc w:val="center"/>
        <w:rPr>
          <w:rFonts w:ascii="Times" w:hAnsi="Times" w:cs="Times"/>
          <w:b w:val="0"/>
          <w:bCs w:val="0"/>
          <w:w w:val="100"/>
          <w:sz w:val="19"/>
          <w:szCs w:val="19"/>
        </w:rPr>
      </w:pPr>
      <w:proofErr w:type="spellStart"/>
      <w:r>
        <w:rPr>
          <w:rFonts w:ascii="Times" w:hAnsi="Times"/>
          <w:b w:val="0"/>
          <w:sz w:val="19"/>
        </w:rPr>
        <w:t>Johan</w:t>
      </w:r>
      <w:proofErr w:type="spellEnd"/>
      <w:r>
        <w:rPr>
          <w:rFonts w:ascii="Times" w:hAnsi="Times"/>
          <w:b w:val="0"/>
          <w:sz w:val="19"/>
        </w:rPr>
        <w:t xml:space="preserve"> </w:t>
      </w:r>
      <w:proofErr w:type="spellStart"/>
      <w:r>
        <w:rPr>
          <w:rFonts w:ascii="Times" w:hAnsi="Times"/>
          <w:b w:val="0"/>
          <w:sz w:val="19"/>
        </w:rPr>
        <w:t>Röhr</w:t>
      </w:r>
      <w:proofErr w:type="spellEnd"/>
    </w:p>
    <w:sectPr w:rsidR="00066D66" w:rsidSect="00066D66">
      <w:headerReference w:type="default" r:id="rId9"/>
      <w:pgSz w:w="9356" w:h="13721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514" w:rsidRDefault="00867514" w:rsidP="00066D66">
      <w:pPr>
        <w:spacing w:after="0" w:line="240" w:lineRule="auto"/>
      </w:pPr>
      <w:r>
        <w:separator/>
      </w:r>
    </w:p>
  </w:endnote>
  <w:endnote w:type="continuationSeparator" w:id="0">
    <w:p w:rsidR="00867514" w:rsidRDefault="00867514" w:rsidP="000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514" w:rsidRDefault="00867514" w:rsidP="00066D66">
      <w:pPr>
        <w:spacing w:after="0" w:line="240" w:lineRule="auto"/>
      </w:pPr>
      <w:r>
        <w:separator/>
      </w:r>
    </w:p>
  </w:footnote>
  <w:footnote w:type="continuationSeparator" w:id="0">
    <w:p w:rsidR="00867514" w:rsidRDefault="00867514" w:rsidP="00066D66">
      <w:pPr>
        <w:spacing w:after="0" w:line="240" w:lineRule="auto"/>
      </w:pPr>
      <w:r>
        <w:continuationSeparator/>
      </w:r>
    </w:p>
  </w:footnote>
  <w:footnote w:id="1">
    <w:p w:rsidR="00066D66" w:rsidRPr="008742B9" w:rsidRDefault="00066D66" w:rsidP="00066D66">
      <w:pPr>
        <w:pStyle w:val="HeadingRunIn"/>
        <w:keepNext w:val="0"/>
        <w:widowControl w:val="0"/>
        <w:tabs>
          <w:tab w:val="left" w:pos="100"/>
        </w:tabs>
        <w:spacing w:before="0" w:line="160" w:lineRule="atLeast"/>
        <w:jc w:val="both"/>
        <w:rPr>
          <w:rFonts w:ascii="Times" w:hAnsi="Times" w:cs="Times"/>
          <w:b w:val="0"/>
          <w:bCs w:val="0"/>
          <w:sz w:val="17"/>
          <w:szCs w:val="17"/>
        </w:rPr>
      </w:pPr>
      <w:r>
        <w:rPr>
          <w:rFonts w:ascii="Times" w:hAnsi="Times" w:cs="Times"/>
          <w:b w:val="0"/>
          <w:bCs w:val="0"/>
          <w:sz w:val="17"/>
          <w:szCs w:val="17"/>
          <w:vertAlign w:val="superscript"/>
          <w:lang w:val="sv-SE"/>
        </w:rPr>
        <w:footnoteRef/>
      </w:r>
      <w:r>
        <w:t xml:space="preserve"> </w:t>
      </w:r>
      <w:r>
        <w:rPr>
          <w:rFonts w:ascii="Times" w:hAnsi="Times"/>
          <w:b w:val="0"/>
          <w:sz w:val="17"/>
        </w:rPr>
        <w:t>Zob. dyrektywa (UE) 2015/1535 Parlamentu Europejskiego i Rady z dnia 9 września 2015 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D11" w:rsidRDefault="00867514">
    <w:pPr>
      <w:autoSpaceDE w:val="0"/>
      <w:autoSpaceDN w:val="0"/>
      <w:adjustRightInd w:val="0"/>
      <w:spacing w:after="0" w:line="240" w:lineRule="auto"/>
      <w:rPr>
        <w:rFonts w:ascii="Symbol" w:hAnsi="Symbo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130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66"/>
    <w:rsid w:val="00066D66"/>
    <w:rsid w:val="002B6792"/>
    <w:rsid w:val="00867514"/>
    <w:rsid w:val="008742B9"/>
    <w:rsid w:val="00CC2B55"/>
    <w:rsid w:val="00D04EA3"/>
    <w:rsid w:val="00D97284"/>
    <w:rsid w:val="00E32B38"/>
    <w:rsid w:val="00E578EB"/>
    <w:rsid w:val="00F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A9232"/>
  <w15:chartTrackingRefBased/>
  <w15:docId w15:val="{B189AE44-5298-4600-B0D9-F649FFF2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RunIn">
    <w:name w:val="HeadingRunIn"/>
    <w:next w:val="Normal"/>
    <w:rsid w:val="00066D66"/>
    <w:pPr>
      <w:keepNext/>
      <w:autoSpaceDE w:val="0"/>
      <w:autoSpaceDN w:val="0"/>
      <w:adjustRightInd w:val="0"/>
      <w:spacing w:before="120" w:after="0" w:line="280" w:lineRule="atLeast"/>
    </w:pPr>
    <w:rPr>
      <w:rFonts w:ascii="Times New Roman" w:hAnsi="Times New Roman" w:cs="Times New Roman"/>
      <w:b/>
      <w:bCs/>
      <w:color w:val="000000"/>
      <w:w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B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B38"/>
  </w:style>
  <w:style w:type="paragraph" w:styleId="Footer">
    <w:name w:val="footer"/>
    <w:basedOn w:val="Normal"/>
    <w:link w:val="FooterChar"/>
    <w:uiPriority w:val="99"/>
    <w:unhideWhenUsed/>
    <w:rsid w:val="00E32B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09100-FA1D-4B3E-A766-3F5A89490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BB8B8-7281-4125-9D08-F459F5345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2197A-D8AC-4B17-82B2-EE85EAECD7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3859</Characters>
  <Application>Microsoft Office Word</Application>
  <DocSecurity>0</DocSecurity>
  <Lines>32</Lines>
  <Paragraphs>9</Paragraphs>
  <ScaleCrop>false</ScaleCrop>
  <Company>Elanders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Göran</dc:creator>
  <cp:keywords/>
  <dc:description/>
  <cp:lastModifiedBy>Ke, Tingting</cp:lastModifiedBy>
  <cp:revision>6</cp:revision>
  <dcterms:created xsi:type="dcterms:W3CDTF">2020-09-25T09:09:00Z</dcterms:created>
  <dcterms:modified xsi:type="dcterms:W3CDTF">2020-11-27T09:22:00Z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