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EA3" w:rsidRPr="00D04EA3" w:rsidRDefault="00D04EA3" w:rsidP="00066D66">
      <w:pPr>
        <w:pStyle w:val="HeadingRunIn"/>
        <w:keepNext w:val="0"/>
        <w:widowControl w:val="0"/>
        <w:suppressAutoHyphens/>
        <w:spacing w:before="0" w:line="320" w:lineRule="atLeast"/>
        <w:rPr>
          <w:rFonts w:ascii="Times" w:hAnsi="Times" w:cs="Times"/>
          <w:b w:val="0"/>
          <w:w w:val="100"/>
        </w:rPr>
      </w:pPr>
      <w:r>
        <w:rPr>
          <w:rFonts w:ascii="Courier New" w:hAnsi="Courier New"/>
          <w:b w:val="0"/>
          <w:sz w:val="20"/>
        </w:rPr>
        <w:t>1. ---</w:t>
      </w:r>
      <w:r w:rsidR="008E4AAA">
        <w:rPr>
          <w:rFonts w:ascii="Courier New" w:hAnsi="Courier New"/>
          <w:b w:val="0"/>
          <w:sz w:val="20"/>
        </w:rPr>
        <w:t>-</w:t>
      </w:r>
      <w:r>
        <w:rPr>
          <w:rFonts w:ascii="Courier New" w:hAnsi="Courier New"/>
          <w:b w:val="0"/>
          <w:sz w:val="20"/>
        </w:rPr>
        <w:t>--IND- 2020 0314 S-- RO- ------ 20201130</w:t>
      </w:r>
      <w:r>
        <w:rPr>
          <w:rFonts w:ascii="Calibri" w:hAnsi="Calibri"/>
          <w:b w:val="0"/>
          <w:sz w:val="20"/>
        </w:rPr>
        <w:t xml:space="preserve"> </w:t>
      </w:r>
      <w:r>
        <w:rPr>
          <w:rFonts w:ascii="Courier New" w:hAnsi="Courier New"/>
          <w:b w:val="0"/>
          <w:sz w:val="20"/>
        </w:rPr>
        <w:t>--- --- FINAL</w:t>
      </w:r>
    </w:p>
    <w:p w:rsidR="00066D66" w:rsidRDefault="00066D66" w:rsidP="00066D66">
      <w:pPr>
        <w:pStyle w:val="HeadingRunIn"/>
        <w:keepNext w:val="0"/>
        <w:widowControl w:val="0"/>
        <w:suppressAutoHyphens/>
        <w:spacing w:before="0" w:line="320" w:lineRule="atLeast"/>
        <w:rPr>
          <w:rFonts w:ascii="Times" w:hAnsi="Times" w:cs="Times"/>
          <w:w w:val="100"/>
        </w:rPr>
      </w:pPr>
      <w:r>
        <w:rPr>
          <w:rFonts w:ascii="Times" w:hAnsi="Times"/>
        </w:rPr>
        <w:t>SIFS 2020:2</w:t>
      </w:r>
    </w:p>
    <w:p w:rsidR="00066D66" w:rsidRDefault="00066D66" w:rsidP="00066D66">
      <w:pPr>
        <w:pStyle w:val="HeadingRunIn"/>
        <w:keepNext w:val="0"/>
        <w:widowControl w:val="0"/>
        <w:suppressAutoHyphens/>
        <w:spacing w:before="0" w:line="200" w:lineRule="atLeast"/>
        <w:rPr>
          <w:rFonts w:ascii="Times" w:hAnsi="Times" w:cs="Times"/>
          <w:b w:val="0"/>
          <w:bCs w:val="0"/>
          <w:w w:val="100"/>
          <w:sz w:val="17"/>
          <w:szCs w:val="17"/>
        </w:rPr>
      </w:pPr>
      <w:r>
        <w:rPr>
          <w:rFonts w:ascii="Times" w:hAnsi="Times"/>
          <w:b w:val="0"/>
          <w:sz w:val="17"/>
        </w:rPr>
        <w:t>Publicată</w:t>
      </w:r>
      <w:r>
        <w:rPr>
          <w:rFonts w:ascii="Times" w:hAnsi="Times"/>
          <w:b w:val="0"/>
          <w:sz w:val="17"/>
        </w:rPr>
        <w:br/>
        <w:t>la 1 octombrie 2020</w:t>
      </w:r>
    </w:p>
    <w:p w:rsidR="00D97284" w:rsidRDefault="00D97284"/>
    <w:p w:rsidR="00066D66" w:rsidRDefault="00066D66" w:rsidP="00066D66">
      <w:pPr>
        <w:pStyle w:val="HeadingRunIn"/>
        <w:keepNext w:val="0"/>
        <w:widowControl w:val="0"/>
        <w:suppressAutoHyphens/>
        <w:spacing w:before="0" w:line="240" w:lineRule="atLeast"/>
        <w:ind w:right="240"/>
        <w:rPr>
          <w:rFonts w:ascii="Times" w:hAnsi="Times" w:cs="Times"/>
          <w:w w:val="100"/>
          <w:sz w:val="26"/>
          <w:szCs w:val="26"/>
        </w:rPr>
      </w:pPr>
      <w:r>
        <w:rPr>
          <w:rFonts w:ascii="Times" w:hAnsi="Times"/>
          <w:sz w:val="26"/>
        </w:rPr>
        <w:t>Regulamentele și recomandările generale ale Autorității Jocurilor de Noroc din Suedia privind restricțiile și interdicțiile anumitor tipuri de pariuri pentru a combate manipularea competițiilor sportive (inclusiv aranjarea meciurilor), precum și raportarea manipulării suspectate;</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b w:val="0"/>
          <w:sz w:val="19"/>
        </w:rPr>
        <w:t>adoptate la 14 septembrie 2020.</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b w:val="0"/>
          <w:sz w:val="19"/>
        </w:rPr>
        <w:t>În conformitate cu capitolul 16 articolul 6 primul paragraf și articolul 11 punctul 2 din Regulamentul privind jocurile de noroc (2018:1475), Autoritatea Jocurilor de Noroc din Suedia</w:t>
      </w:r>
      <w:r>
        <w:rPr>
          <w:rFonts w:ascii="Times" w:hAnsi="Times" w:cs="Times"/>
          <w:b w:val="0"/>
          <w:bCs w:val="0"/>
          <w:w w:val="100"/>
          <w:sz w:val="19"/>
          <w:szCs w:val="19"/>
          <w:vertAlign w:val="superscript"/>
          <w:lang w:val="sv-SE"/>
        </w:rPr>
        <w:footnoteReference w:id="1"/>
      </w:r>
      <w:r>
        <w:rPr>
          <w:rFonts w:ascii="Times" w:hAnsi="Times"/>
          <w:b w:val="0"/>
          <w:sz w:val="19"/>
        </w:rPr>
        <w:t xml:space="preserve"> prevede următoarele și adoptă următoarele recomandări generale.</w:t>
      </w:r>
    </w:p>
    <w:p w:rsidR="00066D66" w:rsidRDefault="00066D66" w:rsidP="00066D66">
      <w:pPr>
        <w:pStyle w:val="HeadingRunIn"/>
        <w:widowControl w:val="0"/>
        <w:suppressAutoHyphens/>
        <w:spacing w:before="360" w:line="220" w:lineRule="atLeast"/>
        <w:rPr>
          <w:rFonts w:ascii="Times" w:hAnsi="Times" w:cs="Times"/>
          <w:w w:val="100"/>
          <w:sz w:val="21"/>
          <w:szCs w:val="21"/>
        </w:rPr>
      </w:pPr>
      <w:r>
        <w:rPr>
          <w:rFonts w:ascii="Times" w:hAnsi="Times"/>
          <w:sz w:val="21"/>
        </w:rPr>
        <w:t>Capitolul 1 Domeniul de aplicare și termenii utilizați</w:t>
      </w:r>
    </w:p>
    <w:p w:rsidR="00066D66" w:rsidRDefault="00066D66" w:rsidP="00066D66">
      <w:pPr>
        <w:pStyle w:val="HeadingRunIn"/>
        <w:keepNext w:val="0"/>
        <w:spacing w:before="100" w:line="220" w:lineRule="atLeast"/>
        <w:jc w:val="both"/>
        <w:rPr>
          <w:rFonts w:ascii="Times" w:hAnsi="Times" w:cs="Times"/>
          <w:b w:val="0"/>
          <w:bCs w:val="0"/>
          <w:w w:val="100"/>
          <w:sz w:val="19"/>
          <w:szCs w:val="19"/>
        </w:rPr>
      </w:pPr>
      <w:r>
        <w:rPr>
          <w:rFonts w:ascii="Times" w:hAnsi="Times"/>
          <w:sz w:val="19"/>
        </w:rPr>
        <w:t>Articolul 1</w:t>
      </w:r>
      <w:r>
        <w:rPr>
          <w:rFonts w:ascii="Times" w:hAnsi="Times"/>
          <w:b w:val="0"/>
          <w:sz w:val="19"/>
        </w:rPr>
        <w:t> Prezentele regulamente și recomandări generale conțin prevederi suplimentare la Legea privind jocurile de noroc (2018:1138) și  Regulamentul privind jocurile de noroc (2018:1475). Regulamentele se aplică pariurilor sportive – plasate în Suedia – pentru cei care dețin licență de furnizare a serviciilor de pariere în conformitate cu capitolul 8 din Legea privind jocurile de noroc.</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sz w:val="19"/>
        </w:rPr>
        <w:t>Articolul 2</w:t>
      </w:r>
      <w:r>
        <w:rPr>
          <w:rFonts w:ascii="Times" w:hAnsi="Times"/>
          <w:b w:val="0"/>
          <w:sz w:val="19"/>
        </w:rPr>
        <w:t> Termenii și expresiile utilizate în regulamente au aceeași semnificație ca cele din Legea privind jocurile de noroc (2018:1138) și din Regulamentul privind jocurile de noroc (2018:1475).</w:t>
      </w:r>
    </w:p>
    <w:p w:rsidR="00066D66" w:rsidRDefault="00066D66" w:rsidP="00066D66">
      <w:pPr>
        <w:pStyle w:val="HeadingRunIn"/>
        <w:keepNext w:val="0"/>
        <w:tabs>
          <w:tab w:val="left" w:pos="3060"/>
        </w:tabs>
        <w:spacing w:before="0" w:line="220" w:lineRule="atLeast"/>
        <w:ind w:firstLine="180"/>
        <w:jc w:val="both"/>
        <w:rPr>
          <w:rFonts w:ascii="Times" w:hAnsi="Times" w:cs="Times"/>
          <w:b w:val="0"/>
          <w:bCs w:val="0"/>
          <w:w w:val="100"/>
          <w:sz w:val="19"/>
          <w:szCs w:val="19"/>
        </w:rPr>
      </w:pPr>
      <w:r>
        <w:rPr>
          <w:rFonts w:ascii="Times" w:hAnsi="Times"/>
          <w:b w:val="0"/>
          <w:sz w:val="19"/>
        </w:rPr>
        <w:t>În prezentele regulamente și recomandări generale, sport înseamnă orice competiție sportivă individuală sau de echipă care este deseori asociată cu activitatea fizică și care necesită abilitate și este determinată atât de abilitate, cât și de noroc, unde abilitățile participanților pot varia și afecta performanța într-o mare măsură și au deseori o natură competitivă, de ex. bandy, baschet, sporturi electronice, evenimente ecvestre, golf, hochei pe gheață, sporturi cu motor, schi, tir sau tenis.</w:t>
      </w:r>
    </w:p>
    <w:p w:rsidR="00066D66" w:rsidRDefault="00066D66" w:rsidP="008E4AAA">
      <w:pPr>
        <w:pStyle w:val="HeadingRunIn"/>
        <w:keepLines/>
        <w:widowControl w:val="0"/>
        <w:suppressAutoHyphens/>
        <w:spacing w:before="360" w:line="220" w:lineRule="atLeast"/>
        <w:rPr>
          <w:rFonts w:ascii="Times" w:hAnsi="Times" w:cs="Times"/>
          <w:w w:val="100"/>
          <w:sz w:val="21"/>
          <w:szCs w:val="21"/>
        </w:rPr>
      </w:pPr>
      <w:r>
        <w:rPr>
          <w:rFonts w:ascii="Times" w:hAnsi="Times"/>
          <w:sz w:val="21"/>
        </w:rPr>
        <w:lastRenderedPageBreak/>
        <w:t>Capitolul 2 Interdicția de pariere pe a</w:t>
      </w:r>
      <w:bookmarkStart w:id="0" w:name="_GoBack"/>
      <w:bookmarkEnd w:id="0"/>
      <w:r>
        <w:rPr>
          <w:rFonts w:ascii="Times" w:hAnsi="Times"/>
          <w:sz w:val="21"/>
        </w:rPr>
        <w:t>numite penalizări și performanța minorilor</w:t>
      </w:r>
    </w:p>
    <w:p w:rsidR="00066D66" w:rsidRDefault="00066D66" w:rsidP="00066D66">
      <w:pPr>
        <w:pStyle w:val="HeadingRunIn"/>
        <w:keepNext w:val="0"/>
        <w:spacing w:before="100" w:line="220" w:lineRule="atLeast"/>
        <w:jc w:val="both"/>
        <w:rPr>
          <w:rFonts w:ascii="Times" w:hAnsi="Times" w:cs="Times"/>
          <w:b w:val="0"/>
          <w:bCs w:val="0"/>
          <w:w w:val="100"/>
          <w:sz w:val="19"/>
          <w:szCs w:val="19"/>
        </w:rPr>
      </w:pPr>
      <w:r>
        <w:rPr>
          <w:rFonts w:ascii="Times" w:hAnsi="Times"/>
          <w:sz w:val="19"/>
        </w:rPr>
        <w:t>Articolul 1</w:t>
      </w:r>
      <w:r>
        <w:rPr>
          <w:rFonts w:ascii="Times" w:hAnsi="Times"/>
          <w:b w:val="0"/>
          <w:sz w:val="19"/>
        </w:rPr>
        <w:t xml:space="preserve"> Parierea pe penalizări nu trebuie furnizată pentru încălcările regulilor cu privire la un meci, o cursă sau un turneu. </w:t>
      </w:r>
    </w:p>
    <w:p w:rsidR="00066D66" w:rsidRDefault="00066D66" w:rsidP="00066D66">
      <w:pPr>
        <w:pStyle w:val="HeadingRunIn"/>
        <w:widowControl w:val="0"/>
        <w:suppressAutoHyphens/>
        <w:spacing w:before="220" w:line="220" w:lineRule="atLeast"/>
        <w:ind w:left="500"/>
        <w:rPr>
          <w:rFonts w:ascii="Times" w:hAnsi="Times" w:cs="Times"/>
          <w:b w:val="0"/>
          <w:bCs w:val="0"/>
          <w:i/>
          <w:iCs/>
          <w:w w:val="100"/>
          <w:sz w:val="19"/>
          <w:szCs w:val="19"/>
        </w:rPr>
      </w:pPr>
      <w:r>
        <w:rPr>
          <w:rFonts w:ascii="Times" w:hAnsi="Times"/>
          <w:b w:val="0"/>
          <w:i/>
          <w:sz w:val="19"/>
        </w:rPr>
        <w:t>Recomandări generale:</w:t>
      </w:r>
    </w:p>
    <w:p w:rsidR="00066D66" w:rsidRDefault="00066D66" w:rsidP="00066D66">
      <w:pPr>
        <w:pStyle w:val="HeadingRunIn"/>
        <w:keepNext w:val="0"/>
        <w:spacing w:before="100" w:line="220" w:lineRule="atLeast"/>
        <w:ind w:left="500"/>
        <w:jc w:val="both"/>
        <w:rPr>
          <w:rFonts w:ascii="Times" w:hAnsi="Times" w:cs="Times"/>
          <w:b w:val="0"/>
          <w:bCs w:val="0"/>
          <w:w w:val="100"/>
          <w:sz w:val="19"/>
          <w:szCs w:val="19"/>
        </w:rPr>
      </w:pPr>
      <w:r>
        <w:rPr>
          <w:rFonts w:ascii="Times" w:hAnsi="Times"/>
          <w:b w:val="0"/>
          <w:sz w:val="19"/>
        </w:rPr>
        <w:t xml:space="preserve">Penalizările includ cartonașe roșii sau galbene, aruncări libere, lovitori de penalti, șuturi de penalti, </w:t>
      </w:r>
      <w:proofErr w:type="spellStart"/>
      <w:r>
        <w:rPr>
          <w:rFonts w:ascii="Times" w:hAnsi="Times"/>
          <w:b w:val="0"/>
          <w:sz w:val="19"/>
        </w:rPr>
        <w:t>ejectări</w:t>
      </w:r>
      <w:proofErr w:type="spellEnd"/>
      <w:r>
        <w:rPr>
          <w:rFonts w:ascii="Times" w:hAnsi="Times"/>
          <w:b w:val="0"/>
          <w:sz w:val="19"/>
        </w:rPr>
        <w:t>, avertismente, descalificări etc.</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sz w:val="19"/>
        </w:rPr>
        <w:t>Articolul 2</w:t>
      </w:r>
      <w:r>
        <w:rPr>
          <w:rFonts w:ascii="Times" w:hAnsi="Times"/>
          <w:b w:val="0"/>
          <w:sz w:val="19"/>
        </w:rPr>
        <w:t xml:space="preserve"> Parierea nu trebuie furnizată pentru </w:t>
      </w:r>
      <w:proofErr w:type="spellStart"/>
      <w:r>
        <w:rPr>
          <w:rFonts w:ascii="Times" w:hAnsi="Times"/>
          <w:b w:val="0"/>
          <w:sz w:val="19"/>
        </w:rPr>
        <w:t>peformanța</w:t>
      </w:r>
      <w:proofErr w:type="spellEnd"/>
      <w:r>
        <w:rPr>
          <w:rFonts w:ascii="Times" w:hAnsi="Times"/>
          <w:b w:val="0"/>
          <w:sz w:val="19"/>
        </w:rPr>
        <w:t xml:space="preserve"> individuală dintr-un meci, cursă sau turneu pentru un participant care la momentul ofertei de pariere avea sub 18 ani. </w:t>
      </w:r>
    </w:p>
    <w:p w:rsidR="00066D66" w:rsidRDefault="00066D66" w:rsidP="00066D66">
      <w:pPr>
        <w:pStyle w:val="HeadingRunIn"/>
        <w:widowControl w:val="0"/>
        <w:suppressAutoHyphens/>
        <w:spacing w:before="360" w:line="220" w:lineRule="atLeast"/>
        <w:rPr>
          <w:rFonts w:ascii="Times" w:hAnsi="Times" w:cs="Times"/>
          <w:w w:val="100"/>
          <w:sz w:val="21"/>
          <w:szCs w:val="21"/>
        </w:rPr>
      </w:pPr>
      <w:r>
        <w:rPr>
          <w:rFonts w:ascii="Times" w:hAnsi="Times"/>
          <w:sz w:val="21"/>
        </w:rPr>
        <w:t xml:space="preserve">Capitolul 13 </w:t>
      </w:r>
      <w:proofErr w:type="spellStart"/>
      <w:r>
        <w:rPr>
          <w:rFonts w:ascii="Times" w:hAnsi="Times"/>
          <w:sz w:val="21"/>
        </w:rPr>
        <w:t>Specificitățile</w:t>
      </w:r>
      <w:proofErr w:type="spellEnd"/>
      <w:r>
        <w:rPr>
          <w:rFonts w:ascii="Times" w:hAnsi="Times"/>
          <w:sz w:val="21"/>
        </w:rPr>
        <w:t xml:space="preserve"> restricțiilor și interdicțiilor privind parierea pe fotbal</w:t>
      </w:r>
    </w:p>
    <w:p w:rsidR="00066D66" w:rsidRDefault="00066D66" w:rsidP="008742B9">
      <w:pPr>
        <w:pStyle w:val="HeadingRunIn"/>
        <w:spacing w:before="100" w:line="220" w:lineRule="atLeast"/>
        <w:jc w:val="both"/>
        <w:rPr>
          <w:rFonts w:ascii="Times" w:hAnsi="Times" w:cs="Times"/>
          <w:b w:val="0"/>
          <w:bCs w:val="0"/>
          <w:w w:val="100"/>
          <w:sz w:val="19"/>
          <w:szCs w:val="19"/>
        </w:rPr>
      </w:pPr>
      <w:r>
        <w:rPr>
          <w:rFonts w:ascii="Times" w:hAnsi="Times"/>
          <w:sz w:val="19"/>
        </w:rPr>
        <w:t>Articolul 1</w:t>
      </w:r>
      <w:r>
        <w:rPr>
          <w:rFonts w:ascii="Times" w:hAnsi="Times"/>
          <w:b w:val="0"/>
          <w:sz w:val="19"/>
        </w:rPr>
        <w:t xml:space="preserve"> Parierea pe fotbal, cu restricțiile specificate în capitolele 1 și 2, poate fi furnizată numai pentru </w:t>
      </w:r>
    </w:p>
    <w:p w:rsidR="00066D66" w:rsidRDefault="00066D66" w:rsidP="00066D66">
      <w:pPr>
        <w:pStyle w:val="HeadingRunIn"/>
        <w:keepNext w:val="0"/>
        <w:tabs>
          <w:tab w:val="left" w:pos="240"/>
        </w:tabs>
        <w:spacing w:before="0" w:line="220" w:lineRule="atLeast"/>
        <w:ind w:left="240" w:hanging="240"/>
        <w:jc w:val="both"/>
        <w:rPr>
          <w:rFonts w:ascii="Times" w:hAnsi="Times" w:cs="Times"/>
          <w:b w:val="0"/>
          <w:bCs w:val="0"/>
          <w:w w:val="100"/>
          <w:sz w:val="19"/>
          <w:szCs w:val="19"/>
        </w:rPr>
      </w:pPr>
      <w:r>
        <w:rPr>
          <w:rFonts w:ascii="Times" w:hAnsi="Times"/>
          <w:b w:val="0"/>
          <w:sz w:val="19"/>
        </w:rPr>
        <w:t>–</w:t>
      </w:r>
      <w:r>
        <w:rPr>
          <w:rFonts w:ascii="Times" w:hAnsi="Times"/>
          <w:b w:val="0"/>
          <w:sz w:val="19"/>
        </w:rPr>
        <w:tab/>
        <w:t xml:space="preserve">primele patru cele mai mari niveluri de ligă din sistemul de ligă suedez, </w:t>
      </w:r>
    </w:p>
    <w:p w:rsidR="00066D66" w:rsidRDefault="00066D66" w:rsidP="00066D66">
      <w:pPr>
        <w:pStyle w:val="HeadingRunIn"/>
        <w:keepNext w:val="0"/>
        <w:tabs>
          <w:tab w:val="left" w:pos="240"/>
        </w:tabs>
        <w:spacing w:before="0" w:line="220" w:lineRule="atLeast"/>
        <w:ind w:left="240" w:hanging="240"/>
        <w:jc w:val="both"/>
        <w:rPr>
          <w:rFonts w:ascii="Times" w:hAnsi="Times" w:cs="Times"/>
          <w:b w:val="0"/>
          <w:bCs w:val="0"/>
          <w:w w:val="100"/>
          <w:sz w:val="19"/>
          <w:szCs w:val="19"/>
        </w:rPr>
      </w:pPr>
      <w:r>
        <w:rPr>
          <w:rFonts w:ascii="Times" w:hAnsi="Times"/>
          <w:b w:val="0"/>
          <w:sz w:val="19"/>
        </w:rPr>
        <w:t>–</w:t>
      </w:r>
      <w:r>
        <w:rPr>
          <w:rFonts w:ascii="Times" w:hAnsi="Times"/>
          <w:b w:val="0"/>
          <w:sz w:val="19"/>
        </w:rPr>
        <w:tab/>
        <w:t xml:space="preserve">meciurile între echipe la nivel de club internațional unde echipele fac parte din primele patru cele mai mari niveluri de ligă din țările respective, </w:t>
      </w:r>
    </w:p>
    <w:p w:rsidR="00066D66" w:rsidRDefault="00066D66" w:rsidP="00066D66">
      <w:pPr>
        <w:pStyle w:val="HeadingRunIn"/>
        <w:keepNext w:val="0"/>
        <w:tabs>
          <w:tab w:val="left" w:pos="240"/>
        </w:tabs>
        <w:spacing w:before="0" w:line="220" w:lineRule="atLeast"/>
        <w:ind w:left="240" w:hanging="240"/>
        <w:jc w:val="both"/>
        <w:rPr>
          <w:rFonts w:ascii="Times" w:hAnsi="Times" w:cs="Times"/>
          <w:b w:val="0"/>
          <w:bCs w:val="0"/>
          <w:w w:val="100"/>
          <w:sz w:val="19"/>
          <w:szCs w:val="19"/>
        </w:rPr>
      </w:pPr>
      <w:r>
        <w:rPr>
          <w:rFonts w:ascii="Times" w:hAnsi="Times"/>
          <w:b w:val="0"/>
          <w:sz w:val="19"/>
        </w:rPr>
        <w:t>–</w:t>
      </w:r>
      <w:r>
        <w:rPr>
          <w:rFonts w:ascii="Times" w:hAnsi="Times"/>
          <w:b w:val="0"/>
          <w:sz w:val="19"/>
        </w:rPr>
        <w:tab/>
        <w:t>meciurile din Cupa Suediei unde echipele fac parte din primele patru cele mai mari niveluri de ligă din sistemul de ligă suedez și</w:t>
      </w:r>
    </w:p>
    <w:p w:rsidR="00066D66" w:rsidRDefault="00066D66" w:rsidP="00066D66">
      <w:pPr>
        <w:pStyle w:val="HeadingRunIn"/>
        <w:keepNext w:val="0"/>
        <w:tabs>
          <w:tab w:val="left" w:pos="240"/>
        </w:tabs>
        <w:spacing w:before="0" w:line="220" w:lineRule="atLeast"/>
        <w:ind w:left="240" w:hanging="240"/>
        <w:jc w:val="both"/>
        <w:rPr>
          <w:rFonts w:ascii="Times" w:hAnsi="Times" w:cs="Times"/>
          <w:b w:val="0"/>
          <w:bCs w:val="0"/>
          <w:w w:val="100"/>
          <w:sz w:val="19"/>
          <w:szCs w:val="19"/>
        </w:rPr>
      </w:pPr>
      <w:r>
        <w:rPr>
          <w:rFonts w:ascii="Times" w:hAnsi="Times"/>
          <w:b w:val="0"/>
          <w:sz w:val="19"/>
        </w:rPr>
        <w:t>–</w:t>
      </w:r>
      <w:r>
        <w:rPr>
          <w:rFonts w:ascii="Times" w:hAnsi="Times"/>
          <w:b w:val="0"/>
          <w:sz w:val="19"/>
        </w:rPr>
        <w:tab/>
        <w:t>meciurile unde participă echipe naționale U21 și echipe naționale A.</w:t>
      </w:r>
    </w:p>
    <w:p w:rsidR="00066D66" w:rsidRDefault="00066D66" w:rsidP="008742B9">
      <w:pPr>
        <w:pStyle w:val="HeadingRunIn"/>
        <w:keepNext w:val="0"/>
        <w:tabs>
          <w:tab w:val="left" w:pos="2940"/>
        </w:tabs>
        <w:spacing w:before="0" w:line="220" w:lineRule="atLeast"/>
        <w:ind w:firstLine="180"/>
        <w:jc w:val="both"/>
        <w:rPr>
          <w:rFonts w:ascii="Times" w:hAnsi="Times" w:cs="Times"/>
          <w:b w:val="0"/>
          <w:bCs w:val="0"/>
          <w:w w:val="100"/>
          <w:sz w:val="19"/>
          <w:szCs w:val="19"/>
        </w:rPr>
      </w:pPr>
      <w:r>
        <w:rPr>
          <w:rFonts w:ascii="Times" w:hAnsi="Times"/>
          <w:b w:val="0"/>
          <w:sz w:val="19"/>
        </w:rPr>
        <w:t xml:space="preserve">Parierea pe antrenamente sau meciuri amicale nu trebuie furnizată decât în cazul echipelor naționale U21 până la echipele naționale A. </w:t>
      </w:r>
    </w:p>
    <w:p w:rsidR="00066D66" w:rsidRDefault="00066D66" w:rsidP="00066D66">
      <w:pPr>
        <w:pStyle w:val="HeadingRunIn"/>
        <w:widowControl w:val="0"/>
        <w:suppressAutoHyphens/>
        <w:spacing w:before="220" w:line="220" w:lineRule="atLeast"/>
        <w:ind w:left="500"/>
        <w:rPr>
          <w:rFonts w:ascii="Times" w:hAnsi="Times" w:cs="Times"/>
          <w:b w:val="0"/>
          <w:bCs w:val="0"/>
          <w:i/>
          <w:iCs/>
          <w:w w:val="100"/>
          <w:sz w:val="19"/>
          <w:szCs w:val="19"/>
        </w:rPr>
      </w:pPr>
      <w:r>
        <w:rPr>
          <w:rFonts w:ascii="Times" w:hAnsi="Times"/>
          <w:b w:val="0"/>
          <w:i/>
          <w:sz w:val="19"/>
        </w:rPr>
        <w:t>Recomandări generale:</w:t>
      </w:r>
    </w:p>
    <w:p w:rsidR="00066D66" w:rsidRDefault="00066D66" w:rsidP="00066D66">
      <w:pPr>
        <w:pStyle w:val="HeadingRunIn"/>
        <w:keepNext w:val="0"/>
        <w:spacing w:before="100" w:line="220" w:lineRule="atLeast"/>
        <w:ind w:left="500"/>
        <w:jc w:val="both"/>
        <w:rPr>
          <w:rFonts w:ascii="Times" w:hAnsi="Times" w:cs="Times"/>
          <w:b w:val="0"/>
          <w:bCs w:val="0"/>
          <w:w w:val="100"/>
          <w:sz w:val="19"/>
          <w:szCs w:val="19"/>
        </w:rPr>
      </w:pPr>
      <w:r>
        <w:rPr>
          <w:rFonts w:ascii="Times" w:hAnsi="Times"/>
          <w:b w:val="0"/>
          <w:sz w:val="19"/>
        </w:rPr>
        <w:t xml:space="preserve">De exemplu, meciurile între echipe la nivel de club internațional pot fi meciuri în Cupa Europei care sunt jucate în Suedia. </w:t>
      </w:r>
    </w:p>
    <w:p w:rsidR="00066D66" w:rsidRDefault="00066D66" w:rsidP="00066D66">
      <w:pPr>
        <w:pStyle w:val="HeadingRunIn"/>
        <w:widowControl w:val="0"/>
        <w:suppressAutoHyphens/>
        <w:spacing w:before="360" w:line="220" w:lineRule="atLeast"/>
        <w:rPr>
          <w:rFonts w:ascii="Times" w:hAnsi="Times" w:cs="Times"/>
          <w:w w:val="100"/>
          <w:sz w:val="21"/>
          <w:szCs w:val="21"/>
        </w:rPr>
      </w:pPr>
      <w:r>
        <w:rPr>
          <w:rFonts w:ascii="Times" w:hAnsi="Times"/>
          <w:sz w:val="21"/>
        </w:rPr>
        <w:t>Capitolul 4 Raportarea manipulării înregistrate, suspectate a competițiilor sportive pentru care sunt plasate pariuri</w:t>
      </w:r>
    </w:p>
    <w:p w:rsidR="00066D66" w:rsidRDefault="00066D66" w:rsidP="00066D66">
      <w:pPr>
        <w:pStyle w:val="HeadingRunIn"/>
        <w:keepNext w:val="0"/>
        <w:spacing w:before="100" w:line="220" w:lineRule="atLeast"/>
        <w:jc w:val="both"/>
        <w:rPr>
          <w:rFonts w:ascii="Times" w:hAnsi="Times" w:cs="Times"/>
          <w:b w:val="0"/>
          <w:bCs w:val="0"/>
          <w:w w:val="100"/>
          <w:sz w:val="19"/>
          <w:szCs w:val="19"/>
        </w:rPr>
      </w:pPr>
      <w:r>
        <w:rPr>
          <w:rFonts w:ascii="Times" w:hAnsi="Times"/>
          <w:sz w:val="19"/>
        </w:rPr>
        <w:t>Articolul 1</w:t>
      </w:r>
      <w:r>
        <w:rPr>
          <w:rFonts w:ascii="Times" w:hAnsi="Times"/>
          <w:b w:val="0"/>
          <w:sz w:val="19"/>
        </w:rPr>
        <w:t> Nu mai târziu de 31 martie în fiecare an, deținătorii de licență trebuie să trimită Autorității Jocurilor de Noroc din Suedia un raport pe anul anterior cu privire la manipularea înregistrată, suspectată a competițiilor sportive pentru care au fost plasate pariuri în conformitate cu capitolul 8 articolul 1 al treilea paragraf din regulamentele și recomandările generale ale Autorității Jocurilor de Noroc din Suedia (LIFS 2018:8) cu privire la cerințele tehnice, precum și acreditarea organismelor de inspectare, testare și certificare a operațiilor de jocuri de noroc.</w:t>
      </w:r>
    </w:p>
    <w:p w:rsidR="00066D66" w:rsidRDefault="00066D66" w:rsidP="008742B9">
      <w:pPr>
        <w:pStyle w:val="HeadingRunIn"/>
        <w:keepNext w:val="0"/>
        <w:tabs>
          <w:tab w:val="left" w:pos="2940"/>
        </w:tabs>
        <w:spacing w:before="0" w:line="220" w:lineRule="atLeast"/>
        <w:ind w:firstLine="180"/>
        <w:jc w:val="both"/>
        <w:rPr>
          <w:rFonts w:ascii="Times" w:hAnsi="Times" w:cs="Times"/>
          <w:b w:val="0"/>
          <w:bCs w:val="0"/>
          <w:w w:val="100"/>
          <w:sz w:val="19"/>
          <w:szCs w:val="19"/>
        </w:rPr>
      </w:pPr>
      <w:r>
        <w:rPr>
          <w:rFonts w:ascii="Times" w:hAnsi="Times"/>
          <w:b w:val="0"/>
          <w:sz w:val="19"/>
        </w:rPr>
        <w:t xml:space="preserve">Fiecare manipulare înregistrată, suspectată a competiției va include data manipulării suspectate și intenția acesteia. </w:t>
      </w:r>
    </w:p>
    <w:p w:rsidR="00066D66" w:rsidRDefault="00066D66" w:rsidP="00066D66">
      <w:pPr>
        <w:pStyle w:val="HeadingRunIn"/>
        <w:widowControl w:val="0"/>
        <w:suppressAutoHyphens/>
        <w:spacing w:before="220" w:line="220" w:lineRule="atLeast"/>
        <w:ind w:left="500"/>
        <w:rPr>
          <w:rFonts w:ascii="Times" w:hAnsi="Times" w:cs="Times"/>
          <w:b w:val="0"/>
          <w:bCs w:val="0"/>
          <w:i/>
          <w:iCs/>
          <w:w w:val="100"/>
          <w:sz w:val="19"/>
          <w:szCs w:val="19"/>
        </w:rPr>
      </w:pPr>
      <w:r>
        <w:rPr>
          <w:rFonts w:ascii="Times" w:hAnsi="Times"/>
          <w:b w:val="0"/>
          <w:i/>
          <w:sz w:val="19"/>
        </w:rPr>
        <w:lastRenderedPageBreak/>
        <w:t>Recomandări generale:</w:t>
      </w:r>
    </w:p>
    <w:p w:rsidR="00066D66" w:rsidRDefault="00066D66" w:rsidP="00066D66">
      <w:pPr>
        <w:pStyle w:val="HeadingRunIn"/>
        <w:keepNext w:val="0"/>
        <w:spacing w:before="100" w:line="220" w:lineRule="atLeast"/>
        <w:ind w:left="500"/>
        <w:jc w:val="both"/>
        <w:rPr>
          <w:rFonts w:ascii="Times" w:hAnsi="Times" w:cs="Times"/>
          <w:b w:val="0"/>
          <w:bCs w:val="0"/>
          <w:w w:val="100"/>
          <w:sz w:val="19"/>
          <w:szCs w:val="19"/>
        </w:rPr>
      </w:pPr>
      <w:r>
        <w:rPr>
          <w:rFonts w:ascii="Times" w:hAnsi="Times"/>
          <w:b w:val="0"/>
          <w:sz w:val="19"/>
        </w:rPr>
        <w:t>Raportarea manipulării înregistrate, suspectate trebuie să privească doar meciul, cursa sau turneul. Orice date personale cu privire la manipulările suspectare nu trebuie să fie incluse în raport, în măsura în care acest lucru este posibil. Deținătorii de licență trebuie să compileze în permanență manipulările suspecte ale competițiilor.</w:t>
      </w:r>
    </w:p>
    <w:p w:rsidR="00066D66" w:rsidRDefault="00066D66" w:rsidP="00066D66">
      <w:pPr>
        <w:pStyle w:val="HeadingRunIn"/>
        <w:keepNext w:val="0"/>
        <w:pBdr>
          <w:top w:val="single" w:sz="8" w:space="0" w:color="auto"/>
        </w:pBdr>
        <w:spacing w:before="0" w:line="220" w:lineRule="atLeast"/>
        <w:ind w:firstLine="180"/>
        <w:jc w:val="both"/>
        <w:rPr>
          <w:rFonts w:ascii="Times" w:hAnsi="Times" w:cs="Times"/>
          <w:b w:val="0"/>
          <w:bCs w:val="0"/>
          <w:w w:val="100"/>
          <w:sz w:val="19"/>
          <w:szCs w:val="19"/>
        </w:rPr>
      </w:pPr>
      <w:r>
        <w:rPr>
          <w:rFonts w:ascii="Times" w:hAnsi="Times"/>
          <w:b w:val="0"/>
          <w:sz w:val="19"/>
        </w:rPr>
        <w:t>Prezentele regulamente și recomandări generale intră în vigoare la 1 ianuarie 2021.</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b w:val="0"/>
          <w:sz w:val="19"/>
        </w:rPr>
        <w:t>În numele Autorității Jocurilor de Noroc din Suedia</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b w:val="0"/>
          <w:sz w:val="19"/>
        </w:rPr>
        <w:t>CAMILLA ROSENBERG</w:t>
      </w:r>
    </w:p>
    <w:p w:rsidR="00066D66" w:rsidRDefault="00066D66" w:rsidP="008742B9">
      <w:pPr>
        <w:pStyle w:val="HeadingRunIn"/>
        <w:keepNext w:val="0"/>
        <w:tabs>
          <w:tab w:val="left" w:pos="2940"/>
        </w:tabs>
        <w:spacing w:before="0" w:line="220" w:lineRule="atLeast"/>
        <w:jc w:val="center"/>
        <w:rPr>
          <w:rFonts w:ascii="Times" w:hAnsi="Times" w:cs="Times"/>
          <w:b w:val="0"/>
          <w:bCs w:val="0"/>
          <w:w w:val="100"/>
          <w:sz w:val="19"/>
          <w:szCs w:val="19"/>
        </w:rPr>
      </w:pPr>
      <w:r>
        <w:rPr>
          <w:rFonts w:ascii="Times" w:hAnsi="Times"/>
          <w:b w:val="0"/>
          <w:sz w:val="19"/>
        </w:rPr>
        <w:t xml:space="preserve">Johan </w:t>
      </w:r>
      <w:proofErr w:type="spellStart"/>
      <w:r>
        <w:rPr>
          <w:rFonts w:ascii="Times" w:hAnsi="Times"/>
          <w:b w:val="0"/>
          <w:sz w:val="19"/>
        </w:rPr>
        <w:t>Röhr</w:t>
      </w:r>
      <w:proofErr w:type="spellEnd"/>
    </w:p>
    <w:sectPr w:rsidR="00066D66" w:rsidSect="00066D66">
      <w:headerReference w:type="default" r:id="rId9"/>
      <w:pgSz w:w="9356" w:h="13721"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4DD" w:rsidRDefault="005304DD" w:rsidP="00066D66">
      <w:pPr>
        <w:spacing w:after="0" w:line="240" w:lineRule="auto"/>
      </w:pPr>
      <w:r>
        <w:separator/>
      </w:r>
    </w:p>
  </w:endnote>
  <w:endnote w:type="continuationSeparator" w:id="0">
    <w:p w:rsidR="005304DD" w:rsidRDefault="005304DD" w:rsidP="0006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4DD" w:rsidRDefault="005304DD" w:rsidP="00066D66">
      <w:pPr>
        <w:spacing w:after="0" w:line="240" w:lineRule="auto"/>
      </w:pPr>
      <w:r>
        <w:separator/>
      </w:r>
    </w:p>
  </w:footnote>
  <w:footnote w:type="continuationSeparator" w:id="0">
    <w:p w:rsidR="005304DD" w:rsidRDefault="005304DD" w:rsidP="00066D66">
      <w:pPr>
        <w:spacing w:after="0" w:line="240" w:lineRule="auto"/>
      </w:pPr>
      <w:r>
        <w:continuationSeparator/>
      </w:r>
    </w:p>
  </w:footnote>
  <w:footnote w:id="1">
    <w:p w:rsidR="00066D66" w:rsidRPr="008E4AAA" w:rsidRDefault="00066D66" w:rsidP="00066D66">
      <w:pPr>
        <w:pStyle w:val="HeadingRunIn"/>
        <w:keepNext w:val="0"/>
        <w:widowControl w:val="0"/>
        <w:tabs>
          <w:tab w:val="left" w:pos="100"/>
        </w:tabs>
        <w:spacing w:before="0" w:line="160" w:lineRule="atLeast"/>
        <w:jc w:val="both"/>
        <w:rPr>
          <w:rFonts w:ascii="Times" w:hAnsi="Times" w:cs="Times"/>
          <w:b w:val="0"/>
          <w:bCs w:val="0"/>
          <w:sz w:val="17"/>
          <w:szCs w:val="17"/>
        </w:rPr>
      </w:pPr>
      <w:r w:rsidRPr="008E4AAA">
        <w:rPr>
          <w:rFonts w:ascii="Times" w:hAnsi="Times" w:cs="Times"/>
          <w:b w:val="0"/>
          <w:bCs w:val="0"/>
          <w:sz w:val="17"/>
          <w:szCs w:val="17"/>
          <w:vertAlign w:val="superscript"/>
          <w:lang w:val="sv-SE"/>
        </w:rPr>
        <w:footnoteRef/>
      </w:r>
      <w:r w:rsidRPr="008E4AAA">
        <w:rPr>
          <w:b w:val="0"/>
          <w:sz w:val="17"/>
          <w:szCs w:val="17"/>
        </w:rPr>
        <w:t xml:space="preserve"> A se vedea Directiva (UE) 2015/1535 a Parlamentului European și a Consiliului din 9 septembrie 2015 referitoare la procedura de furnizare de informații în domeniul reglementărilor tehnice și al normelor privind serviciile societății informaționale.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D11" w:rsidRDefault="005304DD">
    <w:pPr>
      <w:autoSpaceDE w:val="0"/>
      <w:autoSpaceDN w:val="0"/>
      <w:adjustRightInd w:val="0"/>
      <w:spacing w:after="0" w:line="240" w:lineRule="auto"/>
      <w:rPr>
        <w:rFonts w:ascii="Symbol" w:hAnsi="Symbo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66"/>
    <w:rsid w:val="00066D66"/>
    <w:rsid w:val="002B6792"/>
    <w:rsid w:val="005304DD"/>
    <w:rsid w:val="008742B9"/>
    <w:rsid w:val="008E4AAA"/>
    <w:rsid w:val="00CC2B55"/>
    <w:rsid w:val="00D04EA3"/>
    <w:rsid w:val="00D97284"/>
    <w:rsid w:val="00E32B38"/>
    <w:rsid w:val="00F8715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07D72"/>
  <w15:chartTrackingRefBased/>
  <w15:docId w15:val="{B189AE44-5298-4600-B0D9-F649FFF2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RunIn">
    <w:name w:val="HeadingRunIn"/>
    <w:next w:val="Normal"/>
    <w:rsid w:val="00066D66"/>
    <w:pPr>
      <w:keepNext/>
      <w:autoSpaceDE w:val="0"/>
      <w:autoSpaceDN w:val="0"/>
      <w:adjustRightInd w:val="0"/>
      <w:spacing w:before="120" w:after="0" w:line="280" w:lineRule="atLeast"/>
    </w:pPr>
    <w:rPr>
      <w:rFonts w:ascii="Times New Roman" w:hAnsi="Times New Roman" w:cs="Times New Roman"/>
      <w:b/>
      <w:bCs/>
      <w:color w:val="000000"/>
      <w:w w:val="0"/>
      <w:sz w:val="24"/>
      <w:szCs w:val="24"/>
    </w:rPr>
  </w:style>
  <w:style w:type="paragraph" w:styleId="Header">
    <w:name w:val="header"/>
    <w:basedOn w:val="Normal"/>
    <w:link w:val="HeaderChar"/>
    <w:uiPriority w:val="99"/>
    <w:unhideWhenUsed/>
    <w:rsid w:val="00E32B38"/>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2B38"/>
  </w:style>
  <w:style w:type="paragraph" w:styleId="Footer">
    <w:name w:val="footer"/>
    <w:basedOn w:val="Normal"/>
    <w:link w:val="FooterChar"/>
    <w:uiPriority w:val="99"/>
    <w:unhideWhenUsed/>
    <w:rsid w:val="00E32B38"/>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2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09100-FA1D-4B3E-A766-3F5A89490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BB8B8-7281-4125-9D08-F459F53451DA}">
  <ds:schemaRefs>
    <ds:schemaRef ds:uri="http://schemas.microsoft.com/sharepoint/v3/contenttype/forms"/>
  </ds:schemaRefs>
</ds:datastoreItem>
</file>

<file path=customXml/itemProps3.xml><?xml version="1.0" encoding="utf-8"?>
<ds:datastoreItem xmlns:ds="http://schemas.openxmlformats.org/officeDocument/2006/customXml" ds:itemID="{D442197A-D8AC-4B17-82B2-EE85EAECD7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3956</Characters>
  <Application>Microsoft Office Word</Application>
  <DocSecurity>0</DocSecurity>
  <Lines>32</Lines>
  <Paragraphs>9</Paragraphs>
  <ScaleCrop>false</ScaleCrop>
  <Company>Elanders</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Persson, Göran</dc:creator>
  <cp:keywords/>
  <dc:description/>
  <cp:lastModifiedBy>Ke, Tingting</cp:lastModifiedBy>
  <cp:revision>6</cp:revision>
  <dcterms:created xsi:type="dcterms:W3CDTF">2020-09-25T09:09:00Z</dcterms:created>
  <dcterms:modified xsi:type="dcterms:W3CDTF">2020-11-27T09:23:00Z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