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581354">
      <w:pPr>
        <w:spacing w:before="92" w:line="220" w:lineRule="auto"/>
        <w:ind w:left="400" w:right="3390"/>
        <w:rPr>
          <w:b/>
          <w:sz w:val="36"/>
        </w:rPr>
      </w:pPr>
      <w:bookmarkStart w:id="0" w:name="Inledande_bestämmelser_och_definitioner"/>
      <w:bookmarkEnd w:id="0"/>
      <w:r>
        <w:rPr>
          <w:b/>
          <w:sz w:val="36"/>
        </w:rPr>
        <w:t>Codul statutar al Agenției suedeze pentru energie</w:t>
      </w:r>
    </w:p>
    <w:p w14:paraId="347D5EC4" w14:textId="77777777" w:rsidR="00A2416E" w:rsidRDefault="00F33EEE" w:rsidP="007E6201">
      <w:pPr>
        <w:spacing w:before="148" w:line="262" w:lineRule="auto"/>
        <w:ind w:left="403" w:right="5103"/>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81354">
        <w:rPr>
          <w:sz w:val="16"/>
        </w:rPr>
        <w:t>Publicat de: Rikard Janson (șef jurist)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77777777" w:rsidR="00A2416E" w:rsidRDefault="00534832">
      <w:pPr>
        <w:pStyle w:val="Rubrik1"/>
        <w:spacing w:before="103" w:line="225" w:lineRule="auto"/>
        <w:ind w:left="400"/>
      </w:pPr>
      <w:r>
        <w:t>Reglementări de modificare a Regulamentelor Agenției Suedeze pentru Energie (STEMFS 2017:3)  privind raportarea și calculul în conformitate cu Legea privind combustibilii;</w:t>
      </w:r>
    </w:p>
    <w:p w14:paraId="71813F81" w14:textId="77777777" w:rsidR="00A2416E" w:rsidRDefault="00534832">
      <w:pPr>
        <w:pStyle w:val="Brdtext"/>
        <w:spacing w:before="188"/>
        <w:ind w:left="400"/>
        <w:jc w:val="both"/>
      </w:pPr>
      <w:r>
        <w:t>adoptate la 20 ianuarie 2021.</w:t>
      </w:r>
    </w:p>
    <w:p w14:paraId="066E2CAE" w14:textId="77777777" w:rsidR="00A2416E" w:rsidRDefault="00A2416E">
      <w:pPr>
        <w:pStyle w:val="Brdtext"/>
        <w:spacing w:before="6"/>
        <w:rPr>
          <w:sz w:val="17"/>
        </w:rPr>
      </w:pPr>
    </w:p>
    <w:p w14:paraId="4BB4C994" w14:textId="08076039" w:rsidR="00A2416E" w:rsidRDefault="00534832">
      <w:pPr>
        <w:pStyle w:val="Brdtext"/>
        <w:spacing w:line="273" w:lineRule="auto"/>
        <w:ind w:left="400"/>
        <w:jc w:val="both"/>
      </w:pPr>
      <w:r>
        <w:t xml:space="preserve">În temeiul articolului 13 din Ordonanța privind combustibilii (2011:346), Agenția suedeză pentru energie prevede </w:t>
      </w:r>
      <w:r>
        <w:rPr>
          <w:sz w:val="11"/>
        </w:rPr>
        <w:t xml:space="preserve">1 </w:t>
      </w:r>
      <w:r>
        <w:t>că în reglementările Agenției suedeze pentru energie privind raportarea și calculul în conformitate cu Legea privind combustibilii, se modifică și se formulează după cum urmează:</w:t>
      </w:r>
    </w:p>
    <w:p w14:paraId="1E032E5F" w14:textId="77777777" w:rsidR="007E6201" w:rsidRDefault="007E6201">
      <w:pPr>
        <w:pStyle w:val="Brdtext"/>
        <w:spacing w:line="273" w:lineRule="auto"/>
        <w:ind w:left="400"/>
        <w:jc w:val="both"/>
      </w:pPr>
    </w:p>
    <w:p w14:paraId="71A61FB5" w14:textId="77777777" w:rsidR="00A2416E" w:rsidRDefault="00534832" w:rsidP="007E6201">
      <w:pPr>
        <w:pStyle w:val="Brdtext"/>
        <w:ind w:left="403" w:right="1678"/>
        <w:jc w:val="both"/>
      </w:pPr>
      <w:r>
        <w:t>un articol nou – articolul 12a – și șase articole – articolele 2, 4-7, 12, 13, și 16 – se modifică și se formulează după cum urmează:</w:t>
      </w:r>
    </w:p>
    <w:p w14:paraId="0D1B6701" w14:textId="77777777" w:rsidR="00A2416E" w:rsidRDefault="00A2416E">
      <w:pPr>
        <w:pStyle w:val="Brdtext"/>
        <w:spacing w:before="6"/>
        <w:rPr>
          <w:sz w:val="16"/>
        </w:rPr>
      </w:pPr>
    </w:p>
    <w:p w14:paraId="6F4B5BC4" w14:textId="77777777" w:rsidR="00A2416E" w:rsidRDefault="00534832">
      <w:pPr>
        <w:pStyle w:val="Rubrik2"/>
        <w:spacing w:before="0"/>
        <w:ind w:left="400"/>
        <w:jc w:val="both"/>
      </w:pPr>
      <w:r>
        <w:t>Dispoziții și definiții preliminare</w:t>
      </w:r>
    </w:p>
    <w:p w14:paraId="390C5634" w14:textId="77777777" w:rsidR="00A2416E" w:rsidRDefault="00534832">
      <w:pPr>
        <w:pStyle w:val="Brdtext"/>
        <w:spacing w:before="140" w:line="273" w:lineRule="auto"/>
        <w:ind w:left="400"/>
        <w:jc w:val="both"/>
      </w:pPr>
      <w:r>
        <w:rPr>
          <w:b/>
        </w:rPr>
        <w:t>Articolul 2</w:t>
      </w:r>
      <w:r>
        <w:t xml:space="preserve"> Termenii și expresiile din prezentele reglementări sunt utilizate în același mod ca și cele utilizate în Legea privind combustibilii (2011:319) și în Ordonanța privind combustibilii (2011:346). În prezentele reglementări sunt utilizați următorii termeni:</w:t>
      </w:r>
    </w:p>
    <w:p w14:paraId="2953E73A" w14:textId="77777777" w:rsidR="00A2416E" w:rsidRDefault="00534832">
      <w:pPr>
        <w:spacing w:before="3" w:line="364" w:lineRule="exact"/>
        <w:ind w:left="400" w:right="-11"/>
        <w:rPr>
          <w:sz w:val="19"/>
        </w:rPr>
      </w:pPr>
      <w:r>
        <w:rPr>
          <w:sz w:val="19"/>
        </w:rPr>
        <w:t>„biocomponentă” înseamnă o componentă a combustibilului produsă din biomasă; „componentă fosilă” înseamnă o componentă a combustibilului de origine minerală; „tip de combustibil” înseamnă un combustibil care îndeplinește o anumită clasificare în conformitate cu</w:t>
      </w:r>
    </w:p>
    <w:p w14:paraId="12DA69D9" w14:textId="77777777" w:rsidR="00A2416E" w:rsidRDefault="00534832">
      <w:pPr>
        <w:pStyle w:val="Brdtext"/>
        <w:spacing w:line="273" w:lineRule="auto"/>
        <w:ind w:left="400"/>
        <w:jc w:val="both"/>
      </w:pPr>
      <w:r>
        <w:t>articolele 3-15 din Legea privind combustibilii (2011:319) sau care îndeplinește anumite standarde naționale sau internaționale pentru combustibili, orice alți combustibili care nu corespund clasificărilor sau standardelor și energie electrică utilizată ca combustibil;</w:t>
      </w:r>
    </w:p>
    <w:p w14:paraId="601B7223" w14:textId="77777777" w:rsidR="00A2416E" w:rsidRDefault="00534832">
      <w:pPr>
        <w:pStyle w:val="Brdtext"/>
        <w:spacing w:before="114" w:line="273" w:lineRule="auto"/>
        <w:ind w:left="400"/>
        <w:jc w:val="both"/>
      </w:pPr>
      <w:r>
        <w:t>„produs” înseamnă un produs comercializat din tipul respectiv de combustibil. În cazurile în care furnizorul comercializează mai multe produse combustibile diferite care îndeplinesc aceeași specificație sau standard, produsele respective sunt raportate separat cu denumirile de produse respective;</w:t>
      </w:r>
    </w:p>
    <w:p w14:paraId="17F68D6C" w14:textId="77777777" w:rsidR="00A2416E" w:rsidRDefault="00534832">
      <w:pPr>
        <w:pStyle w:val="Brdtext"/>
        <w:spacing w:before="118" w:line="273" w:lineRule="auto"/>
        <w:ind w:left="400"/>
        <w:jc w:val="both"/>
      </w:pPr>
      <w:r>
        <w:t>„reducerea emisiilor din amonte” înseamnă o măsură de reducere a emisiilor de gaze cu efect de seră care sunt generate înainte ca o materie primă să fie procesată la o rafinărie sau la o altă instalație de producere a unei componente a combustibilului fosil.</w:t>
      </w:r>
    </w:p>
    <w:p w14:paraId="689C2081" w14:textId="77777777" w:rsidR="00A2416E" w:rsidRDefault="00534832">
      <w:pPr>
        <w:spacing w:before="107" w:line="225" w:lineRule="auto"/>
        <w:ind w:left="252" w:right="476"/>
        <w:rPr>
          <w:b/>
          <w:sz w:val="24"/>
        </w:rPr>
      </w:pPr>
      <w:r>
        <w:br w:type="column"/>
      </w:r>
      <w:r>
        <w:rPr>
          <w:b/>
          <w:sz w:val="24"/>
        </w:rPr>
        <w:t>STEMFS 2021:2</w:t>
      </w:r>
    </w:p>
    <w:p w14:paraId="4897DE83" w14:textId="77777777" w:rsidR="00A2416E" w:rsidRDefault="00534832">
      <w:pPr>
        <w:spacing w:before="60" w:line="256" w:lineRule="auto"/>
        <w:ind w:left="252" w:right="101"/>
        <w:rPr>
          <w:sz w:val="17"/>
        </w:rPr>
      </w:pPr>
      <w:r>
        <w:rPr>
          <w:sz w:val="17"/>
        </w:rPr>
        <w:t>Publicat la 2 februarie 2021</w:t>
      </w:r>
    </w:p>
    <w:p w14:paraId="054025C7" w14:textId="77777777" w:rsidR="00A2416E" w:rsidRDefault="00A2416E">
      <w:pPr>
        <w:spacing w:line="256" w:lineRule="auto"/>
        <w:rPr>
          <w:sz w:val="17"/>
        </w:rPr>
        <w:sectPr w:rsidR="00A2416E">
          <w:type w:val="continuous"/>
          <w:pgSz w:w="9360" w:h="13720"/>
          <w:pgMar w:top="900" w:right="580" w:bottom="280" w:left="620" w:header="720" w:footer="720" w:gutter="0"/>
          <w:cols w:num="2" w:space="720" w:equalWidth="0">
            <w:col w:w="6411" w:space="40"/>
            <w:col w:w="1709"/>
          </w:cols>
        </w:sectPr>
      </w:pPr>
    </w:p>
    <w:p w14:paraId="6C53A6E7" w14:textId="77777777" w:rsidR="00A2416E" w:rsidRDefault="00A2416E">
      <w:pPr>
        <w:pStyle w:val="Brdtext"/>
        <w:spacing w:before="11"/>
        <w:rPr>
          <w:sz w:val="23"/>
        </w:rPr>
      </w:pPr>
    </w:p>
    <w:p w14:paraId="6036D87D" w14:textId="77777777" w:rsidR="00A2416E" w:rsidRDefault="00F33EEE">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3F7164F9" w14:textId="539423F0" w:rsidR="00A2416E" w:rsidRDefault="00534832" w:rsidP="00581354">
      <w:pPr>
        <w:spacing w:before="31"/>
        <w:ind w:left="400"/>
        <w:rPr>
          <w:rFonts w:ascii="HelveticaNeueLT Std Cn" w:hAnsi="HelveticaNeueLT Std Cn"/>
          <w:sz w:val="20"/>
        </w:rPr>
      </w:pPr>
      <w:r>
        <w:rPr>
          <w:sz w:val="10"/>
        </w:rPr>
        <w:t xml:space="preserve">1 </w:t>
      </w:r>
      <w:r>
        <w:rPr>
          <w:sz w:val="17"/>
        </w:rPr>
        <w:t>A se vedea Directiva (UE) 2015/1535 a Parlamentului European și a Consiliului din 9 septembrie 2015 referitoare la procedura de furnizare de informații în domeniul reglementărilor tehnice și al normelor privind serviciile societății informaționale.</w:t>
      </w:r>
      <w:r>
        <w:rPr>
          <w:sz w:val="17"/>
        </w:rPr>
        <w:tab/>
      </w:r>
      <w:r w:rsidR="007E6201">
        <w:rPr>
          <w:sz w:val="17"/>
        </w:rPr>
        <w:t xml:space="preserve">                                                                                                                      </w:t>
      </w:r>
      <w:r>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Reportarea</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Articolul 4</w:t>
      </w:r>
      <w:r>
        <w:rPr>
          <w:sz w:val="19"/>
        </w:rPr>
        <w:t xml:space="preserve"> Raportul privind emisiile include toate produsele combustibile pe care le-a livrat furnizorul de combustibil și pentru care impozitul a devenit exigibil în conformitate cu capitolul 5 din Legea privind impozitul pe energie (1994:1776) în cursul anului la care se referă raportul, precizând:</w:t>
      </w:r>
    </w:p>
    <w:p w14:paraId="69D953B3" w14:textId="77777777" w:rsidR="00A2416E" w:rsidRDefault="00534832">
      <w:pPr>
        <w:pStyle w:val="Liststycke"/>
        <w:numPr>
          <w:ilvl w:val="0"/>
          <w:numId w:val="4"/>
        </w:numPr>
        <w:tabs>
          <w:tab w:val="left" w:pos="316"/>
        </w:tabs>
        <w:spacing w:before="69"/>
        <w:rPr>
          <w:sz w:val="19"/>
        </w:rPr>
      </w:pPr>
      <w:r>
        <w:rPr>
          <w:sz w:val="19"/>
        </w:rPr>
        <w:t>cantitatea;</w:t>
      </w:r>
    </w:p>
    <w:p w14:paraId="516CF941" w14:textId="77777777" w:rsidR="00A2416E" w:rsidRDefault="00534832">
      <w:pPr>
        <w:pStyle w:val="Liststycke"/>
        <w:numPr>
          <w:ilvl w:val="0"/>
          <w:numId w:val="4"/>
        </w:numPr>
        <w:tabs>
          <w:tab w:val="left" w:pos="316"/>
        </w:tabs>
        <w:rPr>
          <w:sz w:val="19"/>
        </w:rPr>
      </w:pPr>
      <w:r>
        <w:rPr>
          <w:sz w:val="19"/>
        </w:rPr>
        <w:t>puterea calorifică netă;</w:t>
      </w:r>
    </w:p>
    <w:p w14:paraId="5CA31CC9" w14:textId="77777777" w:rsidR="00A2416E" w:rsidRDefault="00534832">
      <w:pPr>
        <w:pStyle w:val="Liststycke"/>
        <w:numPr>
          <w:ilvl w:val="0"/>
          <w:numId w:val="4"/>
        </w:numPr>
        <w:tabs>
          <w:tab w:val="left" w:pos="316"/>
        </w:tabs>
        <w:rPr>
          <w:sz w:val="19"/>
        </w:rPr>
      </w:pPr>
      <w:r>
        <w:rPr>
          <w:sz w:val="19"/>
        </w:rPr>
        <w:t>sursa de energie a energiei electrice livrate în cazurile în care energia electrică are un marcaj de origine.</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Articolul 5</w:t>
      </w:r>
      <w:r>
        <w:rPr>
          <w:sz w:val="19"/>
        </w:rPr>
        <w:t xml:space="preserve"> Raportul privind emisiile trebuie să cuprindă toate componentele fosile care sunt incluse în produsele combustibile livrate în conformitate cu articolul 4, precizând:</w:t>
      </w:r>
    </w:p>
    <w:p w14:paraId="09AF6626" w14:textId="77777777" w:rsidR="00A2416E" w:rsidRDefault="00534832">
      <w:pPr>
        <w:pStyle w:val="Liststycke"/>
        <w:numPr>
          <w:ilvl w:val="0"/>
          <w:numId w:val="3"/>
        </w:numPr>
        <w:tabs>
          <w:tab w:val="left" w:pos="316"/>
        </w:tabs>
        <w:spacing w:before="96"/>
        <w:rPr>
          <w:sz w:val="19"/>
        </w:rPr>
      </w:pPr>
      <w:r>
        <w:rPr>
          <w:sz w:val="19"/>
        </w:rPr>
        <w:t>produsele în care sunt incluse componentele;</w:t>
      </w:r>
    </w:p>
    <w:p w14:paraId="28EE6BB7" w14:textId="77777777" w:rsidR="00A2416E" w:rsidRDefault="00534832">
      <w:pPr>
        <w:pStyle w:val="Liststycke"/>
        <w:numPr>
          <w:ilvl w:val="0"/>
          <w:numId w:val="3"/>
        </w:numPr>
        <w:tabs>
          <w:tab w:val="left" w:pos="316"/>
        </w:tabs>
        <w:rPr>
          <w:sz w:val="19"/>
        </w:rPr>
      </w:pPr>
      <w:r>
        <w:rPr>
          <w:sz w:val="19"/>
        </w:rPr>
        <w:t>tipurile de componente fosile defalcate pe surse și procese de materii prime în conformitate cu anexa 1;</w:t>
      </w:r>
    </w:p>
    <w:p w14:paraId="5DA70FE3" w14:textId="77777777" w:rsidR="00A2416E" w:rsidRDefault="00534832">
      <w:pPr>
        <w:pStyle w:val="Liststycke"/>
        <w:numPr>
          <w:ilvl w:val="0"/>
          <w:numId w:val="3"/>
        </w:numPr>
        <w:tabs>
          <w:tab w:val="left" w:pos="316"/>
        </w:tabs>
        <w:rPr>
          <w:sz w:val="19"/>
        </w:rPr>
      </w:pPr>
      <w:r>
        <w:rPr>
          <w:sz w:val="19"/>
        </w:rPr>
        <w:t>cantitatea;</w:t>
      </w:r>
    </w:p>
    <w:p w14:paraId="6D197172" w14:textId="77777777" w:rsidR="00A2416E" w:rsidRDefault="00534832">
      <w:pPr>
        <w:pStyle w:val="Liststycke"/>
        <w:numPr>
          <w:ilvl w:val="0"/>
          <w:numId w:val="3"/>
        </w:numPr>
        <w:tabs>
          <w:tab w:val="left" w:pos="316"/>
        </w:tabs>
        <w:rPr>
          <w:sz w:val="19"/>
        </w:rPr>
      </w:pPr>
      <w:r>
        <w:rPr>
          <w:sz w:val="19"/>
        </w:rPr>
        <w:t>puterea calorifică netă; și</w:t>
      </w:r>
    </w:p>
    <w:p w14:paraId="04221788" w14:textId="77777777" w:rsidR="00A2416E" w:rsidRDefault="00534832">
      <w:pPr>
        <w:pStyle w:val="Liststycke"/>
        <w:numPr>
          <w:ilvl w:val="0"/>
          <w:numId w:val="3"/>
        </w:numPr>
        <w:tabs>
          <w:tab w:val="left" w:pos="316"/>
        </w:tabs>
        <w:spacing w:before="69"/>
        <w:rPr>
          <w:sz w:val="19"/>
        </w:rPr>
      </w:pPr>
      <w:r>
        <w:rPr>
          <w:sz w:val="19"/>
        </w:rPr>
        <w:t>țara de origine a materiei prime.</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Articolul 6</w:t>
      </w:r>
      <w:r>
        <w:rPr>
          <w:sz w:val="19"/>
        </w:rPr>
        <w:t xml:space="preserve"> Raportul privind emisiile trebuie să cuprindă toate biocomponentele care sunt incluse în produsele combustibile livrate în conformitate cu articolul 4, precizând:</w:t>
      </w:r>
    </w:p>
    <w:p w14:paraId="0C456492" w14:textId="77777777" w:rsidR="00A2416E" w:rsidRDefault="00534832">
      <w:pPr>
        <w:pStyle w:val="Liststycke"/>
        <w:numPr>
          <w:ilvl w:val="0"/>
          <w:numId w:val="2"/>
        </w:numPr>
        <w:tabs>
          <w:tab w:val="left" w:pos="316"/>
        </w:tabs>
        <w:spacing w:before="67"/>
        <w:rPr>
          <w:sz w:val="19"/>
        </w:rPr>
      </w:pPr>
      <w:r>
        <w:rPr>
          <w:sz w:val="19"/>
        </w:rPr>
        <w:t>produsele în care sunt incluse biocomponentele;</w:t>
      </w:r>
    </w:p>
    <w:p w14:paraId="5D2FF15B" w14:textId="77777777" w:rsidR="00A2416E" w:rsidRDefault="00534832">
      <w:pPr>
        <w:pStyle w:val="Liststycke"/>
        <w:numPr>
          <w:ilvl w:val="0"/>
          <w:numId w:val="2"/>
        </w:numPr>
        <w:tabs>
          <w:tab w:val="left" w:pos="316"/>
        </w:tabs>
        <w:rPr>
          <w:sz w:val="19"/>
        </w:rPr>
      </w:pPr>
      <w:r>
        <w:rPr>
          <w:sz w:val="19"/>
        </w:rPr>
        <w:t>tipul de biocomponente;</w:t>
      </w:r>
    </w:p>
    <w:p w14:paraId="134B125E" w14:textId="77777777" w:rsidR="00A2416E" w:rsidRDefault="00534832">
      <w:pPr>
        <w:pStyle w:val="Liststycke"/>
        <w:numPr>
          <w:ilvl w:val="0"/>
          <w:numId w:val="2"/>
        </w:numPr>
        <w:tabs>
          <w:tab w:val="left" w:pos="316"/>
        </w:tabs>
        <w:rPr>
          <w:sz w:val="19"/>
        </w:rPr>
      </w:pPr>
      <w:r>
        <w:rPr>
          <w:sz w:val="19"/>
        </w:rPr>
        <w:t>cantitatea;</w:t>
      </w:r>
    </w:p>
    <w:p w14:paraId="420C5F9D" w14:textId="77777777" w:rsidR="00A2416E" w:rsidRDefault="00534832">
      <w:pPr>
        <w:pStyle w:val="Liststycke"/>
        <w:numPr>
          <w:ilvl w:val="0"/>
          <w:numId w:val="2"/>
        </w:numPr>
        <w:tabs>
          <w:tab w:val="left" w:pos="316"/>
        </w:tabs>
        <w:rPr>
          <w:sz w:val="19"/>
        </w:rPr>
      </w:pPr>
      <w:r>
        <w:rPr>
          <w:sz w:val="19"/>
        </w:rPr>
        <w:t>puterea calorifică netă;</w:t>
      </w:r>
    </w:p>
    <w:p w14:paraId="6FBCDE1A" w14:textId="77777777" w:rsidR="00A2416E" w:rsidRDefault="00534832">
      <w:pPr>
        <w:pStyle w:val="Liststycke"/>
        <w:numPr>
          <w:ilvl w:val="0"/>
          <w:numId w:val="2"/>
        </w:numPr>
        <w:tabs>
          <w:tab w:val="left" w:pos="316"/>
        </w:tabs>
        <w:spacing w:before="69"/>
        <w:rPr>
          <w:sz w:val="19"/>
        </w:rPr>
      </w:pPr>
      <w:r>
        <w:rPr>
          <w:sz w:val="19"/>
        </w:rPr>
        <w:t>materiile prime;</w:t>
      </w:r>
    </w:p>
    <w:p w14:paraId="3BA18401" w14:textId="77777777" w:rsidR="00A2416E" w:rsidRDefault="00534832">
      <w:pPr>
        <w:pStyle w:val="Liststycke"/>
        <w:numPr>
          <w:ilvl w:val="0"/>
          <w:numId w:val="2"/>
        </w:numPr>
        <w:tabs>
          <w:tab w:val="left" w:pos="316"/>
        </w:tabs>
        <w:rPr>
          <w:sz w:val="19"/>
        </w:rPr>
      </w:pPr>
      <w:r>
        <w:rPr>
          <w:sz w:val="19"/>
        </w:rPr>
        <w:t>țara de origine a materiilor prime;</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dacă biocomponentele îndeplinesc criteriile de sustenabilitate stabilite în Legea (2010:598) privind criteriile de durabilitate pentru biocombustibili și biolichide; și</w:t>
      </w:r>
    </w:p>
    <w:p w14:paraId="6A936F3B" w14:textId="77777777" w:rsidR="00A2416E" w:rsidRDefault="00534832">
      <w:pPr>
        <w:pStyle w:val="Liststycke"/>
        <w:numPr>
          <w:ilvl w:val="0"/>
          <w:numId w:val="2"/>
        </w:numPr>
        <w:tabs>
          <w:tab w:val="left" w:pos="316"/>
        </w:tabs>
        <w:spacing w:before="58"/>
        <w:jc w:val="both"/>
        <w:rPr>
          <w:sz w:val="19"/>
        </w:rPr>
      </w:pPr>
      <w:r>
        <w:rPr>
          <w:sz w:val="19"/>
        </w:rPr>
        <w:t>dacă biocomponentele au fost utilizate la carburant de aviație.</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Articolul 7</w:t>
      </w:r>
      <w:r>
        <w:rPr>
          <w:sz w:val="19"/>
        </w:rPr>
        <w:t xml:space="preserve"> Dacă țara de origine se află în afara Uniunii Europene sau a SEE, dar nu există informații cu privire la țara de origine, raportul privind emisiile poate indica faptul că nu există informații referitoare la țara de origine.</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66D146DB" w14:textId="77777777" w:rsidR="00A2416E" w:rsidRDefault="00A2416E">
      <w:pPr>
        <w:pStyle w:val="Brdtext"/>
        <w:rPr>
          <w:sz w:val="20"/>
        </w:rPr>
      </w:pPr>
    </w:p>
    <w:p w14:paraId="05983546" w14:textId="77777777" w:rsidR="00A2416E" w:rsidRDefault="00A2416E">
      <w:pPr>
        <w:pStyle w:val="Brdtext"/>
        <w:rPr>
          <w:sz w:val="20"/>
        </w:rPr>
      </w:pPr>
    </w:p>
    <w:p w14:paraId="3B407F9E" w14:textId="77777777" w:rsidR="00A2416E" w:rsidRDefault="00A2416E">
      <w:pPr>
        <w:pStyle w:val="Brdtext"/>
        <w:spacing w:before="8"/>
        <w:rPr>
          <w:sz w:val="26"/>
        </w:rPr>
      </w:pPr>
    </w:p>
    <w:p w14:paraId="346CAB4A" w14:textId="77777777" w:rsidR="00A2416E" w:rsidRDefault="00534832">
      <w:pPr>
        <w:pStyle w:val="Rubrik3"/>
        <w:spacing w:before="111"/>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Calculul intensității gazelor cu efect de seră</w:t>
      </w:r>
    </w:p>
    <w:p w14:paraId="1BBF99A2" w14:textId="77777777" w:rsidR="00A2416E" w:rsidRDefault="00534832">
      <w:pPr>
        <w:pStyle w:val="Brdtext"/>
        <w:spacing w:before="141" w:line="273" w:lineRule="auto"/>
        <w:ind w:left="400" w:right="238"/>
        <w:jc w:val="both"/>
      </w:pPr>
      <w:r>
        <w:rPr>
          <w:b/>
        </w:rPr>
        <w:t>Articolul 12</w:t>
      </w:r>
      <w:r>
        <w:t xml:space="preserve"> La calcularea reducerii de către furnizorul de combustibil a emisiilor de gaze cu efect de seră în scopul menționat la articolul 21 din Legea privind combustibilii (2011:319), calculul intensității gazelor cu efect de seră se efectuează aplicând următoarea formulă:</w:t>
      </w:r>
    </w:p>
    <w:p w14:paraId="20759CD1" w14:textId="77777777" w:rsidR="00A2416E" w:rsidRDefault="00534832" w:rsidP="007E6201">
      <w:pPr>
        <w:pStyle w:val="Brdtext"/>
        <w:spacing w:before="86" w:line="213" w:lineRule="exact"/>
        <w:ind w:left="2364"/>
        <w:jc w:val="center"/>
      </w:pPr>
      <w:r>
        <w:rPr>
          <w:color w:val="010102"/>
        </w:rPr>
        <w:t xml:space="preserve">∑ </w:t>
      </w:r>
      <w:r>
        <w:rPr>
          <w:color w:val="010102"/>
          <w:vertAlign w:val="subscript"/>
        </w:rPr>
        <w:t>x</w:t>
      </w:r>
      <w:r>
        <w:rPr>
          <w:color w:val="010102"/>
        </w:rPr>
        <w:t xml:space="preserve"> (GHGi</w:t>
      </w:r>
      <w:r>
        <w:rPr>
          <w:color w:val="010102"/>
          <w:vertAlign w:val="subscript"/>
        </w:rPr>
        <w:t>x</w:t>
      </w:r>
      <w:r>
        <w:rPr>
          <w:color w:val="010102"/>
        </w:rPr>
        <w:t>×AF×MJ</w:t>
      </w:r>
      <w:r>
        <w:rPr>
          <w:color w:val="010102"/>
          <w:vertAlign w:val="subscript"/>
        </w:rPr>
        <w:t>x</w:t>
      </w:r>
      <w:r>
        <w:rPr>
          <w:color w:val="010102"/>
        </w:rPr>
        <w:t>) – UER</w:t>
      </w:r>
    </w:p>
    <w:p w14:paraId="5B0DC3E8" w14:textId="77777777" w:rsidR="00A2416E" w:rsidRDefault="00534832">
      <w:pPr>
        <w:pStyle w:val="Brdtext"/>
        <w:spacing w:line="191" w:lineRule="exact"/>
        <w:ind w:left="400"/>
        <w:jc w:val="both"/>
      </w:pPr>
      <w:r>
        <w:rPr>
          <w:color w:val="010102"/>
        </w:rPr>
        <w:t>Intensitatea gazelor cu efect de seră</w:t>
      </w:r>
      <w:r>
        <w:rPr>
          <w:color w:val="010102"/>
          <w:vertAlign w:val="subscript"/>
        </w:rPr>
        <w:t>#</w:t>
      </w:r>
      <w:r>
        <w:rPr>
          <w:color w:val="010102"/>
        </w:rPr>
        <w:t xml:space="preserve">  =  ––––––––––––––––––––––––</w:t>
      </w:r>
    </w:p>
    <w:p w14:paraId="3A218E26" w14:textId="77777777" w:rsidR="00A2416E" w:rsidRDefault="00534832" w:rsidP="007E6201">
      <w:pPr>
        <w:pStyle w:val="Brdtext"/>
        <w:spacing w:line="217" w:lineRule="exact"/>
        <w:ind w:left="2121"/>
        <w:jc w:val="center"/>
      </w:pPr>
      <w:r>
        <w:rPr>
          <w:color w:val="010102"/>
        </w:rPr>
        <w:t xml:space="preserve">∑ </w:t>
      </w:r>
      <w:r>
        <w:rPr>
          <w:color w:val="010102"/>
          <w:vertAlign w:val="subscript"/>
        </w:rPr>
        <w:t>x</w:t>
      </w:r>
      <w:r>
        <w:rPr>
          <w:color w:val="010102"/>
        </w:rPr>
        <w:t xml:space="preserve"> MJ</w:t>
      </w:r>
      <w:r>
        <w:rPr>
          <w:color w:val="010102"/>
          <w:vertAlign w:val="subscript"/>
        </w:rPr>
        <w:t>x</w:t>
      </w:r>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35A5DAC0" w:rsidR="00A2416E" w:rsidRDefault="00534832">
            <w:pPr>
              <w:pStyle w:val="TableParagraph"/>
              <w:spacing w:before="0" w:line="210" w:lineRule="exact"/>
              <w:ind w:left="200"/>
              <w:rPr>
                <w:sz w:val="19"/>
              </w:rPr>
            </w:pPr>
            <w:r>
              <w:rPr>
                <w:sz w:val="19"/>
              </w:rPr>
              <w:t>#</w:t>
            </w:r>
            <w:r>
              <w:rPr>
                <w:sz w:val="19"/>
              </w:rPr>
              <w:tab/>
            </w:r>
          </w:p>
        </w:tc>
        <w:tc>
          <w:tcPr>
            <w:tcW w:w="5497" w:type="dxa"/>
          </w:tcPr>
          <w:p w14:paraId="667260ED" w14:textId="36C5BB0A" w:rsidR="00A2416E" w:rsidRDefault="007E6201">
            <w:pPr>
              <w:pStyle w:val="TableParagraph"/>
              <w:spacing w:before="0" w:line="210" w:lineRule="exact"/>
              <w:ind w:left="85"/>
              <w:rPr>
                <w:sz w:val="19"/>
              </w:rPr>
            </w:pPr>
            <w:r>
              <w:rPr>
                <w:sz w:val="19"/>
              </w:rPr>
              <w:t>identificarea furnizorului</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combustibili care au fost livrați și care trebuie raportați</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r>
              <w:rPr>
                <w:i/>
                <w:sz w:val="19"/>
              </w:rPr>
              <w:t>GHGi</w:t>
            </w:r>
            <w:r>
              <w:rPr>
                <w:i/>
                <w:sz w:val="11"/>
              </w:rPr>
              <w:t>x</w:t>
            </w:r>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este suma emisiilor de gaze cu efect de seră exprimate ca g de CO</w:t>
            </w:r>
            <w:r>
              <w:rPr>
                <w:sz w:val="11"/>
              </w:rPr>
              <w:t>2</w:t>
            </w:r>
            <w:r>
              <w:rPr>
                <w:sz w:val="19"/>
              </w:rPr>
              <w:t>eq/MJ din toate biocomponentele și componentele fosile incluse în combustibilii care au fost livrați</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r>
              <w:rPr>
                <w:i/>
                <w:sz w:val="19"/>
              </w:rPr>
              <w:t>MJ</w:t>
            </w:r>
            <w:r>
              <w:rPr>
                <w:i/>
                <w:sz w:val="11"/>
              </w:rPr>
              <w:t>x</w:t>
            </w:r>
          </w:p>
        </w:tc>
        <w:tc>
          <w:tcPr>
            <w:tcW w:w="5497" w:type="dxa"/>
          </w:tcPr>
          <w:p w14:paraId="02BB1F8E" w14:textId="77777777" w:rsidR="00A2416E" w:rsidRDefault="00534832">
            <w:pPr>
              <w:pStyle w:val="TableParagraph"/>
              <w:spacing w:before="32" w:line="252" w:lineRule="auto"/>
              <w:ind w:left="85" w:right="170"/>
              <w:rPr>
                <w:sz w:val="19"/>
              </w:rPr>
            </w:pPr>
            <w:r>
              <w:rPr>
                <w:sz w:val="19"/>
              </w:rPr>
              <w:t>energia inclusă în componentele fosile și biocomponentele incluse în combustibilii care au fost livrați, exprimată în megajouli</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factorii de corecție pentru eficiența sistemului de acționare conform tabelului următor</w:t>
            </w:r>
          </w:p>
          <w:p w14:paraId="1791D3B1" w14:textId="77777777" w:rsidR="00A2416E" w:rsidRDefault="00534832">
            <w:pPr>
              <w:pStyle w:val="TableParagraph"/>
              <w:spacing w:before="12"/>
              <w:ind w:left="85"/>
              <w:rPr>
                <w:sz w:val="19"/>
              </w:rPr>
            </w:pPr>
            <w:r>
              <w:rPr>
                <w:sz w:val="19"/>
              </w:rPr>
              <w:t>mai jos</w:t>
            </w:r>
          </w:p>
        </w:tc>
      </w:tr>
      <w:tr w:rsidR="00A2416E" w14:paraId="690B8266" w14:textId="77777777">
        <w:trPr>
          <w:trHeight w:val="297"/>
        </w:trPr>
        <w:tc>
          <w:tcPr>
            <w:tcW w:w="800" w:type="dxa"/>
          </w:tcPr>
          <w:p w14:paraId="60FB116A" w14:textId="77777777" w:rsidR="00A2416E" w:rsidRDefault="00534832">
            <w:pPr>
              <w:pStyle w:val="TableParagraph"/>
              <w:spacing w:before="32"/>
              <w:ind w:left="200"/>
              <w:rPr>
                <w:i/>
                <w:sz w:val="19"/>
              </w:rPr>
            </w:pPr>
            <w:r>
              <w:rPr>
                <w:i/>
                <w:sz w:val="19"/>
              </w:rPr>
              <w:t>UER</w:t>
            </w:r>
          </w:p>
        </w:tc>
        <w:tc>
          <w:tcPr>
            <w:tcW w:w="5497" w:type="dxa"/>
          </w:tcPr>
          <w:p w14:paraId="1AD7EF7E" w14:textId="77777777" w:rsidR="00A2416E" w:rsidRDefault="00534832">
            <w:pPr>
              <w:pStyle w:val="TableParagraph"/>
              <w:spacing w:before="32" w:line="245" w:lineRule="exact"/>
              <w:ind w:left="85"/>
              <w:rPr>
                <w:sz w:val="19"/>
              </w:rPr>
            </w:pPr>
            <w:r>
              <w:rPr>
                <w:sz w:val="19"/>
              </w:rPr>
              <w:t>reducerea emisiilor din amonte măsurată ca g de CO</w:t>
            </w:r>
            <w:r>
              <w:rPr>
                <w:sz w:val="11"/>
              </w:rPr>
              <w:t>2</w:t>
            </w:r>
            <w:r>
              <w:rPr>
                <w:sz w:val="19"/>
              </w:rPr>
              <w:t>eq</w:t>
            </w:r>
          </w:p>
        </w:tc>
      </w:tr>
    </w:tbl>
    <w:p w14:paraId="799663C9" w14:textId="77777777" w:rsidR="00A2416E" w:rsidRDefault="00534832">
      <w:pPr>
        <w:pStyle w:val="Brdtext"/>
        <w:spacing w:before="132"/>
        <w:ind w:left="400"/>
        <w:jc w:val="both"/>
      </w:pPr>
      <w:r>
        <w:t>Emisiile trebuie corectate pentru eficiența sistemului de acționare și pentru emisiile din amonte.</w:t>
      </w:r>
    </w:p>
    <w:p w14:paraId="197F02F8" w14:textId="77777777" w:rsidR="00A2416E" w:rsidRDefault="00A2416E">
      <w:pPr>
        <w:pStyle w:val="Brdtext"/>
        <w:rPr>
          <w:sz w:val="28"/>
        </w:rPr>
      </w:pPr>
    </w:p>
    <w:tbl>
      <w:tblPr>
        <w:tblStyle w:val="TableNormal1"/>
        <w:tblW w:w="0" w:type="auto"/>
        <w:tblInd w:w="407" w:type="dxa"/>
        <w:tblLayout w:type="fixed"/>
        <w:tblLook w:val="01E0" w:firstRow="1" w:lastRow="1" w:firstColumn="1" w:lastColumn="1" w:noHBand="0" w:noVBand="0"/>
      </w:tblPr>
      <w:tblGrid>
        <w:gridCol w:w="3368"/>
        <w:gridCol w:w="1656"/>
      </w:tblGrid>
      <w:tr w:rsidR="00A2416E" w14:paraId="28F08263" w14:textId="77777777">
        <w:trPr>
          <w:trHeight w:val="325"/>
        </w:trPr>
        <w:tc>
          <w:tcPr>
            <w:tcW w:w="3368"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Zona principală de utilizare</w:t>
            </w:r>
          </w:p>
        </w:tc>
        <w:tc>
          <w:tcPr>
            <w:tcW w:w="1656" w:type="dxa"/>
            <w:tcBorders>
              <w:top w:val="single" w:sz="4" w:space="0" w:color="000000"/>
              <w:bottom w:val="single" w:sz="4" w:space="0" w:color="000000"/>
            </w:tcBorders>
          </w:tcPr>
          <w:p w14:paraId="2AE18678" w14:textId="77777777" w:rsidR="00A2416E" w:rsidRDefault="00534832">
            <w:pPr>
              <w:pStyle w:val="TableParagraph"/>
              <w:spacing w:before="67"/>
              <w:ind w:left="237"/>
              <w:rPr>
                <w:b/>
                <w:sz w:val="16"/>
              </w:rPr>
            </w:pPr>
            <w:r>
              <w:rPr>
                <w:b/>
                <w:sz w:val="16"/>
              </w:rPr>
              <w:t>Factorul de eficacitate</w:t>
            </w:r>
          </w:p>
        </w:tc>
      </w:tr>
      <w:tr w:rsidR="00A2416E" w14:paraId="63DF21ED" w14:textId="77777777">
        <w:trPr>
          <w:trHeight w:val="295"/>
        </w:trPr>
        <w:tc>
          <w:tcPr>
            <w:tcW w:w="3368" w:type="dxa"/>
            <w:tcBorders>
              <w:top w:val="single" w:sz="4" w:space="0" w:color="000000"/>
            </w:tcBorders>
          </w:tcPr>
          <w:p w14:paraId="2DC6CCCF" w14:textId="77777777" w:rsidR="00A2416E" w:rsidRDefault="00534832">
            <w:pPr>
              <w:pStyle w:val="TableParagraph"/>
              <w:spacing w:before="72"/>
              <w:ind w:left="0"/>
              <w:rPr>
                <w:sz w:val="17"/>
              </w:rPr>
            </w:pPr>
            <w:r>
              <w:rPr>
                <w:sz w:val="17"/>
              </w:rPr>
              <w:t>Motoare cu ardere internă</w:t>
            </w:r>
          </w:p>
        </w:tc>
        <w:tc>
          <w:tcPr>
            <w:tcW w:w="1656" w:type="dxa"/>
            <w:tcBorders>
              <w:top w:val="single" w:sz="4" w:space="0" w:color="000000"/>
            </w:tcBorders>
          </w:tcPr>
          <w:p w14:paraId="3EABE78F" w14:textId="77777777" w:rsidR="00A2416E" w:rsidRDefault="00534832">
            <w:pPr>
              <w:pStyle w:val="TableParagraph"/>
              <w:spacing w:before="72"/>
              <w:ind w:left="237"/>
              <w:rPr>
                <w:sz w:val="17"/>
              </w:rPr>
            </w:pPr>
            <w:r>
              <w:rPr>
                <w:sz w:val="17"/>
              </w:rPr>
              <w:t>1</w:t>
            </w:r>
          </w:p>
        </w:tc>
      </w:tr>
      <w:tr w:rsidR="00A2416E" w14:paraId="17A28BEE" w14:textId="77777777">
        <w:trPr>
          <w:trHeight w:val="242"/>
        </w:trPr>
        <w:tc>
          <w:tcPr>
            <w:tcW w:w="3368" w:type="dxa"/>
          </w:tcPr>
          <w:p w14:paraId="02257E28" w14:textId="77777777" w:rsidR="00A2416E" w:rsidRDefault="00534832">
            <w:pPr>
              <w:pStyle w:val="TableParagraph"/>
              <w:spacing w:before="20"/>
              <w:ind w:left="0"/>
              <w:rPr>
                <w:sz w:val="17"/>
              </w:rPr>
            </w:pPr>
            <w:r>
              <w:rPr>
                <w:sz w:val="17"/>
              </w:rPr>
              <w:t>Sisteme electrice alimentate de la baterie</w:t>
            </w:r>
          </w:p>
        </w:tc>
        <w:tc>
          <w:tcPr>
            <w:tcW w:w="1656" w:type="dxa"/>
          </w:tcPr>
          <w:p w14:paraId="73657E13" w14:textId="77777777" w:rsidR="00A2416E" w:rsidRDefault="00534832">
            <w:pPr>
              <w:pStyle w:val="TableParagraph"/>
              <w:spacing w:before="20"/>
              <w:ind w:left="237"/>
              <w:rPr>
                <w:sz w:val="17"/>
              </w:rPr>
            </w:pPr>
            <w:r>
              <w:rPr>
                <w:sz w:val="17"/>
              </w:rPr>
              <w:t>0,4</w:t>
            </w:r>
          </w:p>
        </w:tc>
      </w:tr>
      <w:tr w:rsidR="00A2416E" w14:paraId="320937A7" w14:textId="77777777">
        <w:trPr>
          <w:trHeight w:val="287"/>
        </w:trPr>
        <w:tc>
          <w:tcPr>
            <w:tcW w:w="3368" w:type="dxa"/>
            <w:tcBorders>
              <w:bottom w:val="single" w:sz="4" w:space="0" w:color="000000"/>
            </w:tcBorders>
          </w:tcPr>
          <w:p w14:paraId="51DED897" w14:textId="77777777" w:rsidR="00A2416E" w:rsidRDefault="00534832">
            <w:pPr>
              <w:pStyle w:val="TableParagraph"/>
              <w:spacing w:before="20"/>
              <w:ind w:left="0"/>
              <w:rPr>
                <w:sz w:val="17"/>
              </w:rPr>
            </w:pPr>
            <w:r>
              <w:rPr>
                <w:sz w:val="17"/>
              </w:rPr>
              <w:t>Sistem de acționare electrică cu pilă de hidrogen</w:t>
            </w:r>
          </w:p>
        </w:tc>
        <w:tc>
          <w:tcPr>
            <w:tcW w:w="1656" w:type="dxa"/>
            <w:tcBorders>
              <w:bottom w:val="single" w:sz="4" w:space="0" w:color="000000"/>
            </w:tcBorders>
          </w:tcPr>
          <w:p w14:paraId="6D27FC5C" w14:textId="77777777" w:rsidR="00A2416E" w:rsidRDefault="00534832">
            <w:pPr>
              <w:pStyle w:val="TableParagraph"/>
              <w:spacing w:before="20"/>
              <w:ind w:left="237"/>
              <w:rPr>
                <w:sz w:val="17"/>
              </w:rPr>
            </w:pPr>
            <w:r>
              <w:rPr>
                <w:sz w:val="17"/>
              </w:rPr>
              <w:t>0,4</w:t>
            </w:r>
          </w:p>
        </w:tc>
      </w:tr>
    </w:tbl>
    <w:p w14:paraId="26A8E09B" w14:textId="77777777" w:rsidR="00A2416E" w:rsidRDefault="00A2416E">
      <w:pPr>
        <w:pStyle w:val="Brdtext"/>
        <w:spacing w:before="10"/>
        <w:rPr>
          <w:sz w:val="28"/>
        </w:rPr>
      </w:pPr>
    </w:p>
    <w:p w14:paraId="37BD531B" w14:textId="77777777" w:rsidR="00A2416E" w:rsidRDefault="00534832">
      <w:pPr>
        <w:pStyle w:val="Brdtext"/>
        <w:spacing w:before="1" w:line="273" w:lineRule="auto"/>
        <w:ind w:left="400" w:right="238"/>
        <w:jc w:val="both"/>
      </w:pPr>
      <w:r>
        <w:rPr>
          <w:b/>
        </w:rPr>
        <w:t>Articolul 12a</w:t>
      </w:r>
      <w:r>
        <w:t xml:space="preserve"> Ca bază pentru informațiile de mediu, un furnizor de combustibil calculează intensitatea gazelor cu efect de seră pentru produsele comercializate conform următoarei formule:</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(GHGi</w:t>
      </w:r>
      <w:r>
        <w:rPr>
          <w:color w:val="010102"/>
          <w:sz w:val="12"/>
        </w:rPr>
        <w:t xml:space="preserve">x </w:t>
      </w:r>
      <w:r>
        <w:rPr>
          <w:color w:val="010102"/>
        </w:rPr>
        <w:t>× MJ</w:t>
      </w:r>
      <w:r>
        <w:rPr>
          <w:color w:val="010102"/>
          <w:sz w:val="12"/>
        </w:rPr>
        <w:t>x</w:t>
      </w:r>
      <w:r>
        <w:rPr>
          <w:color w:val="010102"/>
        </w:rPr>
        <w:t>) GHGi</w:t>
      </w:r>
      <w:r>
        <w:rPr>
          <w:color w:val="010102"/>
          <w:sz w:val="11"/>
        </w:rPr>
        <w:t xml:space="preserve">a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r>
        <w:rPr>
          <w:color w:val="010102"/>
          <w:sz w:val="19"/>
        </w:rPr>
        <w:t>MJ</w:t>
      </w:r>
      <w:r>
        <w:rPr>
          <w:color w:val="010102"/>
          <w:sz w:val="12"/>
        </w:rPr>
        <w:t>x</w:t>
      </w:r>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Unde:</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a</w:t>
            </w:r>
          </w:p>
        </w:tc>
        <w:tc>
          <w:tcPr>
            <w:tcW w:w="5495" w:type="dxa"/>
          </w:tcPr>
          <w:p w14:paraId="3E518B6F" w14:textId="77777777" w:rsidR="00A2416E" w:rsidRDefault="00534832">
            <w:pPr>
              <w:pStyle w:val="TableParagraph"/>
              <w:spacing w:before="0" w:line="210" w:lineRule="exact"/>
              <w:ind w:left="57"/>
              <w:rPr>
                <w:sz w:val="19"/>
              </w:rPr>
            </w:pPr>
            <w:r>
              <w:rPr>
                <w:sz w:val="19"/>
              </w:rPr>
              <w:t>un produs combustibil livrat și care trebuie raportat</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componentele produsului care trebuie raportat</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r>
              <w:rPr>
                <w:i/>
                <w:sz w:val="19"/>
              </w:rPr>
              <w:t>GHGi</w:t>
            </w:r>
            <w:r>
              <w:rPr>
                <w:i/>
                <w:sz w:val="11"/>
              </w:rPr>
              <w:t>x</w:t>
            </w:r>
          </w:p>
        </w:tc>
        <w:tc>
          <w:tcPr>
            <w:tcW w:w="5495" w:type="dxa"/>
          </w:tcPr>
          <w:p w14:paraId="1FA05581" w14:textId="77777777" w:rsidR="00A2416E" w:rsidRDefault="00534832">
            <w:pPr>
              <w:pStyle w:val="TableParagraph"/>
              <w:spacing w:before="17" w:line="230" w:lineRule="exact"/>
              <w:ind w:left="57"/>
              <w:rPr>
                <w:sz w:val="19"/>
              </w:rPr>
            </w:pPr>
            <w:r>
              <w:rPr>
                <w:sz w:val="19"/>
              </w:rPr>
              <w:t>intensitatea gazelor cu efect de seră pentru componentele respective incluse în produsul a, exprimată în g de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r>
              <w:rPr>
                <w:i/>
                <w:sz w:val="19"/>
              </w:rPr>
              <w:t>MJ</w:t>
            </w:r>
            <w:r>
              <w:rPr>
                <w:i/>
                <w:sz w:val="11"/>
              </w:rPr>
              <w:t>x</w:t>
            </w:r>
          </w:p>
        </w:tc>
        <w:tc>
          <w:tcPr>
            <w:tcW w:w="5495" w:type="dxa"/>
          </w:tcPr>
          <w:p w14:paraId="3E93CD66" w14:textId="77777777" w:rsidR="00A2416E" w:rsidRDefault="00534832">
            <w:pPr>
              <w:pStyle w:val="TableParagraph"/>
              <w:spacing w:before="0" w:line="252" w:lineRule="auto"/>
              <w:ind w:left="57"/>
              <w:rPr>
                <w:sz w:val="19"/>
              </w:rPr>
            </w:pPr>
            <w:r>
              <w:rPr>
                <w:sz w:val="19"/>
              </w:rPr>
              <w:t>energia inclusă în componentele care sunt incluse în produsul a, exprimată în megajouli</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r>
              <w:rPr>
                <w:i/>
                <w:sz w:val="19"/>
              </w:rPr>
              <w:t>GHGi</w:t>
            </w:r>
            <w:r>
              <w:rPr>
                <w:i/>
                <w:sz w:val="11"/>
              </w:rPr>
              <w:t>a</w:t>
            </w:r>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emisiile de gaze cu efect de seră exprimate în g de CO</w:t>
            </w:r>
            <w:r>
              <w:rPr>
                <w:sz w:val="11"/>
              </w:rPr>
              <w:t>2</w:t>
            </w:r>
            <w:r>
              <w:rPr>
                <w:sz w:val="19"/>
              </w:rPr>
              <w:t>eq/MJ din toate biocomponentele și componentele fosile incluse în produsul livrat.</w:t>
            </w:r>
          </w:p>
        </w:tc>
      </w:tr>
    </w:tbl>
    <w:p w14:paraId="631CE3C8" w14:textId="77777777" w:rsidR="00A2416E" w:rsidRDefault="00A2416E">
      <w:pPr>
        <w:pStyle w:val="Brdtext"/>
        <w:rPr>
          <w:sz w:val="20"/>
        </w:rPr>
      </w:pPr>
    </w:p>
    <w:p w14:paraId="665B4BAB" w14:textId="77777777" w:rsidR="00A2416E" w:rsidRDefault="00A2416E">
      <w:pPr>
        <w:pStyle w:val="Brdtext"/>
        <w:spacing w:before="10"/>
        <w:rPr>
          <w:sz w:val="21"/>
        </w:rPr>
      </w:pPr>
    </w:p>
    <w:p w14:paraId="5772BB0F" w14:textId="77777777" w:rsidR="00A2416E" w:rsidRDefault="00534832">
      <w:pPr>
        <w:pStyle w:val="Rubrik3"/>
        <w:ind w:left="0" w:right="155"/>
        <w:jc w:val="right"/>
      </w:pPr>
      <w:r>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Articolul 13</w:t>
      </w:r>
      <w:r>
        <w:t xml:space="preserve"> Prin efectuarea calculelor de la articolul 12, un furnizor de combustibil calculează emisiile de gaze cu efect de seră din componentele fosile în conformitate cu valorile normale ponderate din anexa 1.</w:t>
      </w:r>
    </w:p>
    <w:p w14:paraId="10BFD7DE" w14:textId="77777777" w:rsidR="00A2416E" w:rsidRDefault="00534832">
      <w:pPr>
        <w:pStyle w:val="Brdtext"/>
        <w:spacing w:before="115" w:line="273" w:lineRule="auto"/>
        <w:ind w:left="117" w:right="381"/>
        <w:jc w:val="both"/>
      </w:pPr>
      <w:r>
        <w:t>Prin efectuarea calculelor de la articolul 12a, un furnizor de combustibil calculează emisiile de gaze cu efect de seră din componentele fosile în conformitate cu valorile normale pentru sursa specifică de materii prime din anexa 1.</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Reducerea emisiilor din amonte</w:t>
      </w:r>
    </w:p>
    <w:p w14:paraId="0796A5BC" w14:textId="77777777" w:rsidR="00A2416E" w:rsidRDefault="00534832">
      <w:pPr>
        <w:pStyle w:val="Brdtext"/>
        <w:spacing w:before="141" w:line="273" w:lineRule="auto"/>
        <w:ind w:left="117" w:right="380"/>
        <w:jc w:val="both"/>
      </w:pPr>
      <w:r>
        <w:rPr>
          <w:b/>
        </w:rPr>
        <w:t>Articolul 16</w:t>
      </w:r>
      <w:r>
        <w:t xml:space="preserve"> Pentru ca un furnizor de combustibil să poată fi creditat cu o reducere a emisiilor din amonte la calcularea intensității gazelor cu efect de seră în conformitate cu articolul 12, furnizorul de combustibil trebuie să raporteze următoarele informații Agenției suedeze pentru energie:</w:t>
      </w:r>
    </w:p>
    <w:p w14:paraId="3960C5E9" w14:textId="77777777" w:rsidR="00A2416E" w:rsidRDefault="00534832">
      <w:pPr>
        <w:pStyle w:val="Liststycke"/>
        <w:numPr>
          <w:ilvl w:val="0"/>
          <w:numId w:val="1"/>
        </w:numPr>
        <w:tabs>
          <w:tab w:val="left" w:pos="316"/>
        </w:tabs>
        <w:jc w:val="both"/>
        <w:rPr>
          <w:sz w:val="19"/>
        </w:rPr>
      </w:pPr>
      <w:r>
        <w:rPr>
          <w:sz w:val="19"/>
        </w:rPr>
        <w:t>data începerii proiectului, care trebuie să fie ulterioară datei de 1 ianuarie 2011;</w:t>
      </w:r>
    </w:p>
    <w:p w14:paraId="50955759" w14:textId="77777777" w:rsidR="00A2416E" w:rsidRDefault="00534832">
      <w:pPr>
        <w:pStyle w:val="Liststycke"/>
        <w:numPr>
          <w:ilvl w:val="0"/>
          <w:numId w:val="1"/>
        </w:numPr>
        <w:tabs>
          <w:tab w:val="left" w:pos="316"/>
        </w:tabs>
        <w:jc w:val="both"/>
        <w:rPr>
          <w:sz w:val="19"/>
        </w:rPr>
      </w:pPr>
      <w:r>
        <w:rPr>
          <w:sz w:val="19"/>
        </w:rPr>
        <w:t>reducerile anuale ale emisiilor ca g de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perioada în care a avut loc reducerea pretinsă;</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poziția geografică a proiectului cea mai apropiată de sursa de emisii, sub formă de coordonate de latitudine și longitudine în grade cu a patra zecimală;</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rPr>
          <w:sz w:val="19"/>
        </w:rPr>
        <w:t>standardul minim pentru emisiile anuale înainte de implementarea măsurilor de reducere și a emisiilor anuale după ce măsurile de reducere au fost implementate ca CO</w:t>
      </w:r>
      <w:r>
        <w:rPr>
          <w:sz w:val="11"/>
        </w:rPr>
        <w:t>2</w:t>
      </w:r>
      <w:r>
        <w:rPr>
          <w:sz w:val="19"/>
        </w:rPr>
        <w:t>eq/MJ pentru materia primă produsă;</w:t>
      </w:r>
    </w:p>
    <w:p w14:paraId="60C84C29" w14:textId="77777777" w:rsidR="00A2416E" w:rsidRDefault="00534832">
      <w:pPr>
        <w:pStyle w:val="Liststycke"/>
        <w:numPr>
          <w:ilvl w:val="0"/>
          <w:numId w:val="1"/>
        </w:numPr>
        <w:tabs>
          <w:tab w:val="left" w:pos="316"/>
        </w:tabs>
        <w:jc w:val="both"/>
        <w:rPr>
          <w:sz w:val="19"/>
        </w:rPr>
      </w:pPr>
      <w:r>
        <w:rPr>
          <w:sz w:val="19"/>
        </w:rPr>
        <w:t>un număr de certificat nereutilizabil care identifică în mod unic sistemul și</w:t>
      </w:r>
    </w:p>
    <w:p w14:paraId="7F1E9855" w14:textId="77777777" w:rsidR="00A2416E" w:rsidRDefault="00534832">
      <w:pPr>
        <w:pStyle w:val="Brdtext"/>
        <w:spacing w:before="12"/>
        <w:ind w:left="315"/>
        <w:jc w:val="both"/>
      </w:pPr>
      <w:r>
        <w:t>reducerile de gaze cu efect de seră pretinse;</w:t>
      </w:r>
    </w:p>
    <w:p w14:paraId="53C6F41B" w14:textId="77777777" w:rsidR="00A2416E" w:rsidRDefault="00534832">
      <w:pPr>
        <w:pStyle w:val="Liststycke"/>
        <w:numPr>
          <w:ilvl w:val="0"/>
          <w:numId w:val="1"/>
        </w:numPr>
        <w:tabs>
          <w:tab w:val="left" w:pos="316"/>
        </w:tabs>
        <w:jc w:val="both"/>
        <w:rPr>
          <w:sz w:val="19"/>
        </w:rPr>
      </w:pPr>
      <w:r>
        <w:rPr>
          <w:sz w:val="19"/>
        </w:rPr>
        <w:t>un număr nereutilizabil care identifică în mod unic metoda de calcul și</w:t>
      </w:r>
    </w:p>
    <w:p w14:paraId="128F9A23" w14:textId="77777777" w:rsidR="00A2416E" w:rsidRDefault="00534832">
      <w:pPr>
        <w:pStyle w:val="Brdtext"/>
        <w:spacing w:before="11"/>
        <w:ind w:left="315"/>
        <w:jc w:val="both"/>
      </w:pPr>
      <w:r>
        <w:t>sistemul asociat.</w:t>
      </w:r>
    </w:p>
    <w:p w14:paraId="2A18DA87" w14:textId="77777777" w:rsidR="00A2416E" w:rsidRDefault="00A2416E">
      <w:pPr>
        <w:pStyle w:val="Brdtext"/>
        <w:rPr>
          <w:sz w:val="29"/>
        </w:rPr>
      </w:pPr>
    </w:p>
    <w:p w14:paraId="16842E29" w14:textId="77777777" w:rsidR="00A2416E" w:rsidRDefault="00534832">
      <w:pPr>
        <w:pStyle w:val="Rubrik2"/>
        <w:spacing w:before="0"/>
      </w:pPr>
      <w:r>
        <w:t>Dispoziții privind intrarea în vigoare</w:t>
      </w:r>
    </w:p>
    <w:p w14:paraId="67EB8873" w14:textId="77777777" w:rsidR="00A2416E" w:rsidRDefault="00534832" w:rsidP="00F33EEE">
      <w:pPr>
        <w:pStyle w:val="Brdtext"/>
        <w:spacing w:before="140" w:line="461" w:lineRule="auto"/>
        <w:ind w:left="119" w:right="1701"/>
      </w:pPr>
      <w:r>
        <w:t>Prezentele reglementări intră în vigoare la 24 februarie 2021. În numele Agenției Fiscale Suedeze</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Robert Andrén</w:t>
      </w:r>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76DFAC04" w14:textId="77777777" w:rsidR="00A2416E" w:rsidRDefault="00A2416E">
      <w:pPr>
        <w:pStyle w:val="Brdtext"/>
        <w:rPr>
          <w:sz w:val="20"/>
        </w:rPr>
      </w:pPr>
    </w:p>
    <w:p w14:paraId="7DD6FC54" w14:textId="77777777" w:rsidR="00A2416E" w:rsidRDefault="00A2416E">
      <w:pPr>
        <w:pStyle w:val="Brdtext"/>
        <w:rPr>
          <w:sz w:val="20"/>
        </w:rPr>
      </w:pPr>
    </w:p>
    <w:p w14:paraId="3B9B0B7E" w14:textId="77777777" w:rsidR="00A2416E" w:rsidRDefault="00A2416E">
      <w:pPr>
        <w:pStyle w:val="Brdtext"/>
        <w:rPr>
          <w:sz w:val="20"/>
        </w:rPr>
      </w:pPr>
    </w:p>
    <w:p w14:paraId="4614A6AE" w14:textId="77777777" w:rsidR="00A2416E" w:rsidRDefault="00A2416E">
      <w:pPr>
        <w:pStyle w:val="Brdtext"/>
        <w:rPr>
          <w:sz w:val="20"/>
        </w:rPr>
      </w:pPr>
    </w:p>
    <w:p w14:paraId="214B4D1C" w14:textId="77777777" w:rsidR="00A2416E" w:rsidRDefault="00A2416E">
      <w:pPr>
        <w:pStyle w:val="Brdtext"/>
        <w:rPr>
          <w:sz w:val="20"/>
        </w:rPr>
      </w:pPr>
    </w:p>
    <w:p w14:paraId="60D9F43A" w14:textId="77777777" w:rsidR="00A2416E" w:rsidRDefault="00A2416E">
      <w:pPr>
        <w:pStyle w:val="Brdtext"/>
        <w:spacing w:before="10"/>
        <w:rPr>
          <w:sz w:val="22"/>
        </w:rPr>
      </w:pPr>
    </w:p>
    <w:p w14:paraId="247B32BC" w14:textId="77777777" w:rsidR="00A2416E" w:rsidRDefault="00534832">
      <w:pPr>
        <w:pStyle w:val="Rubrik3"/>
        <w:spacing w:before="112"/>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Anexa 1</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Intensitatea normală a gazelor cu efect de seră pe durata ciclului de viață pentru componentele combustibililor fosili</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1803"/>
        <w:gridCol w:w="1361"/>
        <w:gridCol w:w="1574"/>
      </w:tblGrid>
      <w:tr w:rsidR="00A2416E" w14:paraId="13BAB754" w14:textId="77777777">
        <w:trPr>
          <w:trHeight w:val="895"/>
        </w:trPr>
        <w:tc>
          <w:tcPr>
            <w:tcW w:w="2230"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Sursa și procesul de materii prime</w:t>
            </w:r>
          </w:p>
        </w:tc>
        <w:tc>
          <w:tcPr>
            <w:tcW w:w="1803"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Combustibil introdus pe piață</w:t>
            </w:r>
          </w:p>
        </w:tc>
        <w:tc>
          <w:tcPr>
            <w:tcW w:w="1361" w:type="dxa"/>
            <w:tcBorders>
              <w:left w:val="single" w:sz="6" w:space="0" w:color="000000"/>
              <w:right w:val="single" w:sz="6" w:space="0" w:color="000000"/>
            </w:tcBorders>
          </w:tcPr>
          <w:p w14:paraId="0199DD9D" w14:textId="77777777" w:rsidR="00A2416E" w:rsidRDefault="00534832">
            <w:pPr>
              <w:pStyle w:val="TableParagraph"/>
              <w:spacing w:before="67" w:line="247" w:lineRule="auto"/>
              <w:ind w:right="134"/>
              <w:rPr>
                <w:b/>
                <w:sz w:val="16"/>
              </w:rPr>
            </w:pPr>
            <w:r>
              <w:rPr>
                <w:b/>
                <w:sz w:val="16"/>
              </w:rPr>
              <w:t>Intensitatea gazelor cu efect de seră generate de ciclul de viață (gCO</w:t>
            </w:r>
            <w:r>
              <w:rPr>
                <w:b/>
                <w:sz w:val="9"/>
              </w:rPr>
              <w:t>2</w:t>
            </w:r>
            <w:r>
              <w:rPr>
                <w:b/>
                <w:sz w:val="16"/>
              </w:rPr>
              <w:t xml:space="preserve"> eq/MJ)</w:t>
            </w:r>
          </w:p>
        </w:tc>
        <w:tc>
          <w:tcPr>
            <w:tcW w:w="1574" w:type="dxa"/>
            <w:tcBorders>
              <w:left w:val="single" w:sz="6" w:space="0" w:color="000000"/>
              <w:right w:val="nil"/>
            </w:tcBorders>
          </w:tcPr>
          <w:p w14:paraId="06D77BF2" w14:textId="77777777" w:rsidR="00A2416E" w:rsidRDefault="00534832">
            <w:pPr>
              <w:pStyle w:val="TableParagraph"/>
              <w:spacing w:before="67" w:line="247" w:lineRule="auto"/>
              <w:ind w:right="114"/>
              <w:rPr>
                <w:b/>
                <w:sz w:val="16"/>
              </w:rPr>
            </w:pPr>
            <w:r>
              <w:rPr>
                <w:b/>
                <w:sz w:val="16"/>
              </w:rPr>
              <w:t>Intensitatea gazelor cu efect de seră generate de ciclul de viață limitat (gCO</w:t>
            </w:r>
            <w:r>
              <w:rPr>
                <w:b/>
                <w:sz w:val="9"/>
              </w:rPr>
              <w:t>2</w:t>
            </w:r>
            <w:r>
              <w:rPr>
                <w:b/>
                <w:sz w:val="16"/>
              </w:rPr>
              <w:t xml:space="preserve"> eq/MJ)</w:t>
            </w:r>
          </w:p>
        </w:tc>
      </w:tr>
      <w:tr w:rsidR="00A2416E" w14:paraId="3873426A" w14:textId="77777777">
        <w:trPr>
          <w:trHeight w:val="280"/>
        </w:trPr>
        <w:tc>
          <w:tcPr>
            <w:tcW w:w="2230"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Ulei brut convențional</w:t>
            </w:r>
            <w:r>
              <w:rPr>
                <w:sz w:val="10"/>
              </w:rPr>
              <w:t>1</w:t>
            </w:r>
          </w:p>
        </w:tc>
        <w:tc>
          <w:tcPr>
            <w:tcW w:w="1803"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Benzină</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trPr>
          <w:trHeight w:val="272"/>
        </w:trPr>
        <w:tc>
          <w:tcPr>
            <w:tcW w:w="2230"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Gaz natural lichefiat</w:t>
            </w:r>
          </w:p>
        </w:tc>
        <w:tc>
          <w:tcPr>
            <w:tcW w:w="1803"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trPr>
          <w:trHeight w:val="462"/>
        </w:trPr>
        <w:tc>
          <w:tcPr>
            <w:tcW w:w="2230"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Ulei sintetic obținut din cărbune</w:t>
            </w:r>
          </w:p>
        </w:tc>
        <w:tc>
          <w:tcPr>
            <w:tcW w:w="1803"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trPr>
          <w:trHeight w:val="272"/>
        </w:trPr>
        <w:tc>
          <w:tcPr>
            <w:tcW w:w="2230"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bitum natural</w:t>
            </w:r>
            <w:r>
              <w:rPr>
                <w:sz w:val="10"/>
              </w:rPr>
              <w:t>2</w:t>
            </w:r>
          </w:p>
        </w:tc>
        <w:tc>
          <w:tcPr>
            <w:tcW w:w="1803"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trPr>
          <w:trHeight w:val="272"/>
        </w:trPr>
        <w:tc>
          <w:tcPr>
            <w:tcW w:w="2230"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Oil șist</w:t>
            </w:r>
            <w:r>
              <w:rPr>
                <w:sz w:val="10"/>
              </w:rPr>
              <w:t>3</w:t>
            </w:r>
          </w:p>
        </w:tc>
        <w:tc>
          <w:tcPr>
            <w:tcW w:w="1803"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trPr>
          <w:trHeight w:val="272"/>
        </w:trPr>
        <w:tc>
          <w:tcPr>
            <w:tcW w:w="2230"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Ulei brut convențional</w:t>
            </w:r>
            <w:r>
              <w:rPr>
                <w:sz w:val="10"/>
              </w:rPr>
              <w:t>1</w:t>
            </w:r>
          </w:p>
        </w:tc>
        <w:tc>
          <w:tcPr>
            <w:tcW w:w="1803"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Combustibil diesel sau motorină</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trPr>
          <w:trHeight w:val="272"/>
        </w:trPr>
        <w:tc>
          <w:tcPr>
            <w:tcW w:w="2230"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Gaz natural lichefiat</w:t>
            </w:r>
          </w:p>
        </w:tc>
        <w:tc>
          <w:tcPr>
            <w:tcW w:w="1803"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trPr>
          <w:trHeight w:val="462"/>
        </w:trPr>
        <w:tc>
          <w:tcPr>
            <w:tcW w:w="2230"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Ulei sintetic obținut din cărbune</w:t>
            </w:r>
          </w:p>
        </w:tc>
        <w:tc>
          <w:tcPr>
            <w:tcW w:w="1803"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trPr>
          <w:trHeight w:val="272"/>
        </w:trPr>
        <w:tc>
          <w:tcPr>
            <w:tcW w:w="2230"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bitum natural</w:t>
            </w:r>
            <w:r>
              <w:rPr>
                <w:sz w:val="10"/>
              </w:rPr>
              <w:t>2</w:t>
            </w:r>
          </w:p>
        </w:tc>
        <w:tc>
          <w:tcPr>
            <w:tcW w:w="1803"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trPr>
          <w:trHeight w:val="272"/>
        </w:trPr>
        <w:tc>
          <w:tcPr>
            <w:tcW w:w="2230"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Oil șist</w:t>
            </w:r>
            <w:r>
              <w:rPr>
                <w:sz w:val="10"/>
              </w:rPr>
              <w:t>3</w:t>
            </w:r>
          </w:p>
        </w:tc>
        <w:tc>
          <w:tcPr>
            <w:tcW w:w="1803"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trPr>
          <w:trHeight w:val="462"/>
        </w:trPr>
        <w:tc>
          <w:tcPr>
            <w:tcW w:w="2230" w:type="dxa"/>
            <w:tcBorders>
              <w:top w:val="single" w:sz="6" w:space="0" w:color="000000"/>
              <w:left w:val="nil"/>
              <w:bottom w:val="single" w:sz="6" w:space="0" w:color="000000"/>
              <w:right w:val="single" w:sz="6" w:space="0" w:color="000000"/>
            </w:tcBorders>
          </w:tcPr>
          <w:p w14:paraId="34E5B109" w14:textId="77777777" w:rsidR="00A2416E" w:rsidRDefault="00534832" w:rsidP="00F33EEE">
            <w:pPr>
              <w:pStyle w:val="TableParagraph"/>
              <w:ind w:left="6"/>
              <w:rPr>
                <w:sz w:val="17"/>
              </w:rPr>
            </w:pPr>
            <w:r>
              <w:rPr>
                <w:sz w:val="17"/>
              </w:rPr>
              <w:t>Toate sursele fosile</w:t>
            </w:r>
          </w:p>
        </w:tc>
        <w:tc>
          <w:tcPr>
            <w:tcW w:w="1803"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rsidP="00F33EEE">
            <w:pPr>
              <w:pStyle w:val="TableParagraph"/>
              <w:spacing w:before="41" w:line="233" w:lineRule="auto"/>
              <w:ind w:left="113"/>
              <w:rPr>
                <w:sz w:val="17"/>
              </w:rPr>
            </w:pPr>
            <w:r>
              <w:rPr>
                <w:sz w:val="17"/>
              </w:rPr>
              <w:t>GPL într-un motor cu aprindere prin scânteie</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trPr>
          <w:trHeight w:val="652"/>
        </w:trPr>
        <w:tc>
          <w:tcPr>
            <w:tcW w:w="2230" w:type="dxa"/>
            <w:tcBorders>
              <w:top w:val="single" w:sz="6" w:space="0" w:color="000000"/>
              <w:left w:val="nil"/>
              <w:bottom w:val="single" w:sz="6" w:space="0" w:color="000000"/>
              <w:right w:val="single" w:sz="6" w:space="0" w:color="000000"/>
            </w:tcBorders>
          </w:tcPr>
          <w:p w14:paraId="037893B3" w14:textId="77777777" w:rsidR="00A2416E" w:rsidRDefault="00534832" w:rsidP="00F33EEE">
            <w:pPr>
              <w:pStyle w:val="TableParagraph"/>
              <w:ind w:left="6"/>
              <w:rPr>
                <w:sz w:val="17"/>
              </w:rPr>
            </w:pPr>
            <w:r>
              <w:rPr>
                <w:sz w:val="17"/>
              </w:rPr>
              <w:t>Gazele naturale, mixul energetic al UE</w:t>
            </w:r>
          </w:p>
        </w:tc>
        <w:tc>
          <w:tcPr>
            <w:tcW w:w="1803"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rsidP="00F33EEE">
            <w:pPr>
              <w:pStyle w:val="TableParagraph"/>
              <w:spacing w:before="41" w:line="233" w:lineRule="auto"/>
              <w:ind w:left="113"/>
              <w:rPr>
                <w:sz w:val="17"/>
              </w:rPr>
            </w:pPr>
            <w:r>
              <w:rPr>
                <w:sz w:val="17"/>
              </w:rPr>
              <w:t>Gaz natural comprimat într-un motor cu aprindere prin scânteie</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trPr>
          <w:trHeight w:val="652"/>
        </w:trPr>
        <w:tc>
          <w:tcPr>
            <w:tcW w:w="2230" w:type="dxa"/>
            <w:tcBorders>
              <w:top w:val="single" w:sz="6" w:space="0" w:color="000000"/>
              <w:left w:val="nil"/>
              <w:bottom w:val="single" w:sz="6" w:space="0" w:color="000000"/>
              <w:right w:val="single" w:sz="6" w:space="0" w:color="000000"/>
            </w:tcBorders>
          </w:tcPr>
          <w:p w14:paraId="0B9A5898" w14:textId="77777777" w:rsidR="00A2416E" w:rsidRDefault="00534832" w:rsidP="00F33EEE">
            <w:pPr>
              <w:pStyle w:val="TableParagraph"/>
              <w:ind w:left="6"/>
              <w:rPr>
                <w:sz w:val="17"/>
              </w:rPr>
            </w:pPr>
            <w:r>
              <w:rPr>
                <w:sz w:val="17"/>
              </w:rPr>
              <w:t>Gazele naturale, mixul energetic al UE</w:t>
            </w:r>
          </w:p>
        </w:tc>
        <w:tc>
          <w:tcPr>
            <w:tcW w:w="1803"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F33EEE">
            <w:pPr>
              <w:pStyle w:val="TableParagraph"/>
              <w:spacing w:before="41" w:line="233" w:lineRule="auto"/>
              <w:ind w:left="113"/>
              <w:rPr>
                <w:sz w:val="17"/>
              </w:rPr>
            </w:pPr>
            <w:r>
              <w:rPr>
                <w:sz w:val="17"/>
              </w:rPr>
              <w:t>Gaz natural lichefiat (GNL) într-un motor cu aprindere prin scânteie</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trPr>
          <w:trHeight w:val="652"/>
        </w:trPr>
        <w:tc>
          <w:tcPr>
            <w:tcW w:w="2230" w:type="dxa"/>
            <w:tcBorders>
              <w:top w:val="single" w:sz="6" w:space="0" w:color="000000"/>
              <w:left w:val="nil"/>
              <w:bottom w:val="single" w:sz="6" w:space="0" w:color="000000"/>
              <w:right w:val="single" w:sz="6" w:space="0" w:color="000000"/>
            </w:tcBorders>
          </w:tcPr>
          <w:p w14:paraId="7F233705" w14:textId="77777777" w:rsidR="00A2416E" w:rsidRDefault="00534832" w:rsidP="00F33EEE">
            <w:pPr>
              <w:pStyle w:val="TableParagraph"/>
              <w:spacing w:before="41" w:line="232" w:lineRule="auto"/>
              <w:ind w:left="6"/>
              <w:rPr>
                <w:sz w:val="17"/>
              </w:rPr>
            </w:pPr>
            <w:r>
              <w:rPr>
                <w:sz w:val="17"/>
              </w:rPr>
              <w:t>Reacția Sabatier a hidrogenului prin electroliză cu</w:t>
            </w:r>
          </w:p>
          <w:p w14:paraId="0502C750" w14:textId="77777777" w:rsidR="00A2416E" w:rsidRDefault="00534832" w:rsidP="00F33EEE">
            <w:pPr>
              <w:pStyle w:val="TableParagraph"/>
              <w:spacing w:before="0" w:line="191" w:lineRule="exact"/>
              <w:ind w:left="6"/>
              <w:rPr>
                <w:sz w:val="17"/>
              </w:rPr>
            </w:pPr>
            <w:r>
              <w:rPr>
                <w:sz w:val="17"/>
              </w:rPr>
              <w:t>energie nebiologică din surse regenerabile</w:t>
            </w:r>
          </w:p>
        </w:tc>
        <w:tc>
          <w:tcPr>
            <w:tcW w:w="1803"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rsidP="00F33EEE">
            <w:pPr>
              <w:pStyle w:val="TableParagraph"/>
              <w:spacing w:before="41" w:line="233" w:lineRule="auto"/>
              <w:ind w:left="113"/>
              <w:rPr>
                <w:sz w:val="17"/>
              </w:rPr>
            </w:pPr>
            <w:r>
              <w:rPr>
                <w:sz w:val="17"/>
              </w:rPr>
              <w:t>Metan sintetic comprimat într-un motor cu aprindere prin scânteie</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trPr>
          <w:trHeight w:val="462"/>
        </w:trPr>
        <w:tc>
          <w:tcPr>
            <w:tcW w:w="2230" w:type="dxa"/>
            <w:tcBorders>
              <w:top w:val="single" w:sz="6" w:space="0" w:color="000000"/>
              <w:left w:val="nil"/>
              <w:bottom w:val="single" w:sz="6" w:space="0" w:color="000000"/>
              <w:right w:val="single" w:sz="6" w:space="0" w:color="000000"/>
            </w:tcBorders>
          </w:tcPr>
          <w:p w14:paraId="4CC478A9" w14:textId="77777777" w:rsidR="00A2416E" w:rsidRDefault="00534832" w:rsidP="00F33EEE">
            <w:pPr>
              <w:pStyle w:val="TableParagraph"/>
              <w:spacing w:before="41" w:line="232" w:lineRule="auto"/>
              <w:ind w:left="6"/>
              <w:rPr>
                <w:sz w:val="17"/>
              </w:rPr>
            </w:pPr>
            <w:r>
              <w:rPr>
                <w:sz w:val="17"/>
              </w:rPr>
              <w:t>Gaze naturale prin reformarea cu abur</w:t>
            </w:r>
          </w:p>
        </w:tc>
        <w:tc>
          <w:tcPr>
            <w:tcW w:w="1803"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rsidP="00F33EEE">
            <w:pPr>
              <w:pStyle w:val="TableParagraph"/>
              <w:spacing w:before="41" w:line="233" w:lineRule="auto"/>
              <w:ind w:left="113"/>
              <w:rPr>
                <w:sz w:val="17"/>
              </w:rPr>
            </w:pPr>
            <w:r>
              <w:rPr>
                <w:sz w:val="17"/>
              </w:rPr>
              <w:t>Pilă de combustie cu hidrogen comprimat</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trPr>
          <w:trHeight w:val="462"/>
        </w:trPr>
        <w:tc>
          <w:tcPr>
            <w:tcW w:w="2230" w:type="dxa"/>
            <w:tcBorders>
              <w:top w:val="single" w:sz="6" w:space="0" w:color="000000"/>
              <w:left w:val="nil"/>
              <w:bottom w:val="single" w:sz="6" w:space="0" w:color="000000"/>
              <w:right w:val="single" w:sz="6" w:space="0" w:color="000000"/>
            </w:tcBorders>
          </w:tcPr>
          <w:p w14:paraId="67A4479C" w14:textId="77777777" w:rsidR="00A2416E" w:rsidRDefault="00534832" w:rsidP="00F33EEE">
            <w:pPr>
              <w:pStyle w:val="TableParagraph"/>
              <w:spacing w:before="41" w:line="232" w:lineRule="auto"/>
              <w:ind w:left="6"/>
              <w:rPr>
                <w:sz w:val="17"/>
              </w:rPr>
            </w:pPr>
            <w:r>
              <w:rPr>
                <w:sz w:val="17"/>
              </w:rPr>
              <w:t>Electroliză complet alimentată cu energie nebiologică regenerabilă</w:t>
            </w:r>
          </w:p>
        </w:tc>
        <w:tc>
          <w:tcPr>
            <w:tcW w:w="1803"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rsidP="00F33EEE">
            <w:pPr>
              <w:pStyle w:val="TableParagraph"/>
              <w:spacing w:before="41" w:line="233" w:lineRule="auto"/>
              <w:ind w:left="113"/>
              <w:rPr>
                <w:sz w:val="17"/>
              </w:rPr>
            </w:pPr>
            <w:r>
              <w:rPr>
                <w:sz w:val="17"/>
              </w:rPr>
              <w:t>Pilă de combustie cu hidrogen comprimat</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trPr>
          <w:trHeight w:val="462"/>
        </w:trPr>
        <w:tc>
          <w:tcPr>
            <w:tcW w:w="2230" w:type="dxa"/>
            <w:tcBorders>
              <w:top w:val="single" w:sz="6" w:space="0" w:color="000000"/>
              <w:left w:val="nil"/>
              <w:bottom w:val="single" w:sz="6" w:space="0" w:color="000000"/>
              <w:right w:val="single" w:sz="6" w:space="0" w:color="000000"/>
            </w:tcBorders>
          </w:tcPr>
          <w:p w14:paraId="63AA4F53" w14:textId="77777777" w:rsidR="00A2416E" w:rsidRDefault="00534832" w:rsidP="00F33EEE">
            <w:pPr>
              <w:pStyle w:val="TableParagraph"/>
              <w:ind w:left="6"/>
              <w:rPr>
                <w:sz w:val="17"/>
              </w:rPr>
            </w:pPr>
            <w:r>
              <w:rPr>
                <w:sz w:val="17"/>
              </w:rPr>
              <w:t>Cărbune</w:t>
            </w:r>
          </w:p>
        </w:tc>
        <w:tc>
          <w:tcPr>
            <w:tcW w:w="1803"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rsidP="00F33EEE">
            <w:pPr>
              <w:pStyle w:val="TableParagraph"/>
              <w:spacing w:before="41" w:line="233" w:lineRule="auto"/>
              <w:ind w:left="113"/>
              <w:rPr>
                <w:sz w:val="17"/>
              </w:rPr>
            </w:pPr>
            <w:r>
              <w:rPr>
                <w:sz w:val="17"/>
              </w:rPr>
              <w:t>Pilă de combustie cu hidrogen comprimat</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trPr>
          <w:trHeight w:val="462"/>
        </w:trPr>
        <w:tc>
          <w:tcPr>
            <w:tcW w:w="2230" w:type="dxa"/>
            <w:tcBorders>
              <w:top w:val="single" w:sz="6" w:space="0" w:color="000000"/>
              <w:left w:val="nil"/>
              <w:bottom w:val="single" w:sz="6" w:space="0" w:color="000000"/>
              <w:right w:val="single" w:sz="6" w:space="0" w:color="000000"/>
            </w:tcBorders>
          </w:tcPr>
          <w:p w14:paraId="12C21D03" w14:textId="77777777" w:rsidR="00A2416E" w:rsidRDefault="00534832" w:rsidP="00F33EEE">
            <w:pPr>
              <w:pStyle w:val="TableParagraph"/>
              <w:spacing w:before="41" w:line="232" w:lineRule="auto"/>
              <w:ind w:left="6"/>
              <w:rPr>
                <w:sz w:val="17"/>
              </w:rPr>
            </w:pPr>
            <w:r>
              <w:rPr>
                <w:sz w:val="17"/>
              </w:rPr>
              <w:t>Cărbune cu captarea și stocarea carbonului al emisiilor de proces</w:t>
            </w:r>
          </w:p>
        </w:tc>
        <w:tc>
          <w:tcPr>
            <w:tcW w:w="1803"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rsidP="00F33EEE">
            <w:pPr>
              <w:pStyle w:val="TableParagraph"/>
              <w:spacing w:before="41" w:line="233" w:lineRule="auto"/>
              <w:ind w:left="113"/>
              <w:rPr>
                <w:sz w:val="17"/>
              </w:rPr>
            </w:pPr>
            <w:r>
              <w:rPr>
                <w:sz w:val="17"/>
              </w:rPr>
              <w:t>Pilă de combustie cu hidrogen comprimat</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trPr>
          <w:trHeight w:val="462"/>
        </w:trPr>
        <w:tc>
          <w:tcPr>
            <w:tcW w:w="2230" w:type="dxa"/>
            <w:tcBorders>
              <w:top w:val="single" w:sz="6" w:space="0" w:color="000000"/>
              <w:left w:val="nil"/>
              <w:bottom w:val="single" w:sz="6" w:space="0" w:color="000000"/>
              <w:right w:val="single" w:sz="6" w:space="0" w:color="000000"/>
            </w:tcBorders>
          </w:tcPr>
          <w:p w14:paraId="40C44060" w14:textId="77777777" w:rsidR="00A2416E" w:rsidRDefault="00534832" w:rsidP="00F33EEE">
            <w:pPr>
              <w:pStyle w:val="TableParagraph"/>
              <w:spacing w:before="41" w:line="232" w:lineRule="auto"/>
              <w:ind w:left="6"/>
              <w:rPr>
                <w:sz w:val="17"/>
              </w:rPr>
            </w:pPr>
            <w:r>
              <w:rPr>
                <w:sz w:val="17"/>
              </w:rPr>
              <w:t>Deșeuri de plastic extrase din materii prime fosile</w:t>
            </w:r>
          </w:p>
        </w:tc>
        <w:tc>
          <w:tcPr>
            <w:tcW w:w="1803"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rsidP="00F33EEE">
            <w:pPr>
              <w:pStyle w:val="TableParagraph"/>
              <w:spacing w:before="41" w:line="233" w:lineRule="auto"/>
              <w:ind w:left="113"/>
              <w:rPr>
                <w:sz w:val="17"/>
              </w:rPr>
            </w:pPr>
            <w:r>
              <w:rPr>
                <w:sz w:val="17"/>
              </w:rPr>
              <w:t>Benzină, motorină sau motorină</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rsidP="00F33EEE">
      <w:pPr>
        <w:spacing w:before="126" w:line="233" w:lineRule="auto"/>
        <w:ind w:left="403" w:right="1644"/>
        <w:rPr>
          <w:sz w:val="17"/>
        </w:rPr>
      </w:pPr>
      <w:r>
        <w:rPr>
          <w:sz w:val="10"/>
        </w:rPr>
        <w:t xml:space="preserve">1 </w:t>
      </w:r>
      <w:r>
        <w:rPr>
          <w:sz w:val="17"/>
        </w:rPr>
        <w:t>Țiței convențional înseamnă orice materie primă de rafinărie care prezintă o gravitație API (American Petroleum Institute) mai mare de 10 grade atunci când este situată într-o formație de rezervoare la locul său de origine, măsurată conform metodei de testare ASTM D287, și care nu se încadrează în definiția codului NC 2714</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în conformitate cu Regulamentul (CEE) nr.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Bitum natural înseamnă orice materie primă de rafinărie care a) are o gravitate a Institutului American al Petrolului (API) de 10 grade sau mai mică atunci când este situată într-o formație de rezervor la locul de extracție, astfel cum este definită în conformitate cu metoda de testare a Societății Americane pentru Testare și Materiale (ASTM) D287; (b) are o vâscozitate medie anuală la temperatura rezervorului mai mare decât cea calculată prin ecuația vâscozitate (Centipoise) = 518,98e-0,038T, unde T este temperatura în Celsius; (c) se încadrează în definiția nisipurilor bituminoase sub codul din Nomenclatura Combinată (NC) 2714, astfel cum este prevăzut în Regulamentul (CEE) nr. 2658/87 al Consiliului; și (d) în cazul în care mobilizarea sursei de materie primă se realizează prin extracție minieră sau drenaj gravitațional îmbunătățit termic, în cazul în care energia termică provine în principal din alte surse decât sursa de materii prime în sine.</w:t>
      </w:r>
    </w:p>
    <w:p w14:paraId="7D15F9D2" w14:textId="77777777" w:rsidR="00A2416E" w:rsidRDefault="00534832">
      <w:pPr>
        <w:spacing w:before="89" w:line="232" w:lineRule="auto"/>
        <w:ind w:left="117" w:right="473"/>
        <w:rPr>
          <w:sz w:val="17"/>
        </w:rPr>
      </w:pPr>
      <w:r>
        <w:rPr>
          <w:sz w:val="10"/>
        </w:rPr>
        <w:t xml:space="preserve">3. </w:t>
      </w:r>
      <w:r>
        <w:rPr>
          <w:sz w:val="17"/>
        </w:rPr>
        <w:t>Ulei șisturi înseamnă orice sursă de materie primă de rafinărie situată într-o formă de rocă care conține kerogen solid și care se încadrează în definiția pentru șisturi bituminoase la codul NC 2714, astfel cum se prevede în Regulamentul (CEE) nr. 2658/87. Mobilizarea sursei de materii prime este realizată prin extracție minieră sau prin drenaj gravitațional îmbunătățit din punct de vedere termic.</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r>
        <w:rPr>
          <w:sz w:val="16"/>
        </w:rPr>
        <w:t>Arkitektkopia AB, 2021</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jc w:val="left"/>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534832"/>
    <w:rsid w:val="00581354"/>
    <w:rsid w:val="007E6201"/>
    <w:rsid w:val="00A2416E"/>
    <w:rsid w:val="00F33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1832</Words>
  <Characters>9714</Characters>
  <Application>Microsoft Office Word</Application>
  <DocSecurity>0</DocSecurity>
  <Lines>80</Lines>
  <Paragraphs>23</Paragraphs>
  <ScaleCrop>false</ScaleCrop>
  <HeadingPairs>
    <vt:vector size="2" baseType="variant">
      <vt:variant>
        <vt:lpstr>Rubrik</vt:lpstr>
      </vt:variant>
      <vt:variant>
        <vt:i4>1</vt:i4>
      </vt:variant>
    </vt:vector>
  </HeadingPairs>
  <TitlesOfParts>
    <vt:vector size="1" baseType="lpstr">
      <vt:lpstr>STEMFS 2021:2 Föreskrifter om ändring av Statens energimyndighets föreskrifter (STEMFS 2017:3) om rapportering och beräkning enligt drivmedelslagen</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4</cp:revision>
  <dcterms:created xsi:type="dcterms:W3CDTF">2021-04-07T09:34:00Z</dcterms:created>
  <dcterms:modified xsi:type="dcterms:W3CDTF">2022-01-17T20:24:00Z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